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b8914eadfc14d30bf24cfeefcd844fb"/>
        <w:lock w:val="sdtLocked"/>
        <w:richText/>
      </w:sdtPr>
      <w:sdtContent>
        <w:p>
          <w:pPr>
            <w:tabs>
              <w:tab w:val="center" w:pos="4819"/>
              <w:tab w:val="right" w:pos="9638"/>
            </w:tabs>
          </w:pPr>
        </w:p>
        <w:p>
          <w:pPr>
            <w:tabs>
              <w:tab w:val="left" w:pos="7920"/>
            </w:tabs>
            <w:ind w:firstLine="7920"/>
            <w:jc w:val="both"/>
            <w:rPr>
              <w:b/>
              <w:bCs/>
            </w:rPr>
          </w:pPr>
          <w:r>
            <w:rPr>
              <w:b/>
              <w:bCs/>
            </w:rPr>
            <w:t>Projektas</w:t>
          </w:r>
        </w:p>
        <w:p>
          <w:pPr>
            <w:tabs>
              <w:tab w:val="left" w:pos="7920"/>
            </w:tabs>
            <w:ind w:firstLine="7920"/>
            <w:jc w:val="both"/>
          </w:pPr>
          <w:r>
            <w:t xml:space="preserve">Nr. TSP-   </w:t>
          </w:r>
        </w:p>
        <w:p>
          <w:pPr>
            <w:ind w:left="720"/>
            <w:jc w:val="center"/>
            <w:rPr>
              <w:b/>
              <w:bCs/>
              <w:szCs w:val="24"/>
            </w:rPr>
          </w:pPr>
        </w:p>
        <w:p>
          <w:pPr>
            <w:jc w:val="center"/>
            <w:rPr>
              <w:b/>
              <w:bCs/>
              <w:szCs w:val="24"/>
            </w:rPr>
          </w:pPr>
          <w:r>
            <w:rPr>
              <w:b/>
              <w:bCs/>
              <w:szCs w:val="24"/>
            </w:rPr>
            <w:t>RADVILIŠKIO RAJONO SAVIVALDYBĖS TARYBA</w:t>
          </w:r>
        </w:p>
        <w:p>
          <w:pPr>
            <w:jc w:val="center"/>
            <w:rPr>
              <w:b/>
              <w:caps/>
              <w:szCs w:val="24"/>
            </w:rPr>
          </w:pPr>
        </w:p>
        <w:p>
          <w:pPr>
            <w:jc w:val="center"/>
            <w:rPr>
              <w:b/>
              <w:caps/>
              <w:szCs w:val="24"/>
            </w:rPr>
          </w:pPr>
          <w:r>
            <w:rPr>
              <w:b/>
              <w:caps/>
              <w:szCs w:val="24"/>
            </w:rPr>
            <w:t>SPRENDIMAS</w:t>
          </w:r>
        </w:p>
        <w:p>
          <w:pPr>
            <w:jc w:val="center"/>
            <w:rPr>
              <w:caps/>
              <w:szCs w:val="24"/>
              <w:lang w:eastAsia="lt-LT"/>
            </w:rPr>
          </w:pPr>
          <w:r>
            <w:rPr>
              <w:b/>
              <w:bCs/>
              <w:caps/>
              <w:szCs w:val="24"/>
              <w:lang w:eastAsia="lt-LT"/>
            </w:rPr>
            <w:t xml:space="preserve">DĖL individualiŲ GERIAMOJO VANDENS IŠGAVIMO IR GERINIMO ĮRENGINIŲ įsigijimo ir ĮRENGIMO DALINIO FINANSAVIMO TVARKOS aprašO, patvirtinto </w:t>
          </w:r>
          <w:r>
            <w:rPr>
              <w:b/>
            </w:rPr>
            <w:t>RADVILIŠKIO RAJONO SAVIVALDYBĖS TARYBOS 2021 M. LAPKRIČIO 25 D. SPRENDIMU</w:t>
          </w:r>
          <w:r>
            <w:rPr>
              <w:b/>
              <w:bCs/>
              <w:lang w:eastAsia="lt-LT"/>
            </w:rPr>
            <w:t xml:space="preserve"> NR. T-603 „</w:t>
          </w:r>
          <w:r>
            <w:rPr>
              <w:b/>
              <w:bCs/>
              <w:caps/>
              <w:szCs w:val="24"/>
              <w:lang w:eastAsia="lt-LT"/>
            </w:rPr>
            <w:t>DĖL individualiŲ GERIAMOJO VANDENS IŠGAVIMO IR GERINIMO ĮRENGINIŲ įsigijimo ir ĮRENGIMO DALINIO FINANSAVIMO TVARKOS aprašO patvirtinimo</w:t>
          </w:r>
          <w:r>
            <w:rPr>
              <w:b/>
              <w:bCs/>
              <w:lang w:eastAsia="lt-LT"/>
            </w:rPr>
            <w:t>“, PAKEITIMO</w:t>
          </w:r>
        </w:p>
        <w:p>
          <w:pPr>
            <w:jc w:val="center"/>
            <w:rPr>
              <w:b/>
              <w:caps/>
              <w:szCs w:val="24"/>
            </w:rPr>
          </w:pPr>
        </w:p>
        <w:p>
          <w:pPr>
            <w:jc w:val="center"/>
            <w:rPr>
              <w:szCs w:val="24"/>
            </w:rPr>
          </w:pPr>
          <w:r>
            <w:rPr>
              <w:szCs w:val="24"/>
            </w:rPr>
            <w:t xml:space="preserve">2024 m.                        Nr. T-   </w:t>
          </w:r>
        </w:p>
        <w:p>
          <w:pPr>
            <w:jc w:val="center"/>
            <w:rPr>
              <w:szCs w:val="24"/>
            </w:rPr>
          </w:pPr>
          <w:r>
            <w:rPr>
              <w:szCs w:val="24"/>
            </w:rPr>
            <w:t>Radviliškis</w:t>
          </w:r>
        </w:p>
        <w:p>
          <w:pPr>
            <w:jc w:val="center"/>
            <w:rPr>
              <w:szCs w:val="24"/>
            </w:rPr>
          </w:pPr>
        </w:p>
        <w:sdt>
          <w:sdtPr>
            <w:alias w:val="preambule"/>
            <w:tag w:val="part_71dcd5e275dc4ee39260beab7b6a663f"/>
            <w:lock w:val="sdtLocked"/>
            <w:richText/>
          </w:sdtPr>
          <w:sdtContent>
            <w:p>
              <w:pPr>
                <w:tabs>
                  <w:tab w:val="left" w:pos="1134"/>
                </w:tabs>
                <w:spacing w:line="276" w:lineRule="auto"/>
                <w:ind w:firstLine="851"/>
                <w:jc w:val="both"/>
                <w:rPr>
                  <w:color w:val="000000"/>
                  <w:szCs w:val="24"/>
                  <w:lang w:eastAsia="lt-LT"/>
                </w:rPr>
              </w:pPr>
              <w:r>
                <w:rPr>
                  <w:color w:val="000000"/>
                  <w:szCs w:val="24"/>
                  <w:lang w:eastAsia="lt-LT"/>
                </w:rPr>
                <w:t xml:space="preserve">Radviliškio rajono savivaldybės taryba </w:t>
              </w:r>
              <w:r>
                <w:rPr>
                  <w:color w:val="000000"/>
                  <w:spacing w:val="50"/>
                  <w:szCs w:val="24"/>
                  <w:lang w:eastAsia="lt-LT"/>
                </w:rPr>
                <w:t>nusprendži</w:t>
              </w:r>
              <w:r>
                <w:rPr>
                  <w:color w:val="000000"/>
                  <w:szCs w:val="24"/>
                  <w:lang w:eastAsia="lt-LT"/>
                </w:rPr>
                <w:t>a:</w:t>
              </w:r>
            </w:p>
          </w:sdtContent>
        </w:sdt>
        <w:sdt>
          <w:sdtPr>
            <w:alias w:val="1 p."/>
            <w:tag w:val="part_8d4f6525340f4e0f8c9c7194ebf08f97"/>
            <w:lock w:val="sdtLocked"/>
            <w:richText/>
          </w:sdtPr>
          <w:sdtContent>
            <w:p>
              <w:pPr>
                <w:tabs>
                  <w:tab w:val="left" w:pos="1134"/>
                </w:tabs>
                <w:spacing w:line="276" w:lineRule="auto"/>
                <w:ind w:firstLine="851"/>
                <w:jc w:val="both"/>
                <w:rPr>
                  <w:color w:val="000000"/>
                  <w:szCs w:val="24"/>
                  <w:lang w:eastAsia="lt-LT"/>
                </w:rPr>
              </w:pPr>
              <w:sdt>
                <w:sdtPr>
                  <w:alias w:val="Numeris"/>
                  <w:tag w:val="nr_8d4f6525340f4e0f8c9c7194ebf08f97"/>
                  <w:lock w:val="sdtLocked"/>
                  <w:richText/>
                </w:sdtPr>
                <w:sdtContent>
                  <w:r>
                    <w:rPr>
                      <w:color w:val="000000"/>
                      <w:szCs w:val="24"/>
                      <w:lang w:eastAsia="lt-LT"/>
                    </w:rPr>
                    <w:t>1</w:t>
                  </w:r>
                </w:sdtContent>
              </w:sdt>
              <w:r>
                <w:rPr>
                  <w:color w:val="000000"/>
                  <w:szCs w:val="24"/>
                  <w:lang w:eastAsia="lt-LT"/>
                </w:rPr>
                <w:t>.</w:t>
                <w:tab/>
              </w:r>
              <w:r>
                <w:rPr>
                  <w:szCs w:val="24"/>
                  <w:lang w:eastAsia="lt-LT"/>
                </w:rPr>
                <w:t>Pakeisti Individualių geriamojo vandens išgavimo ir gerinimo įrenginių įsigijimo ir įrengimo dalinio finansavimo tvarkos aprašo, patvirtinto Radviliškio rajono savivaldybės tarybos 2021 m. lapkričio 25 d. sprendimu Nr. T-603 „Dėl Individualių geriamojo vandens išgavimo ir gerinimo įrenginių įsigijimo ir įrengimo dalinio finansavimo tvarkos aprašo patvirtinimo“:</w:t>
              </w:r>
            </w:p>
            <w:sdt>
              <w:sdtPr>
                <w:alias w:val="1.1 pp."/>
                <w:tag w:val="part_526ac8f615f94728a26416982a212d24"/>
                <w:lock w:val="sdtLocked"/>
                <w:richText/>
              </w:sdtPr>
              <w:sdtContent>
                <w:p>
                  <w:pPr>
                    <w:tabs>
                      <w:tab w:val="left" w:pos="993"/>
                      <w:tab w:val="left" w:pos="1134"/>
                      <w:tab w:val="left" w:pos="1276"/>
                    </w:tabs>
                    <w:spacing w:line="276" w:lineRule="auto"/>
                    <w:ind w:firstLine="851"/>
                    <w:jc w:val="both"/>
                    <w:rPr>
                      <w:szCs w:val="24"/>
                      <w:lang w:eastAsia="lt-LT"/>
                    </w:rPr>
                  </w:pPr>
                  <w:sdt>
                    <w:sdtPr>
                      <w:alias w:val="Numeris"/>
                      <w:tag w:val="nr_526ac8f615f94728a26416982a212d24"/>
                      <w:lock w:val="sdtLocked"/>
                      <w:richText/>
                    </w:sdtPr>
                    <w:sdtContent>
                      <w:r>
                        <w:rPr>
                          <w:szCs w:val="24"/>
                          <w:lang w:eastAsia="lt-LT"/>
                        </w:rPr>
                        <w:t>1.1</w:t>
                      </w:r>
                    </w:sdtContent>
                  </w:sdt>
                  <w:r>
                    <w:rPr>
                      <w:szCs w:val="24"/>
                      <w:lang w:eastAsia="lt-LT"/>
                    </w:rPr>
                    <w:t>.</w:t>
                    <w:tab/>
                    <w:t>Pakeisti 4 punktą ir jį išdėstyti taip:</w:t>
                  </w:r>
                </w:p>
                <w:sdt>
                  <w:sdtPr>
                    <w:alias w:val="citata"/>
                    <w:tag w:val="part_5a371fe60ca0485789cd426aabbf77ec"/>
                    <w:lock w:val="sdtLocked"/>
                    <w:richText/>
                  </w:sdtPr>
                  <w:sdtContent>
                    <w:sdt>
                      <w:sdtPr>
                        <w:alias w:val="4 p."/>
                        <w:tag w:val="part_a52206300c2d41ada25f36ff1e303b57"/>
                        <w:lock w:val="sdtLocked"/>
                        <w:richText/>
                      </w:sdtPr>
                      <w:sdtContent>
                        <w:p>
                          <w:pPr>
                            <w:tabs>
                              <w:tab w:val="left" w:pos="993"/>
                              <w:tab w:val="left" w:pos="1134"/>
                              <w:tab w:val="left" w:pos="1276"/>
                            </w:tabs>
                            <w:spacing w:line="276" w:lineRule="auto"/>
                            <w:ind w:firstLine="851"/>
                            <w:jc w:val="both"/>
                            <w:rPr>
                              <w:szCs w:val="24"/>
                              <w:lang w:eastAsia="lt-LT"/>
                            </w:rPr>
                          </w:pPr>
                          <w:r>
                            <w:rPr>
                              <w:szCs w:val="24"/>
                              <w:lang w:eastAsia="lt-LT"/>
                            </w:rPr>
                            <w:t>„</w:t>
                          </w:r>
                          <w:sdt>
                            <w:sdtPr>
                              <w:alias w:val="Numeris"/>
                              <w:tag w:val="nr_a52206300c2d41ada25f36ff1e303b57"/>
                              <w:lock w:val="sdtLocked"/>
                              <w:richText/>
                            </w:sdtPr>
                            <w:sdtContent>
                              <w:r>
                                <w:rPr>
                                  <w:szCs w:val="24"/>
                                  <w:lang w:eastAsia="lt-LT"/>
                                </w:rPr>
                                <w:t>4</w:t>
                              </w:r>
                            </w:sdtContent>
                          </w:sdt>
                          <w:r>
                            <w:rPr>
                              <w:szCs w:val="24"/>
                              <w:lang w:eastAsia="lt-LT"/>
                            </w:rPr>
                            <w:t>. Paraiškas daliniam finansavimui gauti gali teikti Radviliškio rajono savivaldybės gyventojai, savo gyvenamąją vietą deklaravę Radviliškio rajono savivaldybėje (toliau – Pareiškėjai) ir individualius geriamojo vandens išgavimo ir gerinimo įrenginius įrengę Radviliškio rajone. Pareiškėjai individualius geriamojo vandens išgavimo ir gerinimo įrenginius turi būti įsigiję ir įsirengę ne anksčiau kaip 2025 m. sausio 1 d.</w:t>
                          </w:r>
                          <w:r>
                            <w:rPr>
                              <w:b/>
                              <w:bCs/>
                              <w:szCs w:val="24"/>
                              <w:lang w:eastAsia="lt-LT"/>
                            </w:rPr>
                            <w:t xml:space="preserve"> </w:t>
                          </w:r>
                          <w:r>
                            <w:rPr>
                              <w:szCs w:val="24"/>
                              <w:lang w:eastAsia="lt-LT"/>
                            </w:rPr>
                            <w:t>nuosavybės teise valdomame gyvenamosios paskirties objekte</w:t>
                          </w:r>
                          <w:r>
                            <w:rPr>
                              <w:szCs w:val="24"/>
                              <w:lang w:eastAsia="ru-RU"/>
                            </w:rPr>
                            <w:t>.</w:t>
                          </w:r>
                          <w:r>
                            <w:rPr>
                              <w:szCs w:val="24"/>
                              <w:lang w:eastAsia="lt-LT"/>
                            </w:rPr>
                            <w:t>“</w:t>
                          </w:r>
                        </w:p>
                      </w:sdtContent>
                    </w:sdt>
                  </w:sdtContent>
                </w:sdt>
              </w:sdtContent>
            </w:sdt>
            <w:sdt>
              <w:sdtPr>
                <w:alias w:val="1.2 pp."/>
                <w:tag w:val="part_cafeba8b7d7546a097d3b7d007228a70"/>
                <w:lock w:val="sdtLocked"/>
                <w:richText/>
              </w:sdtPr>
              <w:sdtContent>
                <w:p>
                  <w:pPr>
                    <w:tabs>
                      <w:tab w:val="left" w:pos="993"/>
                      <w:tab w:val="left" w:pos="1134"/>
                      <w:tab w:val="left" w:pos="1276"/>
                    </w:tabs>
                    <w:spacing w:line="276" w:lineRule="auto"/>
                    <w:ind w:firstLine="851"/>
                    <w:jc w:val="both"/>
                    <w:rPr>
                      <w:szCs w:val="24"/>
                      <w:lang w:eastAsia="lt-LT"/>
                    </w:rPr>
                  </w:pPr>
                  <w:sdt>
                    <w:sdtPr>
                      <w:alias w:val="Numeris"/>
                      <w:tag w:val="nr_cafeba8b7d7546a097d3b7d007228a70"/>
                      <w:lock w:val="sdtLocked"/>
                      <w:richText/>
                    </w:sdtPr>
                    <w:sdtContent>
                      <w:r>
                        <w:rPr>
                          <w:szCs w:val="24"/>
                          <w:lang w:eastAsia="lt-LT"/>
                        </w:rPr>
                        <w:t>1.2</w:t>
                      </w:r>
                    </w:sdtContent>
                  </w:sdt>
                  <w:r>
                    <w:rPr>
                      <w:szCs w:val="24"/>
                      <w:lang w:eastAsia="lt-LT"/>
                    </w:rPr>
                    <w:t>.</w:t>
                    <w:tab/>
                    <w:t>Pakeisti 6 punktą ir jį išdėstyti taip:</w:t>
                  </w:r>
                </w:p>
                <w:sdt>
                  <w:sdtPr>
                    <w:alias w:val="citata"/>
                    <w:tag w:val="part_aec77bdce2fc4618953586ff0a7aa5f2"/>
                    <w:lock w:val="sdtLocked"/>
                    <w:richText/>
                  </w:sdtPr>
                  <w:sdtContent>
                    <w:sdt>
                      <w:sdtPr>
                        <w:alias w:val="6 p."/>
                        <w:tag w:val="part_d9dc92d4333d4ef39681eb7e4af9e67f"/>
                        <w:lock w:val="sdtLocked"/>
                        <w:richText/>
                      </w:sdtPr>
                      <w:sdtContent>
                        <w:p>
                          <w:pPr>
                            <w:tabs>
                              <w:tab w:val="left" w:pos="142"/>
                              <w:tab w:val="left" w:pos="1134"/>
                              <w:tab w:val="left" w:pos="1276"/>
                            </w:tabs>
                            <w:spacing w:line="276" w:lineRule="auto"/>
                            <w:ind w:firstLine="851"/>
                            <w:jc w:val="both"/>
                            <w:rPr>
                              <w:szCs w:val="24"/>
                              <w:lang w:eastAsia="lt-LT"/>
                            </w:rPr>
                          </w:pPr>
                          <w:r>
                            <w:rPr>
                              <w:szCs w:val="24"/>
                              <w:lang w:eastAsia="lt-LT"/>
                            </w:rPr>
                            <w:t>„</w:t>
                          </w:r>
                          <w:sdt>
                            <w:sdtPr>
                              <w:alias w:val="Numeris"/>
                              <w:tag w:val="nr_d9dc92d4333d4ef39681eb7e4af9e67f"/>
                              <w:lock w:val="sdtLocked"/>
                              <w:richText/>
                            </w:sdtPr>
                            <w:sdtContent>
                              <w:r>
                                <w:rPr>
                                  <w:szCs w:val="24"/>
                                  <w:lang w:eastAsia="lt-LT"/>
                                </w:rPr>
                                <w:t>6</w:t>
                              </w:r>
                            </w:sdtContent>
                          </w:sdt>
                          <w:r>
                            <w:rPr>
                              <w:szCs w:val="24"/>
                              <w:lang w:eastAsia="lt-LT"/>
                            </w:rPr>
                            <w:t>. Individualių geriamojo vandens išgavimo ir gerinimo įrenginių įsigijimas ir įrengimas iš dalies finansuojamas tik tuo atveju, kai nėra techninės galimybės prisijungti prie centralizuotosios geriamojo vandens tiekimo sistemos arba tokia centralizuoto geriamojo vandens paslaugų tiekimo galimybė numatyta Radviliškio rajono savivaldybės vandens tiekimo ir nuotekų tvarkymo infrastruktūros plėtros specialiajame plane, bet neplanuojama įgyvendinti artimiausius 3 metus.“</w:t>
                          </w:r>
                        </w:p>
                      </w:sdtContent>
                    </w:sdt>
                  </w:sdtContent>
                </w:sdt>
              </w:sdtContent>
            </w:sdt>
            <w:sdt>
              <w:sdtPr>
                <w:alias w:val="1.3 pp."/>
                <w:tag w:val="part_398b5ab7f10e4f7ab926cd600d473b7a"/>
                <w:lock w:val="sdtLocked"/>
                <w:richText/>
              </w:sdtPr>
              <w:sdtContent>
                <w:p>
                  <w:pPr>
                    <w:tabs>
                      <w:tab w:val="left" w:pos="993"/>
                      <w:tab w:val="left" w:pos="1134"/>
                      <w:tab w:val="left" w:pos="1276"/>
                    </w:tabs>
                    <w:spacing w:line="276" w:lineRule="auto"/>
                    <w:ind w:firstLine="851"/>
                    <w:jc w:val="both"/>
                    <w:rPr>
                      <w:szCs w:val="24"/>
                      <w:lang w:eastAsia="lt-LT"/>
                    </w:rPr>
                  </w:pPr>
                  <w:sdt>
                    <w:sdtPr>
                      <w:alias w:val="Numeris"/>
                      <w:tag w:val="nr_398b5ab7f10e4f7ab926cd600d473b7a"/>
                      <w:lock w:val="sdtLocked"/>
                      <w:richText/>
                    </w:sdtPr>
                    <w:sdtContent>
                      <w:r>
                        <w:rPr>
                          <w:szCs w:val="24"/>
                          <w:lang w:eastAsia="lt-LT"/>
                        </w:rPr>
                        <w:t>1.3</w:t>
                      </w:r>
                    </w:sdtContent>
                  </w:sdt>
                  <w:r>
                    <w:rPr>
                      <w:szCs w:val="24"/>
                      <w:lang w:eastAsia="lt-LT"/>
                    </w:rPr>
                    <w:t>.</w:t>
                    <w:tab/>
                    <w:t>Papildyti 6</w:t>
                  </w:r>
                  <w:r>
                    <w:rPr>
                      <w:szCs w:val="24"/>
                      <w:vertAlign w:val="superscript"/>
                      <w:lang w:eastAsia="lt-LT"/>
                    </w:rPr>
                    <w:t>1</w:t>
                  </w:r>
                  <w:r>
                    <w:rPr>
                      <w:szCs w:val="24"/>
                      <w:lang w:eastAsia="lt-LT"/>
                    </w:rPr>
                    <w:t xml:space="preserve"> punktu ir jį išdėstyti taip:</w:t>
                  </w:r>
                </w:p>
                <w:sdt>
                  <w:sdtPr>
                    <w:alias w:val="citata"/>
                    <w:tag w:val="part_26d1ae14dcba45989b18b669311b3c9b"/>
                    <w:lock w:val="sdtLocked"/>
                    <w:richText/>
                  </w:sdtPr>
                  <w:sdtContent>
                    <w:sdt>
                      <w:sdtPr>
                        <w:alias w:val="6-1 p."/>
                        <w:tag w:val="part_4dfab0de44c44fa983ec95445466bb5a"/>
                        <w:lock w:val="sdtLocked"/>
                        <w:richText/>
                      </w:sdtPr>
                      <w:sdtContent>
                        <w:p>
                          <w:pPr>
                            <w:tabs>
                              <w:tab w:val="left" w:pos="993"/>
                              <w:tab w:val="left" w:pos="1134"/>
                              <w:tab w:val="left" w:pos="1276"/>
                            </w:tabs>
                            <w:spacing w:line="276" w:lineRule="auto"/>
                            <w:ind w:firstLine="851"/>
                            <w:jc w:val="both"/>
                            <w:rPr>
                              <w:szCs w:val="24"/>
                              <w:lang w:eastAsia="lt-LT"/>
                            </w:rPr>
                          </w:pPr>
                          <w:r>
                            <w:rPr>
                              <w:szCs w:val="24"/>
                              <w:lang w:eastAsia="lt-LT"/>
                            </w:rPr>
                            <w:t>„</w:t>
                          </w:r>
                          <w:sdt>
                            <w:sdtPr>
                              <w:alias w:val="Numeris"/>
                              <w:tag w:val="nr_4dfab0de44c44fa983ec95445466bb5a"/>
                              <w:lock w:val="sdtLocked"/>
                              <w:richText/>
                            </w:sdtPr>
                            <w:sdtContent>
                              <w:r>
                                <w:rPr>
                                  <w:szCs w:val="24"/>
                                  <w:lang w:eastAsia="lt-LT"/>
                                </w:rPr>
                                <w:t>6</w:t>
                              </w:r>
                              <w:r>
                                <w:rPr>
                                  <w:szCs w:val="24"/>
                                  <w:vertAlign w:val="superscript"/>
                                  <w:lang w:eastAsia="lt-LT"/>
                                </w:rPr>
                                <w:t>1</w:t>
                              </w:r>
                            </w:sdtContent>
                          </w:sdt>
                          <w:r>
                            <w:rPr>
                              <w:szCs w:val="24"/>
                              <w:lang w:eastAsia="lt-LT"/>
                            </w:rPr>
                            <w:t xml:space="preserve">. Apie ketinamus vykdyti individualių geriamojo vandens išgavimo ir gerinimo įrenginių įrengimo darbus būtina informuoti seniūniją, kurioje bus vykdomi darbai, bei gauti seniūnijos suderinimą, kad tokie darbai būtini.“ </w:t>
                          </w:r>
                        </w:p>
                      </w:sdtContent>
                    </w:sdt>
                  </w:sdtContent>
                </w:sdt>
              </w:sdtContent>
            </w:sdt>
            <w:sdt>
              <w:sdtPr>
                <w:alias w:val="1.4 pp."/>
                <w:tag w:val="part_a917598b45604ba6842dac4135c155c5"/>
                <w:lock w:val="sdtLocked"/>
                <w:richText/>
              </w:sdtPr>
              <w:sdtContent>
                <w:p>
                  <w:pPr>
                    <w:tabs>
                      <w:tab w:val="left" w:pos="993"/>
                      <w:tab w:val="left" w:pos="1134"/>
                      <w:tab w:val="left" w:pos="1276"/>
                    </w:tabs>
                    <w:spacing w:line="276" w:lineRule="auto"/>
                    <w:ind w:firstLine="851"/>
                    <w:jc w:val="both"/>
                    <w:rPr>
                      <w:szCs w:val="24"/>
                      <w:lang w:eastAsia="lt-LT"/>
                    </w:rPr>
                  </w:pPr>
                  <w:sdt>
                    <w:sdtPr>
                      <w:alias w:val="Numeris"/>
                      <w:tag w:val="nr_a917598b45604ba6842dac4135c155c5"/>
                      <w:lock w:val="sdtLocked"/>
                      <w:richText/>
                    </w:sdtPr>
                    <w:sdtContent>
                      <w:r>
                        <w:rPr>
                          <w:szCs w:val="24"/>
                          <w:lang w:eastAsia="lt-LT"/>
                        </w:rPr>
                        <w:t>1.4</w:t>
                      </w:r>
                    </w:sdtContent>
                  </w:sdt>
                  <w:r>
                    <w:rPr>
                      <w:szCs w:val="24"/>
                      <w:lang w:eastAsia="lt-LT"/>
                    </w:rPr>
                    <w:t>.</w:t>
                    <w:tab/>
                    <w:t>Pakeisti 7 punktą ir jį išdėstyti taip:</w:t>
                  </w:r>
                </w:p>
                <w:sdt>
                  <w:sdtPr>
                    <w:alias w:val="citata"/>
                    <w:tag w:val="part_f1397fe8ad024279942465c131be7f7d"/>
                    <w:lock w:val="sdtLocked"/>
                    <w:richText/>
                  </w:sdtPr>
                  <w:sdtContent>
                    <w:sdt>
                      <w:sdtPr>
                        <w:alias w:val="7 p."/>
                        <w:tag w:val="part_8863578cf59d4ba78cee84fe713c8e2d"/>
                        <w:lock w:val="sdtLocked"/>
                        <w:richText/>
                      </w:sdtPr>
                      <w:sdtContent>
                        <w:p>
                          <w:pPr>
                            <w:tabs>
                              <w:tab w:val="left" w:pos="142"/>
                              <w:tab w:val="left" w:pos="1134"/>
                              <w:tab w:val="left" w:pos="1276"/>
                            </w:tabs>
                            <w:spacing w:line="276" w:lineRule="auto"/>
                            <w:ind w:firstLine="851"/>
                            <w:jc w:val="both"/>
                            <w:rPr>
                              <w:szCs w:val="24"/>
                              <w:lang w:eastAsia="lt-LT"/>
                            </w:rPr>
                          </w:pPr>
                          <w:r>
                            <w:rPr>
                              <w:szCs w:val="24"/>
                              <w:lang w:eastAsia="lt-LT"/>
                            </w:rPr>
                            <w:t>„</w:t>
                          </w:r>
                          <w:sdt>
                            <w:sdtPr>
                              <w:alias w:val="Numeris"/>
                              <w:tag w:val="nr_8863578cf59d4ba78cee84fe713c8e2d"/>
                              <w:lock w:val="sdtLocked"/>
                              <w:richText/>
                            </w:sdtPr>
                            <w:sdtContent>
                              <w:r>
                                <w:rPr>
                                  <w:szCs w:val="24"/>
                                  <w:lang w:eastAsia="lt-LT"/>
                                </w:rPr>
                                <w:t>7</w:t>
                              </w:r>
                            </w:sdtContent>
                          </w:sdt>
                          <w:r>
                            <w:rPr>
                              <w:szCs w:val="24"/>
                              <w:lang w:eastAsia="lt-LT"/>
                            </w:rPr>
                            <w:t>. Paraiškos teikiamos nuo einamųjų metų balandžio 1 dienos iki einamųjų metų lapkričio 1 dienos Radviliškio rajono savivaldybės administracijos Investicijų ir turto valdymo skyriui (paraiškos forma pridedama).“ </w:t>
                          </w:r>
                        </w:p>
                      </w:sdtContent>
                    </w:sdt>
                  </w:sdtContent>
                </w:sdt>
              </w:sdtContent>
            </w:sdt>
            <w:sdt>
              <w:sdtPr>
                <w:alias w:val="1.5 pp."/>
                <w:tag w:val="part_44578d1c812547aaafbd652b132571b8"/>
                <w:lock w:val="sdtLocked"/>
                <w:richText/>
              </w:sdtPr>
              <w:sdtContent>
                <w:p>
                  <w:pPr>
                    <w:tabs>
                      <w:tab w:val="left" w:pos="993"/>
                      <w:tab w:val="left" w:pos="1134"/>
                    </w:tabs>
                    <w:spacing w:line="276" w:lineRule="auto"/>
                    <w:ind w:firstLine="851"/>
                    <w:jc w:val="both"/>
                    <w:rPr>
                      <w:color w:val="000000"/>
                      <w:szCs w:val="24"/>
                    </w:rPr>
                  </w:pPr>
                  <w:sdt>
                    <w:sdtPr>
                      <w:alias w:val="Numeris"/>
                      <w:tag w:val="nr_44578d1c812547aaafbd652b132571b8"/>
                      <w:lock w:val="sdtLocked"/>
                      <w:richText/>
                    </w:sdtPr>
                    <w:sdtContent>
                      <w:r>
                        <w:rPr>
                          <w:color w:val="000000"/>
                          <w:szCs w:val="24"/>
                        </w:rPr>
                        <w:t>1.5</w:t>
                      </w:r>
                    </w:sdtContent>
                  </w:sdt>
                  <w:r>
                    <w:rPr>
                      <w:color w:val="000000"/>
                      <w:szCs w:val="24"/>
                    </w:rPr>
                    <w:t>.</w:t>
                    <w:tab/>
                  </w:r>
                  <w:r>
                    <w:t>Pakeisti 12 punktą ir jį išdėstyti taip:</w:t>
                  </w:r>
                </w:p>
                <w:sdt>
                  <w:sdtPr>
                    <w:alias w:val="citata"/>
                    <w:tag w:val="part_0703026847d347aa8bd2d7fa8f6e60ed"/>
                    <w:lock w:val="sdtLocked"/>
                    <w:richText/>
                  </w:sdtPr>
                  <w:sdtContent>
                    <w:sdt>
                      <w:sdtPr>
                        <w:alias w:val="12 p."/>
                        <w:tag w:val="part_ff6dea35f0e449618a44d65e5f9ef066"/>
                        <w:lock w:val="sdtLocked"/>
                        <w:richText/>
                      </w:sdtPr>
                      <w:sdtContent>
                        <w:p>
                          <w:pPr>
                            <w:tabs>
                              <w:tab w:val="left" w:pos="851"/>
                              <w:tab w:val="left" w:pos="1134"/>
                            </w:tabs>
                            <w:spacing w:line="276" w:lineRule="auto"/>
                            <w:ind w:firstLine="851"/>
                            <w:jc w:val="both"/>
                            <w:rPr>
                              <w:szCs w:val="24"/>
                              <w:lang w:eastAsia="lt-LT"/>
                            </w:rPr>
                          </w:pPr>
                          <w:r>
                            <w:rPr>
                              <w:color w:val="000000"/>
                              <w:szCs w:val="24"/>
                            </w:rPr>
                            <w:t>„</w:t>
                          </w:r>
                          <w:sdt>
                            <w:sdtPr>
                              <w:alias w:val="Numeris"/>
                              <w:tag w:val="nr_ff6dea35f0e449618a44d65e5f9ef066"/>
                              <w:lock w:val="sdtLocked"/>
                              <w:richText/>
                            </w:sdtPr>
                            <w:sdtContent>
                              <w:r>
                                <w:rPr>
                                  <w:color w:val="000000"/>
                                  <w:szCs w:val="24"/>
                                </w:rPr>
                                <w:t>12</w:t>
                              </w:r>
                            </w:sdtContent>
                          </w:sdt>
                          <w:r>
                            <w:rPr>
                              <w:color w:val="000000"/>
                              <w:szCs w:val="24"/>
                            </w:rPr>
                            <w:t xml:space="preserve">. </w:t>
                          </w:r>
                          <w:r>
                            <w:rPr>
                              <w:szCs w:val="24"/>
                              <w:lang w:eastAsia="lt-LT"/>
                            </w:rPr>
                            <w:t xml:space="preserve">Finansavimas skiriamas Pareiškėjui įvykdžius paraiškoje nurodytus darbus, įrenginius pradėjus eksploatuoti, pateikus pirkimą ir apmokėjimą pagrindžiančius dokumentus (įrenginius įsigijus išsimokėtinai ar lizingu privaloma pateikti sutarties kopiją) bei seniūnijai, </w:t>
                          </w:r>
                          <w:r>
                            <w:t>kurioje buvo vykdomi darbai,</w:t>
                          </w:r>
                          <w:r>
                            <w:rPr>
                              <w:szCs w:val="24"/>
                              <w:lang w:eastAsia="lt-LT"/>
                            </w:rPr>
                            <w:t xml:space="preserve"> patvirtinus raštiškai, kad darbai atlikti. F</w:t>
                          </w:r>
                          <w:r>
                            <w:rPr>
                              <w:lang w:eastAsia="ru-RU"/>
                            </w:rPr>
                            <w:t>inansavimas pagal Aprašą paraiškoje nurodytu adresu skiriamas vieną kartą.</w:t>
                          </w:r>
                          <w:r>
                            <w:rPr>
                              <w:szCs w:val="24"/>
                              <w:lang w:eastAsia="lt-LT"/>
                            </w:rPr>
                            <w:t>“</w:t>
                          </w:r>
                        </w:p>
                      </w:sdtContent>
                    </w:sdt>
                  </w:sdtContent>
                </w:sdt>
              </w:sdtContent>
            </w:sdt>
            <w:sdt>
              <w:sdtPr>
                <w:alias w:val="1.6 pp."/>
                <w:tag w:val="part_37b2f511df9b4e86a00787565d6bc217"/>
                <w:lock w:val="sdtLocked"/>
                <w:richText/>
              </w:sdtPr>
              <w:sdtContent>
                <w:p>
                  <w:pPr>
                    <w:tabs>
                      <w:tab w:val="left" w:pos="851"/>
                      <w:tab w:val="left" w:pos="1134"/>
                    </w:tabs>
                    <w:spacing w:line="276" w:lineRule="auto"/>
                    <w:ind w:left="1211" w:hanging="360"/>
                    <w:jc w:val="both"/>
                    <w:rPr>
                      <w:szCs w:val="24"/>
                      <w:lang w:eastAsia="lt-LT"/>
                    </w:rPr>
                  </w:pPr>
                  <w:sdt>
                    <w:sdtPr>
                      <w:alias w:val="Numeris"/>
                      <w:tag w:val="nr_37b2f511df9b4e86a00787565d6bc217"/>
                      <w:lock w:val="sdtLocked"/>
                      <w:richText/>
                    </w:sdtPr>
                    <w:sdtContent>
                      <w:r>
                        <w:rPr>
                          <w:szCs w:val="24"/>
                          <w:lang w:eastAsia="lt-LT"/>
                        </w:rPr>
                        <w:t>1.6</w:t>
                      </w:r>
                    </w:sdtContent>
                  </w:sdt>
                  <w:r>
                    <w:rPr>
                      <w:szCs w:val="24"/>
                      <w:lang w:eastAsia="lt-LT"/>
                    </w:rPr>
                    <w:t>.</w:t>
                    <w:tab/>
                  </w:r>
                  <w:r>
                    <w:t xml:space="preserve"> Papildyti 12</w:t>
                  </w:r>
                  <w:r>
                    <w:rPr>
                      <w:vertAlign w:val="superscript"/>
                    </w:rPr>
                    <w:t>1</w:t>
                  </w:r>
                  <w:r>
                    <w:t xml:space="preserve"> punktu ir jį išdėstyti taip:</w:t>
                  </w:r>
                </w:p>
                <w:sdt>
                  <w:sdtPr>
                    <w:alias w:val="citata"/>
                    <w:tag w:val="part_6531b3770e304174b6129502ec6f8c3e"/>
                    <w:lock w:val="sdtLocked"/>
                    <w:richText/>
                  </w:sdtPr>
                  <w:sdtContent>
                    <w:sdt>
                      <w:sdtPr>
                        <w:alias w:val="12-1 p."/>
                        <w:tag w:val="part_38815961e6e747158909816937e8f3f1"/>
                        <w:lock w:val="sdtLocked"/>
                        <w:richText/>
                      </w:sdtPr>
                      <w:sdtContent>
                        <w:p>
                          <w:pPr>
                            <w:tabs>
                              <w:tab w:val="left" w:pos="567"/>
                              <w:tab w:val="left" w:pos="1134"/>
                            </w:tabs>
                            <w:spacing w:line="276" w:lineRule="auto"/>
                            <w:ind w:firstLine="851"/>
                            <w:jc w:val="both"/>
                            <w:rPr>
                              <w:szCs w:val="24"/>
                              <w:lang w:eastAsia="lt-LT"/>
                            </w:rPr>
                          </w:pPr>
                          <w:r>
                            <w:rPr>
                              <w:szCs w:val="24"/>
                              <w:lang w:eastAsia="lt-LT"/>
                            </w:rPr>
                            <w:t>„</w:t>
                          </w:r>
                          <w:sdt>
                            <w:sdtPr>
                              <w:alias w:val="Numeris"/>
                              <w:tag w:val="nr_38815961e6e747158909816937e8f3f1"/>
                              <w:lock w:val="sdtLocked"/>
                              <w:richText/>
                            </w:sdtPr>
                            <w:sdtContent>
                              <w:r>
                                <w:t>12</w:t>
                              </w:r>
                              <w:r>
                                <w:rPr>
                                  <w:vertAlign w:val="superscript"/>
                                </w:rPr>
                                <w:t>1</w:t>
                              </w:r>
                            </w:sdtContent>
                          </w:sdt>
                          <w:r>
                            <w:t>. Darbai turi būti atlikti ir įrenginiai pradėti eksploatuoti ne anksčiau nei 2 m. iki paraiškos pateikimo datos. Finansavimas skiriamas pagal darbų atlikimo metu galiojusį Aprašą.“</w:t>
                          </w:r>
                        </w:p>
                      </w:sdtContent>
                    </w:sdt>
                  </w:sdtContent>
                </w:sdt>
              </w:sdtContent>
            </w:sdt>
          </w:sdtContent>
        </w:sdt>
        <w:sdt>
          <w:sdtPr>
            <w:alias w:val="2 p."/>
            <w:tag w:val="part_f5a7783f757f4b4fa804aba696487085"/>
            <w:lock w:val="sdtLocked"/>
            <w:richText/>
          </w:sdtPr>
          <w:sdtContent>
            <w:p>
              <w:pPr>
                <w:tabs>
                  <w:tab w:val="left" w:pos="851"/>
                  <w:tab w:val="left" w:pos="1134"/>
                </w:tabs>
                <w:spacing w:line="276" w:lineRule="auto"/>
                <w:ind w:firstLine="851"/>
                <w:jc w:val="both"/>
                <w:rPr>
                  <w:color w:val="000000"/>
                  <w:szCs w:val="24"/>
                </w:rPr>
              </w:pPr>
              <w:sdt>
                <w:sdtPr>
                  <w:alias w:val="Numeris"/>
                  <w:tag w:val="nr_f5a7783f757f4b4fa804aba696487085"/>
                  <w:lock w:val="sdtLocked"/>
                  <w:richText/>
                </w:sdtPr>
                <w:sdtContent>
                  <w:r>
                    <w:rPr>
                      <w:color w:val="000000"/>
                      <w:szCs w:val="24"/>
                    </w:rPr>
                    <w:t>2</w:t>
                  </w:r>
                </w:sdtContent>
              </w:sdt>
              <w:r>
                <w:rPr>
                  <w:color w:val="000000"/>
                  <w:szCs w:val="24"/>
                </w:rPr>
                <w:t>.</w:t>
                <w:tab/>
              </w:r>
              <w:r>
                <w:rPr>
                  <w:color w:val="262121"/>
                  <w:szCs w:val="24"/>
                </w:rPr>
                <w:t>Nustatyti, kad šis</w:t>
              </w:r>
              <w:r>
                <w:rPr>
                  <w:szCs w:val="24"/>
                </w:rPr>
                <w:t xml:space="preserve"> sprendimas </w:t>
              </w:r>
              <w:r>
                <w:t>įsigalioja 2025 m. sausio 1 d.</w:t>
              </w:r>
            </w:p>
            <w:p>
              <w:pPr>
                <w:ind w:firstLine="709"/>
                <w:jc w:val="both"/>
                <w:rPr>
                  <w:caps/>
                  <w:szCs w:val="24"/>
                  <w:lang w:eastAsia="lt-LT"/>
                </w:rPr>
              </w:pPr>
            </w:p>
            <w:p>
              <w:pPr>
                <w:jc w:val="both"/>
                <w:rPr>
                  <w:rFonts w:ascii="Calibri" w:hAnsi="Calibri"/>
                  <w:sz w:val="22"/>
                  <w:szCs w:val="22"/>
                </w:rPr>
              </w:pPr>
            </w:p>
            <w:p>
              <w:pPr>
                <w:jc w:val="both"/>
                <w:rPr>
                  <w:szCs w:val="24"/>
                </w:rPr>
              </w:pPr>
            </w:p>
            <w:p>
              <w:pPr>
                <w:tabs>
                  <w:tab w:val="right" w:pos="9570"/>
                </w:tabs>
                <w:jc w:val="both"/>
              </w:pPr>
              <w:r>
                <w:t xml:space="preserve">Savivaldybės meras </w:t>
                <w:tab/>
              </w:r>
            </w:p>
            <w:p>
              <w:r>
                <w:rPr>
                  <w:sz w:val="20"/>
                </w:rPr>
                <w:br w:type="page"/>
              </w:r>
            </w:p>
          </w:sdtContent>
        </w:sdt>
        <w:sdt>
          <w:sdtPr>
            <w:alias w:val="skirsnis"/>
            <w:tag w:val="part_b0331d0fd3d44f5d8796c8c1fda820c2"/>
            <w:lock w:val="sdtLocked"/>
            <w:richText/>
          </w:sdtPr>
          <w:sdtContent>
            <w:sdt>
              <w:sdtPr>
                <w:alias w:val="Pavadinimas"/>
                <w:tag w:val="title_b0331d0fd3d44f5d8796c8c1fda820c2"/>
                <w:lock w:val="sdtLocked"/>
                <w:richText/>
              </w:sdtPr>
              <w:sdtContent>
                <w:p>
                  <w:pPr>
                    <w:jc w:val="center"/>
                    <w:rPr>
                      <w:b/>
                      <w:szCs w:val="24"/>
                    </w:rPr>
                  </w:pPr>
                  <w:r>
                    <w:rPr>
                      <w:b/>
                      <w:szCs w:val="24"/>
                    </w:rPr>
                    <w:t>RADVILIŠKIO RAJONO SAVIVALDYBĖS TARYBOS SPRENDIMO PROJEKTO</w:t>
                  </w:r>
                </w:p>
                <w:p>
                  <w:pPr>
                    <w:jc w:val="center"/>
                    <w:rPr>
                      <w:caps/>
                      <w:szCs w:val="24"/>
                      <w:lang w:eastAsia="lt-LT"/>
                    </w:rPr>
                  </w:pPr>
                  <w:r>
                    <w:rPr>
                      <w:b/>
                      <w:bCs/>
                      <w:caps/>
                      <w:szCs w:val="24"/>
                      <w:lang w:eastAsia="lt-LT"/>
                    </w:rPr>
                    <w:t xml:space="preserve">„DĖL individualiŲ GERIAMOJO VANDENS IŠGAVIMO IR GERINIMO ĮRENGINIŲ įsigijimo ir ĮRENGIMO DALINIO FINANSAVIMO TVARKOS aprašO, patvirtinto </w:t>
                  </w:r>
                  <w:r>
                    <w:rPr>
                      <w:b/>
                      <w:szCs w:val="24"/>
                    </w:rPr>
                    <w:t>RADVILIŠKIO RAJONO SAVIVALDYBĖS TARYBOS 2021 M. LAPKRIČIO 25 D. SPRENDIMU</w:t>
                  </w:r>
                  <w:r>
                    <w:rPr>
                      <w:b/>
                      <w:bCs/>
                      <w:szCs w:val="24"/>
                      <w:lang w:eastAsia="lt-LT"/>
                    </w:rPr>
                    <w:t xml:space="preserve"> NR. T-603 „</w:t>
                  </w:r>
                  <w:r>
                    <w:rPr>
                      <w:b/>
                      <w:bCs/>
                      <w:caps/>
                      <w:szCs w:val="24"/>
                      <w:lang w:eastAsia="lt-LT"/>
                    </w:rPr>
                    <w:t>DĖL individualiŲ GERIAMOJO VANDENS IŠGAVIMO IR GERINIMO ĮRENGINIŲ įsigijimo ir ĮRENGIMO DALINIO FINANSAVIMO TVARKOS aprašO patvirtinimo</w:t>
                  </w:r>
                  <w:r>
                    <w:rPr>
                      <w:b/>
                      <w:bCs/>
                      <w:szCs w:val="24"/>
                      <w:lang w:eastAsia="lt-LT"/>
                    </w:rPr>
                    <w:t>“, PAKEITIMO“</w:t>
                  </w:r>
                </w:p>
                <w:p>
                  <w:pPr>
                    <w:jc w:val="center"/>
                    <w:rPr>
                      <w:b/>
                      <w:szCs w:val="24"/>
                    </w:rPr>
                  </w:pPr>
                  <w:r>
                    <w:rPr>
                      <w:b/>
                      <w:szCs w:val="24"/>
                    </w:rPr>
                    <w:t>AIŠKINAMASIS RAŠTAS</w:t>
                  </w:r>
                </w:p>
              </w:sdtContent>
            </w:sdt>
            <w:p>
              <w:pPr>
                <w:jc w:val="center"/>
                <w:rPr>
                  <w:szCs w:val="24"/>
                </w:rPr>
              </w:pPr>
            </w:p>
            <w:p>
              <w:pPr>
                <w:jc w:val="center"/>
                <w:rPr>
                  <w:szCs w:val="24"/>
                </w:rPr>
              </w:pPr>
              <w:r>
                <w:rPr>
                  <w:szCs w:val="24"/>
                </w:rPr>
                <w:t>2024-12-03</w:t>
              </w:r>
            </w:p>
            <w:p>
              <w:pPr>
                <w:jc w:val="center"/>
                <w:rPr>
                  <w:szCs w:val="24"/>
                </w:rPr>
              </w:pPr>
              <w:r>
                <w:rPr>
                  <w:szCs w:val="24"/>
                </w:rPr>
                <w:t>Radviliškis</w:t>
              </w:r>
            </w:p>
            <w:p>
              <w:pPr>
                <w:rPr>
                  <w:szCs w:val="24"/>
                </w:rPr>
              </w:pPr>
            </w:p>
            <w:sdt>
              <w:sdtPr>
                <w:alias w:val="1 p."/>
                <w:tag w:val="part_c14212ce301a46f4957fdbe59908ccf5"/>
                <w:lock w:val="sdtLocked"/>
                <w:richText/>
              </w:sdtPr>
              <w:sdtContent>
                <w:p>
                  <w:pPr>
                    <w:tabs>
                      <w:tab w:val="left" w:pos="1134"/>
                    </w:tabs>
                    <w:suppressAutoHyphens/>
                    <w:ind w:firstLine="709"/>
                    <w:jc w:val="both"/>
                    <w:rPr>
                      <w:szCs w:val="24"/>
                      <w:shd w:val="clear" w:color="auto" w:fill="FFFFFF"/>
                    </w:rPr>
                  </w:pPr>
                  <w:sdt>
                    <w:sdtPr>
                      <w:alias w:val="Numeris"/>
                      <w:tag w:val="nr_c14212ce301a46f4957fdbe59908ccf5"/>
                      <w:lock w:val="sdtLocked"/>
                      <w:richText/>
                    </w:sdtPr>
                    <w:sdtContent>
                      <w:r>
                        <w:rPr>
                          <w:b/>
                          <w:szCs w:val="24"/>
                        </w:rPr>
                        <w:t>1</w:t>
                      </w:r>
                    </w:sdtContent>
                  </w:sdt>
                  <w:r>
                    <w:rPr>
                      <w:b/>
                      <w:szCs w:val="24"/>
                    </w:rPr>
                    <w:t>.</w:t>
                    <w:tab/>
                  </w:r>
                  <w:r>
                    <w:rPr>
                      <w:b/>
                      <w:szCs w:val="24"/>
                      <w:lang w:bidi="he-IL"/>
                    </w:rPr>
                    <w:t>Projekto rengimą paskatinusios priežastys, parengto sprendimo projekto tikslai ir uždaviniai</w:t>
                  </w:r>
                  <w:r>
                    <w:rPr>
                      <w:b/>
                      <w:szCs w:val="24"/>
                    </w:rPr>
                    <w:t>.</w:t>
                  </w:r>
                </w:p>
                <w:p>
                  <w:pPr>
                    <w:tabs>
                      <w:tab w:val="left" w:pos="709"/>
                      <w:tab w:val="left" w:pos="1134"/>
                    </w:tabs>
                    <w:ind w:firstLine="1134"/>
                    <w:jc w:val="both"/>
                    <w:rPr>
                      <w:szCs w:val="24"/>
                    </w:rPr>
                  </w:pPr>
                  <w:r>
                    <w:rPr>
                      <w:szCs w:val="24"/>
                    </w:rPr>
                    <w:t xml:space="preserve">Parengto tarybos sprendimo projekto tikslas – praplėsti paramos įsirengus geriamojo vandens išgavimo ir gerinimo sistemas gavėjų ratą gyventojams sudarant galimybę individualiai apsirūpinti geriamuoju vandeniu, todėl siūloma patvirtinti Individualių geriamojo vandens išgavimo ir gerinimo įrenginių įsigijimo ir įrengimo dalinio finansavimo tvarkos aprašo pakeitimus. </w:t>
                  </w:r>
                </w:p>
                <w:p>
                  <w:pPr>
                    <w:tabs>
                      <w:tab w:val="left" w:pos="709"/>
                      <w:tab w:val="left" w:pos="1134"/>
                    </w:tabs>
                    <w:ind w:firstLine="709"/>
                    <w:jc w:val="both"/>
                    <w:rPr>
                      <w:szCs w:val="24"/>
                    </w:rPr>
                  </w:pPr>
                  <w:r>
                    <w:rPr>
                      <w:szCs w:val="24"/>
                    </w:rPr>
                    <w:t xml:space="preserve">Susiklosčius situacijai, kuomet Radviliškio rajone vis daugėja gyventojų, pageidaujančių centralizuotos geriamojo vandens tiekimo ir nuotekų surinkimo infrastruktūros vietovėse, kuriose infrastruktūros plėtra nenumatyta bei kuriose gyventojų skaičius per mažas, kad tokios infrastruktūros įrengimas ekonominiu požiūriu būtų tikslingas arba šios infrastruktūros plėtra numatyta, tačiau nebus įgyvendinta artimiausius 3 metus, siūloma daline finansine kompensacija remti Radviliškio rajono gyventojus, neturinčius galimybės prisijungti prie centralizuotų infrastruktūros tinklų. </w:t>
                  </w:r>
                </w:p>
              </w:sdtContent>
            </w:sdt>
            <w:sdt>
              <w:sdtPr>
                <w:alias w:val="2 p."/>
                <w:tag w:val="part_06eb0beb73594a608d241160c1a61f08"/>
                <w:lock w:val="sdtLocked"/>
                <w:richText/>
              </w:sdtPr>
              <w:sdtContent>
                <w:p>
                  <w:pPr>
                    <w:tabs>
                      <w:tab w:val="left" w:pos="709"/>
                      <w:tab w:val="left" w:pos="1134"/>
                    </w:tabs>
                    <w:ind w:firstLine="709"/>
                    <w:jc w:val="both"/>
                    <w:rPr>
                      <w:szCs w:val="24"/>
                    </w:rPr>
                  </w:pPr>
                  <w:sdt>
                    <w:sdtPr>
                      <w:alias w:val="Numeris"/>
                      <w:tag w:val="nr_06eb0beb73594a608d241160c1a61f08"/>
                      <w:lock w:val="sdtLocked"/>
                      <w:richText/>
                    </w:sdtPr>
                    <w:sdtContent>
                      <w:r>
                        <w:rPr>
                          <w:b/>
                          <w:bCs/>
                          <w:szCs w:val="24"/>
                        </w:rPr>
                        <w:t>2</w:t>
                      </w:r>
                    </w:sdtContent>
                  </w:sdt>
                  <w:r>
                    <w:rPr>
                      <w:b/>
                      <w:bCs/>
                      <w:szCs w:val="24"/>
                    </w:rPr>
                    <w:t>. Projekto iniciatoriai (institucija, asmenys ar piliečių atstovai) ir rengėjai.</w:t>
                  </w:r>
                </w:p>
                <w:p>
                  <w:pPr>
                    <w:tabs>
                      <w:tab w:val="left" w:pos="1134"/>
                    </w:tabs>
                    <w:ind w:firstLine="709"/>
                    <w:jc w:val="both"/>
                    <w:rPr>
                      <w:szCs w:val="24"/>
                    </w:rPr>
                  </w:pPr>
                  <w:r>
                    <w:rPr>
                      <w:szCs w:val="24"/>
                    </w:rPr>
                    <w:t>Projekto iniciatorius – Radviliškio rajono savivaldybės meras, rengėjas – Radviliškio rajono savivaldybės administracijos Investicijų ir turto valdymo skyrius.</w:t>
                  </w:r>
                </w:p>
              </w:sdtContent>
            </w:sdt>
            <w:sdt>
              <w:sdtPr>
                <w:alias w:val="3 p."/>
                <w:tag w:val="part_c2ee4ae0fab743c38999c88de4ab188e"/>
                <w:lock w:val="sdtLocked"/>
                <w:richText/>
              </w:sdtPr>
              <w:sdtContent>
                <w:p>
                  <w:pPr>
                    <w:ind w:firstLine="709"/>
                    <w:rPr>
                      <w:szCs w:val="24"/>
                    </w:rPr>
                  </w:pPr>
                  <w:sdt>
                    <w:sdtPr>
                      <w:alias w:val="Numeris"/>
                      <w:tag w:val="nr_c2ee4ae0fab743c38999c88de4ab188e"/>
                      <w:lock w:val="sdtLocked"/>
                      <w:richText/>
                    </w:sdtPr>
                    <w:sdtContent>
                      <w:r>
                        <w:rPr>
                          <w:b/>
                          <w:szCs w:val="24"/>
                        </w:rPr>
                        <w:t>3</w:t>
                      </w:r>
                    </w:sdtContent>
                  </w:sdt>
                  <w:r>
                    <w:rPr>
                      <w:b/>
                      <w:szCs w:val="24"/>
                    </w:rPr>
                    <w:t>. Kaip šiuo metu yra reguliuojami sprendimo projekte aptarti teisiniai santykiai.</w:t>
                  </w:r>
                </w:p>
                <w:p>
                  <w:pPr>
                    <w:tabs>
                      <w:tab w:val="left" w:pos="1134"/>
                    </w:tabs>
                    <w:ind w:firstLine="709"/>
                    <w:jc w:val="both"/>
                    <w:rPr>
                      <w:color w:val="000000"/>
                      <w:szCs w:val="24"/>
                      <w:shd w:val="clear" w:color="auto" w:fill="FFFFFF"/>
                      <w:lang w:eastAsia="lt-LT"/>
                    </w:rPr>
                  </w:pPr>
                  <w:r>
                    <w:rPr>
                      <w:color w:val="000000"/>
                      <w:szCs w:val="24"/>
                      <w:shd w:val="clear" w:color="auto" w:fill="FFFFFF"/>
                      <w:lang w:eastAsia="lt-LT"/>
                    </w:rPr>
                    <w:t xml:space="preserve">Sprendimo projekte aptariami klausimai reguliuojami </w:t>
                  </w:r>
                  <w:r>
                    <w:rPr>
                      <w:szCs w:val="24"/>
                      <w:lang w:eastAsia="lt-LT"/>
                    </w:rPr>
                    <w:t>L</w:t>
                  </w:r>
                  <w:r>
                    <w:rPr>
                      <w:bCs/>
                      <w:color w:val="000000"/>
                      <w:szCs w:val="24"/>
                      <w:lang w:eastAsia="lt-LT"/>
                    </w:rPr>
                    <w:t>ietuvos Respublikos geriamojo vandens įstatymu,</w:t>
                  </w:r>
                  <w:r>
                    <w:rPr>
                      <w:szCs w:val="24"/>
                      <w:lang w:eastAsia="lt-LT"/>
                    </w:rPr>
                    <w:t xml:space="preserve"> L</w:t>
                  </w:r>
                  <w:r>
                    <w:rPr>
                      <w:bCs/>
                      <w:color w:val="000000"/>
                      <w:szCs w:val="24"/>
                      <w:lang w:eastAsia="lt-LT"/>
                    </w:rPr>
                    <w:t xml:space="preserve">ietuvos Respublikos geriamojo vandens tiekimo ir nuotekų tvarkymo įstatymu, </w:t>
                  </w:r>
                  <w:r>
                    <w:rPr>
                      <w:szCs w:val="24"/>
                      <w:lang w:eastAsia="lt-LT"/>
                    </w:rPr>
                    <w:t>Geriamojo vandens tiekimo ir nuotekų tvarkymo infrastruktūros plėtros planų rengimo taisyklėmis, patvirtintomis LR aplinkos ministro 2006 m. gruodžio 29 d. įsakymu Nr. D1-636.</w:t>
                  </w:r>
                  <w:r>
                    <w:rPr>
                      <w:color w:val="000000"/>
                      <w:szCs w:val="24"/>
                      <w:shd w:val="clear" w:color="auto" w:fill="FFFFFF"/>
                      <w:lang w:eastAsia="lt-LT"/>
                    </w:rPr>
                    <w:t xml:space="preserve"> </w:t>
                  </w:r>
                </w:p>
                <w:p>
                  <w:pPr>
                    <w:tabs>
                      <w:tab w:val="left" w:pos="1134"/>
                    </w:tabs>
                    <w:ind w:firstLine="709"/>
                    <w:jc w:val="both"/>
                    <w:rPr>
                      <w:szCs w:val="24"/>
                      <w:lang w:eastAsia="lt-LT"/>
                    </w:rPr>
                  </w:pPr>
                  <w:r>
                    <w:rPr>
                      <w:color w:val="000000"/>
                      <w:szCs w:val="24"/>
                      <w:shd w:val="clear" w:color="auto" w:fill="FFFFFF"/>
                      <w:lang w:eastAsia="lt-LT"/>
                    </w:rPr>
                    <w:t xml:space="preserve">Vietovėse, </w:t>
                  </w:r>
                  <w:r>
                    <w:rPr>
                      <w:color w:val="000000"/>
                      <w:szCs w:val="24"/>
                      <w:lang w:eastAsia="lt-LT"/>
                    </w:rPr>
                    <w:t xml:space="preserve">kuriose nėra viešosios centralizuotai </w:t>
                  </w:r>
                  <w:r>
                    <w:rPr>
                      <w:szCs w:val="24"/>
                      <w:lang w:eastAsia="lt-LT"/>
                    </w:rPr>
                    <w:t xml:space="preserve">tiekiamo geriamojo vandens sistemos ir tokia sistema nenumatyta, </w:t>
                  </w:r>
                  <w:r>
                    <w:rPr>
                      <w:szCs w:val="24"/>
                    </w:rPr>
                    <w:t xml:space="preserve">numatytas individualus geriamojo vandens išgavimas ir naudojimas. </w:t>
                  </w:r>
                  <w:r>
                    <w:rPr>
                      <w:color w:val="000000"/>
                      <w:szCs w:val="24"/>
                    </w:rPr>
                    <w:t>Fiziniai</w:t>
                  </w:r>
                  <w:r>
                    <w:rPr>
                      <w:b/>
                      <w:color w:val="000000"/>
                      <w:szCs w:val="24"/>
                    </w:rPr>
                    <w:t xml:space="preserve"> </w:t>
                  </w:r>
                  <w:r>
                    <w:rPr>
                      <w:color w:val="000000"/>
                      <w:szCs w:val="24"/>
                    </w:rPr>
                    <w:t>ir</w:t>
                  </w:r>
                  <w:r>
                    <w:rPr>
                      <w:b/>
                      <w:color w:val="000000"/>
                      <w:szCs w:val="24"/>
                    </w:rPr>
                    <w:t xml:space="preserve"> </w:t>
                  </w:r>
                  <w:r>
                    <w:rPr>
                      <w:color w:val="000000"/>
                      <w:szCs w:val="24"/>
                    </w:rPr>
                    <w:t>juridiniai</w:t>
                  </w:r>
                  <w:r>
                    <w:rPr>
                      <w:b/>
                      <w:color w:val="000000"/>
                      <w:szCs w:val="24"/>
                    </w:rPr>
                    <w:t xml:space="preserve"> </w:t>
                  </w:r>
                  <w:r>
                    <w:rPr>
                      <w:color w:val="000000"/>
                      <w:szCs w:val="24"/>
                    </w:rPr>
                    <w:t>asmenys, neturintys galimybių naudotis viešai tiekiamu geriamuoju vandeniu, vandeniu apsirūpina individualiai ir rūpinasi asmeniniame namų ūkyje naudojamo vandens sauga ir kokybe.</w:t>
                  </w:r>
                </w:p>
                <w:p>
                  <w:pPr>
                    <w:tabs>
                      <w:tab w:val="left" w:pos="709"/>
                    </w:tabs>
                    <w:ind w:firstLine="709"/>
                    <w:jc w:val="both"/>
                    <w:rPr>
                      <w:szCs w:val="24"/>
                      <w:lang w:eastAsia="lt-LT"/>
                    </w:rPr>
                  </w:pPr>
                  <w:r>
                    <w:rPr>
                      <w:szCs w:val="24"/>
                      <w:lang w:eastAsia="lt-LT"/>
                    </w:rPr>
                    <w:t xml:space="preserve">Radviliškio rajono savivaldybėje šiuo metu galioja </w:t>
                  </w:r>
                  <w:r>
                    <w:rPr>
                      <w:szCs w:val="24"/>
                    </w:rPr>
                    <w:t xml:space="preserve">Individualių geriamojo vandens išgavimo ir gerinimo įrenginių įsigijimo ir įrengimo dalinio finansavimo tvarkos aprašas, patvirtintas Radviliškio rajono savivaldybės tarybos 2021 m. lapkričio 25 d. sprendimu Nr. T-603 „Dėl Individualių geriamojo vandens išgavimo ir gerinimo įrenginių įsigijimo ir įrengimo dalinio finansavimo tvarkos aprašo patvirtinimo“. Apraše numatyta, kad </w:t>
                  </w:r>
                  <w:r>
                    <w:rPr>
                      <w:szCs w:val="24"/>
                      <w:lang w:eastAsia="lt-LT"/>
                    </w:rPr>
                    <w:t xml:space="preserve">individualių geriamojo vandens išgavimo ir gerinimo įrenginių įsigijimas ir įrengimas iš dalies finansuojamas tik tuo atveju, kai nėra techninės galimybės prisijungti prie centralizuotosios </w:t>
                  </w:r>
                  <w:r>
                    <w:rPr>
                      <w:szCs w:val="24"/>
                    </w:rPr>
                    <w:t>geriamojo vandens tiekimo sistemos</w:t>
                  </w:r>
                  <w:r>
                    <w:rPr>
                      <w:szCs w:val="24"/>
                      <w:lang w:eastAsia="lt-LT"/>
                    </w:rPr>
                    <w:t xml:space="preserve"> (vietovėse, kurios nepatenka į </w:t>
                  </w:r>
                  <w:r>
                    <w:rPr>
                      <w:szCs w:val="24"/>
                    </w:rPr>
                    <w:t xml:space="preserve">viešojo geriamojo vandens tiekimo teritorijas, geriamojo vandens tiekimo infrastruktūros plėtros teritorijas, kuriose nėra savivaldybei arba savivaldybės valdomai įmonei priklausančios naudoti tinkamos geriamojo vandens tiekimo infrastruktūros), ir vietovėse, kuriose </w:t>
                  </w:r>
                  <w:r>
                    <w:rPr>
                      <w:szCs w:val="24"/>
                      <w:lang w:eastAsia="lt-LT"/>
                    </w:rPr>
                    <w:t xml:space="preserve">geriamasis vanduo yra / buvo tiekiamas ar dėl kitų objektyvių priežasčių nebėra tiekiamas centralizuotai geriamojo vandens tiekėjo, neturinčio geriamojo vandens tiekimo licencijos. </w:t>
                  </w:r>
                </w:p>
              </w:sdtContent>
            </w:sdt>
            <w:sdt>
              <w:sdtPr>
                <w:alias w:val="4 p."/>
                <w:tag w:val="part_9b2dff3a77404610bbff2e41cf7793ce"/>
                <w:lock w:val="sdtLocked"/>
                <w:richText/>
              </w:sdtPr>
              <w:sdtContent>
                <w:p>
                  <w:pPr>
                    <w:tabs>
                      <w:tab w:val="left" w:pos="1134"/>
                    </w:tabs>
                    <w:ind w:firstLine="709"/>
                    <w:jc w:val="both"/>
                    <w:rPr>
                      <w:szCs w:val="24"/>
                    </w:rPr>
                  </w:pPr>
                  <w:sdt>
                    <w:sdtPr>
                      <w:alias w:val="Numeris"/>
                      <w:tag w:val="nr_9b2dff3a77404610bbff2e41cf7793ce"/>
                      <w:lock w:val="sdtLocked"/>
                      <w:richText/>
                    </w:sdtPr>
                    <w:sdtContent>
                      <w:r>
                        <w:rPr>
                          <w:b/>
                          <w:bCs/>
                          <w:szCs w:val="24"/>
                        </w:rPr>
                        <w:t>4</w:t>
                      </w:r>
                    </w:sdtContent>
                  </w:sdt>
                  <w:r>
                    <w:rPr>
                      <w:b/>
                      <w:bCs/>
                      <w:szCs w:val="24"/>
                    </w:rPr>
                    <w:t>.</w:t>
                  </w:r>
                  <w:r>
                    <w:rPr>
                      <w:szCs w:val="24"/>
                    </w:rPr>
                    <w:t xml:space="preserve"> </w:t>
                  </w:r>
                  <w:r>
                    <w:rPr>
                      <w:b/>
                      <w:bCs/>
                      <w:szCs w:val="24"/>
                    </w:rPr>
                    <w:t>Kokios siūlomos naujos teisinio reguliavimo nuostatos, kokių teigiamų rezultatų laukiama.</w:t>
                  </w:r>
                </w:p>
                <w:p>
                  <w:pPr>
                    <w:tabs>
                      <w:tab w:val="left" w:pos="709"/>
                      <w:tab w:val="left" w:pos="1134"/>
                    </w:tabs>
                    <w:ind w:firstLine="709"/>
                    <w:jc w:val="both"/>
                    <w:rPr>
                      <w:szCs w:val="24"/>
                      <w:shd w:val="clear" w:color="auto" w:fill="FFFFFF"/>
                    </w:rPr>
                  </w:pPr>
                  <w:r>
                    <w:rPr>
                      <w:szCs w:val="24"/>
                    </w:rPr>
                    <w:t xml:space="preserve">Aprašo pakeitimais siūloma </w:t>
                  </w:r>
                  <w:r>
                    <w:rPr>
                      <w:color w:val="000000"/>
                      <w:szCs w:val="24"/>
                      <w:lang w:eastAsia="lt-LT"/>
                    </w:rPr>
                    <w:t xml:space="preserve">skirti finansavimą gyventojams individualiais įsirengusiems geriamojo vandens tiekimo sistemas vietovėse, kuriose nėra </w:t>
                  </w:r>
                  <w:r>
                    <w:rPr>
                      <w:szCs w:val="24"/>
                      <w:lang w:eastAsia="lt-LT"/>
                    </w:rPr>
                    <w:t xml:space="preserve">techninės galimybės prisijungti prie centralizuotosios </w:t>
                  </w:r>
                  <w:r>
                    <w:rPr>
                      <w:szCs w:val="24"/>
                    </w:rPr>
                    <w:t>geriamojo vandens tiekimo sistemos</w:t>
                  </w:r>
                  <w:r>
                    <w:rPr>
                      <w:szCs w:val="24"/>
                      <w:lang w:eastAsia="lt-LT"/>
                    </w:rPr>
                    <w:t xml:space="preserve"> </w:t>
                  </w:r>
                  <w:r>
                    <w:rPr>
                      <w:color w:val="000000"/>
                      <w:szCs w:val="24"/>
                    </w:rPr>
                    <w:t>ir tokios galimybės centralizuoto geriamojo vandens paslaugų teikėjas ar Radviliškio rajono savivaldybė neplanuoja sudaryti artimiausius 3 metus</w:t>
                  </w:r>
                  <w:r>
                    <w:rPr>
                      <w:szCs w:val="24"/>
                      <w:lang w:eastAsia="lt-LT"/>
                    </w:rPr>
                    <w:t>. Tam, kad finansavimu nebūtų piktnaudžiaujama, Aprašas tikslinamas į kompensacijos skyrimo mechanizmą įtraukiant seniūnijas. Patikslinama, kad f</w:t>
                  </w:r>
                  <w:r>
                    <w:rPr>
                      <w:szCs w:val="24"/>
                      <w:lang w:eastAsia="ru-RU"/>
                    </w:rPr>
                    <w:t xml:space="preserve">inansavimas pagal Aprašą paraiškoje nurodytu adresu skiriamas tik vieną kartą (tuo pačiu adresu pakartotinis kompensavimas skiriamas nebus). Aprašas papildomas punktu, kad </w:t>
                  </w:r>
                  <w:r>
                    <w:rPr>
                      <w:szCs w:val="24"/>
                    </w:rPr>
                    <w:t>darbai turi būti atlikti ir įrenginiai pradėti eksploatuoti ne anksčiau nei 2 m. iki paraiškos pateikimo datos, o finansavimas skiriamas pagal darbų atlikimo metu galiojusį Aprašą.</w:t>
                  </w:r>
                  <w:r>
                    <w:rPr>
                      <w:szCs w:val="24"/>
                      <w:lang w:eastAsia="ru-RU"/>
                    </w:rPr>
                    <w:t xml:space="preserve"> N</w:t>
                  </w:r>
                  <w:r>
                    <w:rPr>
                      <w:color w:val="262121"/>
                      <w:szCs w:val="24"/>
                    </w:rPr>
                    <w:t>ustatoma, kad šie pakeitimai</w:t>
                  </w:r>
                  <w:r>
                    <w:rPr>
                      <w:szCs w:val="24"/>
                    </w:rPr>
                    <w:t xml:space="preserve"> įsigalioja 2025 m. sausio 1 d.</w:t>
                  </w:r>
                  <w:r>
                    <w:rPr>
                      <w:szCs w:val="24"/>
                      <w:shd w:val="clear" w:color="auto" w:fill="FFFFFF"/>
                    </w:rPr>
                    <w:t xml:space="preserve"> </w:t>
                  </w:r>
                </w:p>
                <w:p>
                  <w:pPr>
                    <w:tabs>
                      <w:tab w:val="left" w:pos="1080"/>
                      <w:tab w:val="left" w:pos="1134"/>
                    </w:tabs>
                    <w:ind w:firstLine="709"/>
                    <w:jc w:val="both"/>
                    <w:rPr>
                      <w:bCs/>
                      <w:szCs w:val="24"/>
                    </w:rPr>
                  </w:pPr>
                  <w:r>
                    <w:rPr>
                      <w:bCs/>
                      <w:szCs w:val="24"/>
                    </w:rPr>
                    <w:t xml:space="preserve">Patvirtinus Aprašo pakeitimą bus dar labiau prisidedama prie neurbanizuotose teritorijose gyvenančių gyventojų gyvenimo sąlygų gerinimo. </w:t>
                  </w:r>
                </w:p>
              </w:sdtContent>
            </w:sdt>
            <w:sdt>
              <w:sdtPr>
                <w:alias w:val="5 p."/>
                <w:tag w:val="part_ebf7a83515124cfc8bcfa275cc0c02cf"/>
                <w:lock w:val="sdtLocked"/>
                <w:richText/>
              </w:sdtPr>
              <w:sdtContent>
                <w:p>
                  <w:pPr>
                    <w:tabs>
                      <w:tab w:val="left" w:pos="1134"/>
                    </w:tabs>
                    <w:ind w:firstLine="709"/>
                    <w:jc w:val="both"/>
                    <w:rPr>
                      <w:b/>
                      <w:bCs/>
                      <w:szCs w:val="24"/>
                    </w:rPr>
                  </w:pPr>
                  <w:sdt>
                    <w:sdtPr>
                      <w:alias w:val="Numeris"/>
                      <w:tag w:val="nr_ebf7a83515124cfc8bcfa275cc0c02cf"/>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tabs>
                      <w:tab w:val="left" w:pos="1134"/>
                    </w:tabs>
                    <w:ind w:firstLine="709"/>
                    <w:jc w:val="both"/>
                    <w:rPr>
                      <w:szCs w:val="24"/>
                    </w:rPr>
                  </w:pPr>
                  <w:r>
                    <w:rPr>
                      <w:szCs w:val="24"/>
                    </w:rPr>
                    <w:t>Neigiamų pasekmių nenumatoma.</w:t>
                  </w:r>
                </w:p>
              </w:sdtContent>
            </w:sdt>
            <w:sdt>
              <w:sdtPr>
                <w:alias w:val="6 p."/>
                <w:tag w:val="part_506ded378ed94df9b104eccfbb19016b"/>
                <w:lock w:val="sdtLocked"/>
                <w:richText/>
              </w:sdtPr>
              <w:sdtContent>
                <w:p>
                  <w:pPr>
                    <w:tabs>
                      <w:tab w:val="left" w:pos="1134"/>
                    </w:tabs>
                    <w:ind w:firstLine="709"/>
                    <w:jc w:val="both"/>
                    <w:rPr>
                      <w:szCs w:val="24"/>
                    </w:rPr>
                  </w:pPr>
                  <w:sdt>
                    <w:sdtPr>
                      <w:alias w:val="Numeris"/>
                      <w:tag w:val="nr_506ded378ed94df9b104eccfbb19016b"/>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134"/>
                    </w:tabs>
                    <w:ind w:firstLine="709"/>
                    <w:jc w:val="both"/>
                    <w:rPr>
                      <w:szCs w:val="24"/>
                      <w:lang w:eastAsia="lt-LT"/>
                    </w:rPr>
                  </w:pPr>
                  <w:r>
                    <w:rPr>
                      <w:szCs w:val="24"/>
                      <w:lang w:eastAsia="lt-LT"/>
                    </w:rPr>
                    <w:t>Sprendimui įgyvendinti papildomų teisės aktų priimti, pakeisti ar pripažinti netekusiais galios nereikės.</w:t>
                  </w:r>
                </w:p>
              </w:sdtContent>
            </w:sdt>
            <w:sdt>
              <w:sdtPr>
                <w:alias w:val="7 p."/>
                <w:tag w:val="part_acd3a7c63541423ba60e580b935702e6"/>
                <w:lock w:val="sdtLocked"/>
                <w:richText/>
              </w:sdtPr>
              <w:sdtContent>
                <w:p>
                  <w:pPr>
                    <w:tabs>
                      <w:tab w:val="left" w:pos="1134"/>
                    </w:tabs>
                    <w:ind w:firstLine="709"/>
                    <w:jc w:val="both"/>
                    <w:rPr>
                      <w:szCs w:val="24"/>
                      <w:shd w:val="clear" w:color="auto" w:fill="FFFFFF"/>
                    </w:rPr>
                  </w:pPr>
                  <w:sdt>
                    <w:sdtPr>
                      <w:alias w:val="Numeris"/>
                      <w:tag w:val="nr_acd3a7c63541423ba60e580b935702e6"/>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134"/>
                      <w:tab w:val="left" w:pos="1200"/>
                    </w:tabs>
                    <w:ind w:firstLine="709"/>
                    <w:jc w:val="both"/>
                    <w:rPr>
                      <w:szCs w:val="24"/>
                    </w:rPr>
                  </w:pPr>
                  <w:r>
                    <w:rPr>
                      <w:szCs w:val="24"/>
                      <w:shd w:val="clear" w:color="auto" w:fill="FFFFFF"/>
                    </w:rPr>
                    <w:t>Sprendimui įgyvendinti iš 2025 m. savivaldybės biudžeto numatomas apie 85 tūkst. eurų lėšų poreikis</w:t>
                  </w:r>
                  <w:r>
                    <w:rPr>
                      <w:szCs w:val="24"/>
                    </w:rPr>
                    <w:t>.</w:t>
                  </w:r>
                </w:p>
              </w:sdtContent>
            </w:sdt>
            <w:sdt>
              <w:sdtPr>
                <w:alias w:val="8 p."/>
                <w:tag w:val="part_7ce96a3d8ef6411e88a795abfe16d340"/>
                <w:lock w:val="sdtLocked"/>
                <w:richText/>
              </w:sdtPr>
              <w:sdtContent>
                <w:p>
                  <w:pPr>
                    <w:tabs>
                      <w:tab w:val="left" w:pos="1134"/>
                      <w:tab w:val="left" w:pos="1200"/>
                    </w:tabs>
                    <w:ind w:firstLine="709"/>
                    <w:jc w:val="both"/>
                    <w:rPr>
                      <w:b/>
                      <w:szCs w:val="24"/>
                    </w:rPr>
                  </w:pPr>
                  <w:sdt>
                    <w:sdtPr>
                      <w:alias w:val="Numeris"/>
                      <w:tag w:val="nr_7ce96a3d8ef6411e88a795abfe16d340"/>
                      <w:lock w:val="sdtLocked"/>
                      <w:richText/>
                    </w:sdtPr>
                    <w:sdtContent>
                      <w:r>
                        <w:rPr>
                          <w:b/>
                          <w:szCs w:val="24"/>
                        </w:rPr>
                        <w:t>8</w:t>
                      </w:r>
                    </w:sdtContent>
                  </w:sdt>
                  <w:r>
                    <w:rPr>
                      <w:b/>
                      <w:szCs w:val="24"/>
                    </w:rPr>
                    <w:t>. Sprendimo projekto rengimo metu gauti specialistų vertinimai ir išvados.</w:t>
                  </w:r>
                </w:p>
                <w:p>
                  <w:pPr>
                    <w:tabs>
                      <w:tab w:val="left" w:pos="1134"/>
                      <w:tab w:val="left" w:pos="1200"/>
                    </w:tabs>
                    <w:ind w:firstLine="709"/>
                    <w:jc w:val="both"/>
                    <w:rPr>
                      <w:bCs/>
                      <w:szCs w:val="24"/>
                    </w:rPr>
                  </w:pPr>
                  <w:r>
                    <w:rPr>
                      <w:bCs/>
                      <w:szCs w:val="24"/>
                    </w:rPr>
                    <w:t>Nėra.</w:t>
                  </w:r>
                </w:p>
              </w:sdtContent>
            </w:sdt>
            <w:sdt>
              <w:sdtPr>
                <w:alias w:val="9 p."/>
                <w:tag w:val="part_a7783ee6bfcc49eca6582216570d9712"/>
                <w:lock w:val="sdtLocked"/>
                <w:richText/>
              </w:sdtPr>
              <w:sdtContent>
                <w:p>
                  <w:pPr>
                    <w:tabs>
                      <w:tab w:val="left" w:pos="1134"/>
                      <w:tab w:val="left" w:pos="1200"/>
                    </w:tabs>
                    <w:ind w:firstLine="709"/>
                    <w:jc w:val="both"/>
                    <w:rPr>
                      <w:b/>
                      <w:szCs w:val="24"/>
                    </w:rPr>
                  </w:pPr>
                  <w:sdt>
                    <w:sdtPr>
                      <w:alias w:val="Numeris"/>
                      <w:tag w:val="nr_a7783ee6bfcc49eca6582216570d9712"/>
                      <w:lock w:val="sdtLocked"/>
                      <w:richText/>
                    </w:sdtPr>
                    <w:sdtContent>
                      <w:r>
                        <w:rPr>
                          <w:b/>
                          <w:szCs w:val="24"/>
                        </w:rPr>
                        <w:t>9</w:t>
                      </w:r>
                    </w:sdtContent>
                  </w:sdt>
                  <w:r>
                    <w:rPr>
                      <w:b/>
                      <w:szCs w:val="24"/>
                    </w:rPr>
                    <w:t>. Numatomo teisinio reguliavimo poveikio vertinimo rezultatai.</w:t>
                  </w:r>
                </w:p>
                <w:p>
                  <w:pPr>
                    <w:tabs>
                      <w:tab w:val="left" w:pos="1134"/>
                    </w:tabs>
                    <w:ind w:firstLine="709"/>
                    <w:jc w:val="both"/>
                    <w:rPr>
                      <w:szCs w:val="24"/>
                      <w:shd w:val="clear" w:color="auto" w:fill="FFFFFF"/>
                    </w:rPr>
                  </w:pPr>
                  <w:r>
                    <w:rPr>
                      <w:szCs w:val="24"/>
                      <w:shd w:val="clear" w:color="auto" w:fill="FFFFFF"/>
                    </w:rPr>
                    <w:t>Neatlikta ir nenumatyta.</w:t>
                  </w:r>
                </w:p>
              </w:sdtContent>
            </w:sdt>
            <w:sdt>
              <w:sdtPr>
                <w:alias w:val="10 p."/>
                <w:tag w:val="part_c1f82b6c146041f5a3cd5874a202aae2"/>
                <w:lock w:val="sdtLocked"/>
                <w:richText/>
              </w:sdtPr>
              <w:sdtContent>
                <w:p>
                  <w:pPr>
                    <w:tabs>
                      <w:tab w:val="left" w:pos="1134"/>
                    </w:tabs>
                    <w:ind w:firstLine="709"/>
                    <w:jc w:val="both"/>
                    <w:rPr>
                      <w:szCs w:val="24"/>
                      <w:shd w:val="clear" w:color="auto" w:fill="FFFFFF"/>
                    </w:rPr>
                  </w:pPr>
                  <w:sdt>
                    <w:sdtPr>
                      <w:alias w:val="Numeris"/>
                      <w:tag w:val="nr_c1f82b6c146041f5a3cd5874a202aae2"/>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tabs>
                      <w:tab w:val="left" w:pos="1134"/>
                    </w:tabs>
                    <w:ind w:firstLine="709"/>
                    <w:jc w:val="both"/>
                    <w:rPr>
                      <w:szCs w:val="24"/>
                      <w:shd w:val="clear" w:color="auto" w:fill="FFFFFF"/>
                    </w:rPr>
                  </w:pPr>
                  <w:r>
                    <w:rPr>
                      <w:color w:val="000000"/>
                      <w:szCs w:val="24"/>
                    </w:rPr>
                    <w:t xml:space="preserve">Vadovaujantis </w:t>
                  </w:r>
                  <w:r>
                    <w:rPr>
                      <w:szCs w:val="24"/>
                    </w:rPr>
                    <w:t>Lietuvos Respublikos korupcijos prevencijos įstatymu šiam sprendimo projektui antikorupcinis vertinimas nėra taikytinas</w:t>
                  </w:r>
                  <w:r>
                    <w:rPr>
                      <w:szCs w:val="24"/>
                      <w:shd w:val="clear" w:color="auto" w:fill="FFFFFF"/>
                    </w:rPr>
                    <w:t>.</w:t>
                  </w:r>
                </w:p>
              </w:sdtContent>
            </w:sdt>
            <w:sdt>
              <w:sdtPr>
                <w:alias w:val="11 p."/>
                <w:tag w:val="part_c52f2d888df146dcab9d49cb855f9181"/>
                <w:lock w:val="sdtLocked"/>
                <w:richText/>
              </w:sdtPr>
              <w:sdtContent>
                <w:p>
                  <w:pPr>
                    <w:tabs>
                      <w:tab w:val="left" w:pos="1134"/>
                    </w:tabs>
                    <w:ind w:firstLine="709"/>
                    <w:jc w:val="both"/>
                    <w:rPr>
                      <w:rFonts w:eastAsia="Calibri"/>
                      <w:b/>
                      <w:bCs/>
                      <w:szCs w:val="24"/>
                    </w:rPr>
                  </w:pPr>
                  <w:sdt>
                    <w:sdtPr>
                      <w:alias w:val="Numeris"/>
                      <w:tag w:val="nr_c52f2d888df146dcab9d49cb855f9181"/>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tabs>
                      <w:tab w:val="left" w:pos="1134"/>
                    </w:tabs>
                    <w:ind w:firstLine="709"/>
                    <w:jc w:val="both"/>
                    <w:rPr>
                      <w:kern w:val="2"/>
                      <w:szCs w:val="24"/>
                      <w:shd w:val="clear" w:color="auto" w:fill="FFFFFF"/>
                    </w:rPr>
                  </w:pPr>
                  <w:r>
                    <w:rPr>
                      <w:kern w:val="2"/>
                      <w:szCs w:val="24"/>
                      <w:shd w:val="clear" w:color="auto" w:fill="FFFFFF"/>
                    </w:rPr>
                    <w:t>Nėra.</w:t>
                  </w:r>
                </w:p>
              </w:sdtContent>
            </w:sdt>
            <w:sdt>
              <w:sdtPr>
                <w:alias w:val="12 p."/>
                <w:tag w:val="part_ec1b9cec08554e4886bb28eb4923bbdc"/>
                <w:lock w:val="sdtLocked"/>
                <w:richText/>
              </w:sdtPr>
              <w:sdtContent>
                <w:p>
                  <w:pPr>
                    <w:tabs>
                      <w:tab w:val="left" w:pos="1134"/>
                    </w:tabs>
                    <w:ind w:firstLine="709"/>
                    <w:jc w:val="both"/>
                    <w:rPr>
                      <w:rFonts w:eastAsia="Calibri"/>
                      <w:b/>
                      <w:bCs/>
                      <w:szCs w:val="24"/>
                    </w:rPr>
                  </w:pPr>
                  <w:sdt>
                    <w:sdtPr>
                      <w:alias w:val="Numeris"/>
                      <w:tag w:val="nr_ec1b9cec08554e4886bb28eb4923bbdc"/>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pPr>
                    <w:tabs>
                      <w:tab w:val="left" w:pos="1134"/>
                    </w:tabs>
                    <w:ind w:firstLine="709"/>
                    <w:jc w:val="both"/>
                    <w:rPr>
                      <w:szCs w:val="24"/>
                    </w:rPr>
                  </w:pPr>
                  <w:r>
                    <w:rPr>
                      <w:kern w:val="2"/>
                      <w:szCs w:val="24"/>
                      <w:shd w:val="clear" w:color="auto" w:fill="FFFFFF"/>
                    </w:rPr>
                    <w:t>Nėra.</w:t>
                  </w:r>
                </w:p>
                <w:p>
                  <w:pPr>
                    <w:tabs>
                      <w:tab w:val="left" w:pos="709"/>
                      <w:tab w:val="left" w:pos="1134"/>
                    </w:tabs>
                    <w:ind w:firstLine="709"/>
                    <w:jc w:val="both"/>
                    <w:rPr>
                      <w:szCs w:val="24"/>
                    </w:rPr>
                  </w:pPr>
                </w:p>
                <w:p>
                  <w:pPr>
                    <w:tabs>
                      <w:tab w:val="left" w:pos="1134"/>
                    </w:tabs>
                    <w:ind w:firstLine="771"/>
                    <w:rPr>
                      <w:b/>
                      <w:bCs/>
                      <w:color w:val="000000"/>
                      <w:szCs w:val="24"/>
                      <w:shd w:val="clear" w:color="auto" w:fill="FFFFFF"/>
                      <w:lang w:eastAsia="lt-LT"/>
                    </w:rPr>
                  </w:pPr>
                </w:p>
                <w:p>
                  <w:pPr>
                    <w:rPr>
                      <w:sz w:val="10"/>
                      <w:szCs w:val="10"/>
                    </w:rPr>
                  </w:pPr>
                </w:p>
                <w:p>
                  <w:pPr>
                    <w:rPr>
                      <w:szCs w:val="24"/>
                    </w:rPr>
                  </w:pPr>
                </w:p>
              </w:sdtContent>
            </w:sdt>
          </w:sdtContent>
        </w:sdt>
        <w:sdt>
          <w:sdtPr>
            <w:alias w:val="signatura"/>
            <w:tag w:val="part_5afe93d42ffc47adb01cfb1e985bf4f3"/>
            <w:lock w:val="sdtLocked"/>
            <w:richText/>
          </w:sdtPr>
          <w:sdtContent>
            <w:p>
              <w:pPr>
                <w:rPr>
                  <w:szCs w:val="24"/>
                  <w:lang w:eastAsia="lt-LT"/>
                </w:rPr>
              </w:pPr>
              <w:r>
                <w:rPr>
                  <w:bCs/>
                  <w:szCs w:val="24"/>
                  <w:lang w:eastAsia="lt-LT"/>
                </w:rPr>
                <w:t>Sprendimo projektą parengė</w:t>
              </w:r>
            </w:p>
            <w:p>
              <w:pPr>
                <w:tabs>
                  <w:tab w:val="left" w:pos="7938"/>
                </w:tabs>
                <w:jc w:val="both"/>
                <w:rPr>
                  <w:szCs w:val="24"/>
                </w:rPr>
              </w:pPr>
              <w:r>
                <w:rPr>
                  <w:szCs w:val="24"/>
                  <w:lang w:eastAsia="lt-LT"/>
                </w:rPr>
                <w:t>Investicijų ir turto valdymo skyriaus vyriausioji specialistė</w:t>
                <w:tab/>
                <w:t xml:space="preserve">  Justė Kriuklienė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C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39D38B9-00D1-4547-A359-16E4B99040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0908135">
      <w:bodyDiv w:val="1"/>
      <w:marLeft w:val="0"/>
      <w:marRight w:val="0"/>
      <w:marTop w:val="0"/>
      <w:marBottom w:val="0"/>
      <w:divBdr>
        <w:top w:val="none" w:sz="0" w:space="0" w:color="auto"/>
        <w:left w:val="none" w:sz="0" w:space="0" w:color="auto"/>
        <w:bottom w:val="none" w:sz="0" w:space="0" w:color="auto"/>
        <w:right w:val="none" w:sz="0" w:space="0" w:color="auto"/>
      </w:divBdr>
      <w:divsChild>
        <w:div w:id="464473937">
          <w:marLeft w:val="0"/>
          <w:marRight w:val="0"/>
          <w:marTop w:val="0"/>
          <w:marBottom w:val="0"/>
          <w:divBdr>
            <w:top w:val="none" w:sz="0" w:space="0" w:color="auto"/>
            <w:left w:val="none" w:sz="0" w:space="0" w:color="auto"/>
            <w:bottom w:val="none" w:sz="0" w:space="0" w:color="auto"/>
            <w:right w:val="none" w:sz="0" w:space="0" w:color="auto"/>
          </w:divBdr>
          <w:divsChild>
            <w:div w:id="1794055041">
              <w:marLeft w:val="0"/>
              <w:marRight w:val="0"/>
              <w:marTop w:val="0"/>
              <w:marBottom w:val="0"/>
              <w:divBdr>
                <w:top w:val="none" w:sz="0" w:space="0" w:color="auto"/>
                <w:left w:val="none" w:sz="0" w:space="0" w:color="auto"/>
                <w:bottom w:val="none" w:sz="0" w:space="0" w:color="auto"/>
                <w:right w:val="none" w:sz="0" w:space="0" w:color="auto"/>
              </w:divBdr>
            </w:div>
            <w:div w:id="566840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246862">
      <w:bodyDiv w:val="1"/>
      <w:marLeft w:val="0"/>
      <w:marRight w:val="0"/>
      <w:marTop w:val="0"/>
      <w:marBottom w:val="0"/>
      <w:divBdr>
        <w:top w:val="none" w:sz="0" w:space="0" w:color="auto"/>
        <w:left w:val="none" w:sz="0" w:space="0" w:color="auto"/>
        <w:bottom w:val="none" w:sz="0" w:space="0" w:color="auto"/>
        <w:right w:val="none" w:sz="0" w:space="0" w:color="auto"/>
      </w:divBdr>
    </w:div>
    <w:div w:id="460348078">
      <w:bodyDiv w:val="1"/>
      <w:marLeft w:val="0"/>
      <w:marRight w:val="0"/>
      <w:marTop w:val="0"/>
      <w:marBottom w:val="0"/>
      <w:divBdr>
        <w:top w:val="none" w:sz="0" w:space="0" w:color="auto"/>
        <w:left w:val="none" w:sz="0" w:space="0" w:color="auto"/>
        <w:bottom w:val="none" w:sz="0" w:space="0" w:color="auto"/>
        <w:right w:val="none" w:sz="0" w:space="0" w:color="auto"/>
      </w:divBdr>
    </w:div>
    <w:div w:id="511381377">
      <w:bodyDiv w:val="1"/>
      <w:marLeft w:val="0"/>
      <w:marRight w:val="0"/>
      <w:marTop w:val="0"/>
      <w:marBottom w:val="0"/>
      <w:divBdr>
        <w:top w:val="none" w:sz="0" w:space="0" w:color="auto"/>
        <w:left w:val="none" w:sz="0" w:space="0" w:color="auto"/>
        <w:bottom w:val="none" w:sz="0" w:space="0" w:color="auto"/>
        <w:right w:val="none" w:sz="0" w:space="0" w:color="auto"/>
      </w:divBdr>
    </w:div>
    <w:div w:id="635065086">
      <w:bodyDiv w:val="1"/>
      <w:marLeft w:val="0"/>
      <w:marRight w:val="0"/>
      <w:marTop w:val="0"/>
      <w:marBottom w:val="0"/>
      <w:divBdr>
        <w:top w:val="none" w:sz="0" w:space="0" w:color="auto"/>
        <w:left w:val="none" w:sz="0" w:space="0" w:color="auto"/>
        <w:bottom w:val="none" w:sz="0" w:space="0" w:color="auto"/>
        <w:right w:val="none" w:sz="0" w:space="0" w:color="auto"/>
      </w:divBdr>
      <w:divsChild>
        <w:div w:id="2065132099">
          <w:marLeft w:val="0"/>
          <w:marRight w:val="0"/>
          <w:marTop w:val="0"/>
          <w:marBottom w:val="0"/>
          <w:divBdr>
            <w:top w:val="none" w:sz="0" w:space="0" w:color="auto"/>
            <w:left w:val="none" w:sz="0" w:space="0" w:color="auto"/>
            <w:bottom w:val="none" w:sz="0" w:space="0" w:color="auto"/>
            <w:right w:val="none" w:sz="0" w:space="0" w:color="auto"/>
          </w:divBdr>
          <w:divsChild>
            <w:div w:id="1631092708">
              <w:marLeft w:val="0"/>
              <w:marRight w:val="0"/>
              <w:marTop w:val="0"/>
              <w:marBottom w:val="0"/>
              <w:divBdr>
                <w:top w:val="none" w:sz="0" w:space="0" w:color="auto"/>
                <w:left w:val="none" w:sz="0" w:space="0" w:color="auto"/>
                <w:bottom w:val="none" w:sz="0" w:space="0" w:color="auto"/>
                <w:right w:val="none" w:sz="0" w:space="0" w:color="auto"/>
              </w:divBdr>
              <w:divsChild>
                <w:div w:id="2082680517">
                  <w:marLeft w:val="0"/>
                  <w:marRight w:val="0"/>
                  <w:marTop w:val="0"/>
                  <w:marBottom w:val="0"/>
                  <w:divBdr>
                    <w:top w:val="none" w:sz="0" w:space="0" w:color="auto"/>
                    <w:left w:val="none" w:sz="0" w:space="0" w:color="auto"/>
                    <w:bottom w:val="none" w:sz="0" w:space="0" w:color="auto"/>
                    <w:right w:val="none" w:sz="0" w:space="0" w:color="auto"/>
                  </w:divBdr>
                  <w:divsChild>
                    <w:div w:id="820120813">
                      <w:marLeft w:val="0"/>
                      <w:marRight w:val="0"/>
                      <w:marTop w:val="0"/>
                      <w:marBottom w:val="0"/>
                      <w:divBdr>
                        <w:top w:val="none" w:sz="0" w:space="0" w:color="auto"/>
                        <w:left w:val="none" w:sz="0" w:space="0" w:color="auto"/>
                        <w:bottom w:val="none" w:sz="0" w:space="0" w:color="auto"/>
                        <w:right w:val="none" w:sz="0" w:space="0" w:color="auto"/>
                      </w:divBdr>
                      <w:divsChild>
                        <w:div w:id="58500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1611859">
      <w:bodyDiv w:val="1"/>
      <w:marLeft w:val="0"/>
      <w:marRight w:val="0"/>
      <w:marTop w:val="0"/>
      <w:marBottom w:val="0"/>
      <w:divBdr>
        <w:top w:val="none" w:sz="0" w:space="0" w:color="auto"/>
        <w:left w:val="none" w:sz="0" w:space="0" w:color="auto"/>
        <w:bottom w:val="none" w:sz="0" w:space="0" w:color="auto"/>
        <w:right w:val="none" w:sz="0" w:space="0" w:color="auto"/>
      </w:divBdr>
    </w:div>
    <w:div w:id="2138377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4684D61-2652-4414-9130-FBF31197CE1B}">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15a7b05406413299246bdd2dc8f086" PartId="0b8914eadfc14d30bf24cfeefcd844fb">
    <Part Type="preambule" DocPartId="e3a6cee1aa6641f48c5414192dea8d21" PartId="71dcd5e275dc4ee39260beab7b6a663f"/>
    <Part Type="punktas" Nr="1" Abbr="1 p." DocPartId="742553714a21495fa26e8050b70f131c" PartId="8d4f6525340f4e0f8c9c7194ebf08f97">
      <Part Type="papunktis" Nr="1.1" Abbr="1.1 pp." DocPartId="ad66cd556e8444368f34b2e901f83dee" PartId="526ac8f615f94728a26416982a212d24">
        <Part Type="citata" DocPartId="9e57d42c699f4efc80aea0f5fe92c5bc" PartId="5a371fe60ca0485789cd426aabbf77ec">
          <Part Type="punktas" Nr="4" Abbr="4 p." DocPartId="b37544f7471b461488e6d94d1c4ff2e3" PartId="a52206300c2d41ada25f36ff1e303b57"/>
        </Part>
      </Part>
      <Part Type="papunktis" Nr="1.2" Abbr="1.2 pp." DocPartId="2d4f6f96c92b4f8e9ca8f24120c47e31" PartId="cafeba8b7d7546a097d3b7d007228a70">
        <Part Type="citata" DocPartId="62014a090cb44af099de81b9d26e2e07" PartId="aec77bdce2fc4618953586ff0a7aa5f2">
          <Part Type="punktas" Nr="6" Abbr="6 p." DocPartId="8ed4a7ca58394d7e8cefe4d15590efad" PartId="d9dc92d4333d4ef39681eb7e4af9e67f"/>
        </Part>
      </Part>
      <Part Type="papunktis" Nr="1.3" Abbr="1.3 pp." DocPartId="b8873ab4c58841779dd530db87d4dae9" PartId="398b5ab7f10e4f7ab926cd600d473b7a">
        <Part Type="citata" DocPartId="04ea5c45bc4a4158a12af2d8831cac42" PartId="26d1ae14dcba45989b18b669311b3c9b">
          <Part Type="punktas" Nr="6-1" Abbr="6-1 p." DocPartId="07b238fd6b5a45cd9ef9d25f4c4dce1e" PartId="4dfab0de44c44fa983ec95445466bb5a"/>
        </Part>
      </Part>
      <Part Type="papunktis" Nr="1.4" Abbr="1.4 pp." DocPartId="d6b9de9915b84ff1acc595066d2ccb4d" PartId="a917598b45604ba6842dac4135c155c5">
        <Part Type="citata" DocPartId="ffa43fc541c94f8082089e357e7abc48" PartId="f1397fe8ad024279942465c131be7f7d">
          <Part Type="punktas" Nr="7" Abbr="7 p." DocPartId="e3b23a777f1d46d39eb47290c4120a13" PartId="8863578cf59d4ba78cee84fe713c8e2d"/>
        </Part>
      </Part>
      <Part Type="papunktis" Nr="1.5" Abbr="1.5 pp." DocPartId="7137801fa8284d409aed680d97c0456c" PartId="44578d1c812547aaafbd652b132571b8">
        <Part Type="citata" DocPartId="0ad12c09aa6c4e64aae267daf943d700" PartId="0703026847d347aa8bd2d7fa8f6e60ed">
          <Part Type="punktas" Nr="12" Abbr="12 p." DocPartId="ccc9b7a181f6440282ad0bd0fb608536" PartId="ff6dea35f0e449618a44d65e5f9ef066"/>
        </Part>
      </Part>
      <Part Type="papunktis" Nr="1.6" Abbr="1.6 pp." DocPartId="a40301ecf6474640850f3d164b74dd59" PartId="37b2f511df9b4e86a00787565d6bc217">
        <Part Type="citata" DocPartId="7ca0e0f50c2a49479d644b7e95dda45f" PartId="6531b3770e304174b6129502ec6f8c3e">
          <Part Type="punktas" Nr="12-1" Abbr="12-1 p." DocPartId="2530a7bc7cd34140a6151bc2301ecc74" PartId="38815961e6e747158909816937e8f3f1"/>
        </Part>
      </Part>
    </Part>
    <Part Type="punktas" Nr="2" Abbr="2 p." DocPartId="14b72b93943046abad8f4a30bf9f0c53" PartId="f5a7783f757f4b4fa804aba696487085"/>
    <Part Type="skirsnis" Title="RADVILIŠKIO RAJONO SAVIVALDYBĖS TARYBOS SPRENDIMO PROJEKTO „DĖL INDIVIDUALIŲ GERIAMOJO VANDENS IŠGAVIMO IR GERINIMO ĮRENGINIŲ ĮSIGIJIMO IR ĮRENGIMO DALINIO FINANSAVIMO TVARKOS APRAŠO, PATVIRTINTO RADVILIŠKIO RAJONO SAVIVALDYBĖS TARYBOS 2021 M. LAPKRIČIO 25 D. SPRENDIMU NR. T-603 „DĖL INDIVIDUALIŲ GERIAMOJO VANDENS IŠGAVIMO IR GERINIMO ĮRENGINIŲ ĮSIGIJIMO IR ĮRENGIMO DALINIO FINANSAVIMO TVARKOS APRAŠO PATVIRTINIMO“, PAKEITIMO“ AIŠKINAMASIS RAŠTAS" DocPartId="e01b930e309441fc8a3ea4271c48bece" PartId="b0331d0fd3d44f5d8796c8c1fda820c2">
      <Part Type="punktas" Nr="1" Abbr="1 p." DocPartId="e347071b638c432689d31f290bb04172" PartId="c14212ce301a46f4957fdbe59908ccf5"/>
      <Part Type="punktas" Nr="2" Abbr="2 p." DocPartId="fcac4d3b231744259583152af57b2771" PartId="06eb0beb73594a608d241160c1a61f08"/>
      <Part Type="punktas" Nr="3" Abbr="3 p." DocPartId="792fd0d984624232b5803cf699f23dec" PartId="c2ee4ae0fab743c38999c88de4ab188e"/>
      <Part Type="punktas" Nr="4" Abbr="4 p." DocPartId="688b64231475484db744f12cf392e197" PartId="9b2dff3a77404610bbff2e41cf7793ce"/>
      <Part Type="punktas" Nr="5" Abbr="5 p." DocPartId="03745c137bf34051991edaddf35ca2a7" PartId="ebf7a83515124cfc8bcfa275cc0c02cf"/>
      <Part Type="punktas" Nr="6" Abbr="6 p." DocPartId="8d1e0ec3b1bb417589e97879831f878f" PartId="506ded378ed94df9b104eccfbb19016b"/>
      <Part Type="punktas" Nr="7" Abbr="7 p." DocPartId="fb5119120f71479fb5a2702f12f5cccf" PartId="acd3a7c63541423ba60e580b935702e6"/>
      <Part Type="punktas" Nr="8" Abbr="8 p." DocPartId="8744b09bd8dc4e899e3a60877dd1d047" PartId="7ce96a3d8ef6411e88a795abfe16d340"/>
      <Part Type="punktas" Nr="9" Abbr="9 p." DocPartId="9ed8ac862df6438b8f26eab4997b6316" PartId="a7783ee6bfcc49eca6582216570d9712"/>
      <Part Type="punktas" Nr="10" Abbr="10 p." DocPartId="f751b4f524664b1f8b3242b531792aa0" PartId="c1f82b6c146041f5a3cd5874a202aae2"/>
      <Part Type="punktas" Nr="11" Abbr="11 p." DocPartId="f7508ce7d5f640e9a672df484f21d4ff" PartId="c52f2d888df146dcab9d49cb855f9181"/>
      <Part Type="punktas" Nr="12" Abbr="12 p." DocPartId="a6440b4123f24f1bb2412b69e682acb6" PartId="ec1b9cec08554e4886bb28eb4923bbdc"/>
    </Part>
    <Part Type="signatura" DocPartId="5b63588869d446dd8198c6042b3402a7" PartId="5afe93d42ffc47adb01cfb1e985bf4f3"/>
  </Part>
</Parts>
</file>

<file path=customXml/itemProps1.xml><?xml version="1.0" encoding="utf-8"?>
<ds:datastoreItem xmlns:ds="http://schemas.openxmlformats.org/officeDocument/2006/customXml" ds:itemID="{EFA3D31B-E7FF-4332-8693-5A2B42C257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1118</Words>
  <Characters>8223</Characters>
  <Application>Microsoft Office Word</Application>
  <DocSecurity>4</DocSecurity>
  <Lines>146</Lines>
  <Paragraphs>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9275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2024-12-16T13:17:00Z</dcterms:created>
  <dc:creator>No.13</dc:creator>
  <lastModifiedBy>adlibuser</lastModifiedBy>
  <lastPrinted>2024-12-09T06:18:00Z</lastPrinted>
  <dcterms:modified xsi:type="dcterms:W3CDTF">2024-12-16T13:17:00Z</dcterms:modified>
  <revision>2</revision>
</coreProperties>
</file>