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12701a81cbd4fafa8fca373ba8e6f21"/>
        <w:lock w:val="sdtLocked"/>
        <w:richText/>
      </w:sdtPr>
      <w:sdtContent>
        <w:p>
          <w:pPr>
            <w:tabs>
              <w:tab w:val="left" w:pos="7655"/>
            </w:tabs>
            <w:ind w:firstLine="7655"/>
            <w:rPr>
              <w:b/>
              <w:bCs/>
              <w:szCs w:val="22"/>
            </w:rPr>
          </w:pPr>
          <w:r>
            <w:rPr>
              <w:b/>
              <w:bCs/>
              <w:szCs w:val="22"/>
            </w:rPr>
            <w:t>Projektas</w:t>
          </w:r>
        </w:p>
        <w:p>
          <w:pPr>
            <w:tabs>
              <w:tab w:val="left" w:pos="7655"/>
            </w:tabs>
            <w:ind w:firstLine="7655"/>
            <w:rPr>
              <w:szCs w:val="22"/>
            </w:rPr>
          </w:pPr>
          <w:r>
            <w:rPr>
              <w:szCs w:val="22"/>
            </w:rPr>
            <w:t>Nr. TSP-</w:t>
          </w:r>
        </w:p>
        <w:p>
          <w:pPr>
            <w:tabs>
              <w:tab w:val="left" w:pos="7655"/>
            </w:tabs>
            <w:rPr>
              <w:szCs w:val="22"/>
            </w:rPr>
          </w:pPr>
        </w:p>
        <w:p>
          <w:pPr>
            <w:jc w:val="center"/>
            <w:rPr>
              <w:b/>
              <w:caps/>
              <w:szCs w:val="24"/>
            </w:rPr>
          </w:pPr>
          <w:r>
            <w:rPr>
              <w:b/>
              <w:caps/>
              <w:szCs w:val="24"/>
            </w:rPr>
            <w:t>Radviliškio rajono SAVIVALDYBĖS TARYBA</w:t>
          </w:r>
        </w:p>
        <w:p>
          <w:pPr>
            <w:jc w:val="center"/>
            <w:rPr>
              <w:b/>
              <w:szCs w:val="24"/>
            </w:rPr>
          </w:pPr>
        </w:p>
        <w:p>
          <w:pPr>
            <w:jc w:val="center"/>
            <w:rPr>
              <w:b/>
              <w:szCs w:val="24"/>
            </w:rPr>
          </w:pPr>
          <w:r>
            <w:rPr>
              <w:b/>
              <w:szCs w:val="24"/>
            </w:rPr>
            <w:t>SPRENDIMAS</w:t>
          </w:r>
        </w:p>
        <w:tbl>
          <w:tblPr>
            <w:tblW w:w="0" w:type="auto"/>
            <w:jc w:val="center"/>
            <w:tblLook w:val="0000" w:firstRow="0" w:lastRow="0" w:firstColumn="0" w:lastColumn="0" w:noHBand="0" w:noVBand="0"/>
          </w:tblPr>
          <w:tblGrid>
            <w:gridCol w:w="9638"/>
          </w:tblGrid>
          <w:tr>
            <w:trPr>
              <w:jc w:val="center"/>
            </w:trPr>
            <w:tc>
              <w:tcPr>
                <w:tcW w:w="9645" w:type="dxa"/>
              </w:tcPr>
              <w:p>
                <w:pPr>
                  <w:jc w:val="center"/>
                  <w:rPr>
                    <w:b/>
                    <w:caps/>
                    <w:szCs w:val="24"/>
                  </w:rPr>
                </w:pPr>
                <w:r>
                  <w:rPr>
                    <w:b/>
                    <w:caps/>
                    <w:szCs w:val="24"/>
                  </w:rPr>
                  <w:t>DĖL sutikimo perimti Valstybės turtą VALDYTI NUOSAVYBĖS TEISE ir jo perdavimo valdyti, naudoti ir disponuoti patikėjimo teise Radviliškio rajono savivaldybės viešajai bibliotekai</w:t>
                </w:r>
              </w:p>
            </w:tc>
          </w:tr>
        </w:tbl>
        <w:p>
          <w:pPr>
            <w:jc w:val="center"/>
            <w:rPr>
              <w:szCs w:val="22"/>
            </w:rPr>
          </w:pPr>
        </w:p>
        <w:p>
          <w:pPr>
            <w:jc w:val="center"/>
            <w:rPr>
              <w:szCs w:val="22"/>
            </w:rPr>
          </w:pPr>
          <w:r>
            <w:rPr>
              <w:szCs w:val="22"/>
            </w:rPr>
            <w:t xml:space="preserve">2025 m.                            d. Nr. T-</w:t>
          </w:r>
        </w:p>
        <w:p>
          <w:pPr>
            <w:jc w:val="center"/>
            <w:rPr>
              <w:szCs w:val="22"/>
            </w:rPr>
          </w:pPr>
          <w:r>
            <w:rPr>
              <w:szCs w:val="22"/>
            </w:rPr>
            <w:t xml:space="preserve">Radviliškis </w:t>
          </w:r>
        </w:p>
        <w:p>
          <w:pPr>
            <w:rPr>
              <w:color w:val="000000"/>
              <w:szCs w:val="24"/>
              <w14:ligatures w14:val="standardContextual"/>
            </w:rPr>
          </w:pPr>
        </w:p>
        <w:p>
          <w:pPr>
            <w:ind w:firstLine="680"/>
            <w:jc w:val="both"/>
            <w:rPr>
              <w:szCs w:val="24"/>
            </w:rPr>
          </w:pPr>
          <w:r>
            <w:rPr>
              <w:spacing w:val="-4"/>
              <w:szCs w:val="24"/>
            </w:rPr>
            <w:t xml:space="preserve">Vadovaudamasi Lietuvos Respublikos vietos savivaldos įstatymo 6 straipsnio 13 ir 24 punktais, 15 straipsnio 2 dalies 19 punktu, Lietuvos Respublikos valstybės ir savivaldybių turto valdymo, naudojimo ir disponavimo juo įstatymo 6 straipsnio 2 punktu, </w:t>
          </w:r>
          <w:r>
            <w:rPr>
              <w:szCs w:val="24"/>
            </w:rPr>
            <w:t>12 straipsnio 1 ir 2 dalimis ir 20 straipsnio 1 dalies 4 punktu</w:t>
          </w:r>
          <w:r>
            <w:rPr>
              <w:spacing w:val="-4"/>
              <w:szCs w:val="24"/>
            </w:rPr>
            <w:t xml:space="preserve">, atsižvelgdama į Lietuvos nacionalinės Martyno Mažvydo bibliotekos 2025 m. sausio 28 d. raštą Nr. </w:t>
          </w:r>
          <w:r>
            <w:rPr>
              <w:szCs w:val="24"/>
            </w:rPr>
            <w:t xml:space="preserve">SD-25-86 </w:t>
          </w:r>
          <w:r>
            <w:rPr>
              <w:spacing w:val="-4"/>
              <w:szCs w:val="24"/>
            </w:rPr>
            <w:t>„Dėl sutikimo perimti valstybės turtą“ ir vasario 25 d. raštą Nr. SD-25-174 „Aiškinamasis raštas dėl sutikimo perimti valstybės turtą“, Radviliškio rajono savivaldybės taryba</w:t>
          </w:r>
          <w:r>
            <w:rPr>
              <w:spacing w:val="54"/>
              <w:szCs w:val="24"/>
            </w:rPr>
            <w:t xml:space="preserve"> </w:t>
          </w:r>
          <w:r>
            <w:rPr>
              <w:spacing w:val="40"/>
              <w:szCs w:val="24"/>
            </w:rPr>
            <w:t>nusprendži</w:t>
          </w:r>
          <w:r>
            <w:rPr>
              <w:szCs w:val="24"/>
            </w:rPr>
            <w:t>a:</w:t>
          </w:r>
        </w:p>
        <w:sdt>
          <w:sdtPr>
            <w:alias w:val="1 p."/>
            <w:tag w:val="part_5cd1b74efff048ad813884399ef8ef46"/>
            <w:lock w:val="sdtLocked"/>
            <w:richText/>
          </w:sdtPr>
          <w:sdtContent>
            <w:p>
              <w:pPr>
                <w:tabs>
                  <w:tab w:val="left" w:pos="1077"/>
                </w:tabs>
                <w:ind w:firstLine="680"/>
                <w:jc w:val="both"/>
                <w:rPr>
                  <w:szCs w:val="22"/>
                </w:rPr>
              </w:pPr>
              <w:sdt>
                <w:sdtPr>
                  <w:alias w:val="Numeris"/>
                  <w:tag w:val="nr_5cd1b74efff048ad813884399ef8ef46"/>
                  <w:lock w:val="sdtLocked"/>
                  <w:richText/>
                </w:sdtPr>
                <w:sdtContent>
                  <w:r>
                    <w:rPr>
                      <w:szCs w:val="22"/>
                    </w:rPr>
                    <w:t>1</w:t>
                  </w:r>
                </w:sdtContent>
              </w:sdt>
              <w:r>
                <w:rPr>
                  <w:szCs w:val="22"/>
                </w:rPr>
                <w:t>.</w:t>
                <w:tab/>
                <w:t xml:space="preserve">Sutikti perimti Radviliškio rajono savivaldybės nuosavybėn savarankiškosioms savivaldybės funkcijoms įgyvendinti valstybei nuosavybės teise priklausantį, šiuo metu Lietuvos nacionalinės Martyno Mažvydo bibliotekos patikėjimo teise valdomą trumpalaikį materialųjį turtą: </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90"/>
                <w:gridCol w:w="1134"/>
                <w:gridCol w:w="2055"/>
                <w:gridCol w:w="2055"/>
              </w:tblGrid>
              <w:tr>
                <w:trPr>
                  <w:trHeight w:val="623"/>
                </w:trPr>
                <w:tc>
                  <w:tcPr>
                    <w:tcW w:w="4390" w:type="dxa"/>
                    <w:noWrap/>
                    <w:vAlign w:val="center"/>
                  </w:tcPr>
                  <w:p>
                    <w:pPr>
                      <w:jc w:val="center"/>
                      <w:rPr>
                        <w:b/>
                        <w:szCs w:val="22"/>
                      </w:rPr>
                    </w:pPr>
                    <w:r>
                      <w:rPr>
                        <w:b/>
                        <w:szCs w:val="22"/>
                      </w:rPr>
                      <w:t>Turto pavadinimas</w:t>
                    </w:r>
                  </w:p>
                </w:tc>
                <w:tc>
                  <w:tcPr>
                    <w:tcW w:w="1134" w:type="dxa"/>
                    <w:noWrap/>
                    <w:vAlign w:val="center"/>
                  </w:tcPr>
                  <w:p>
                    <w:pPr>
                      <w:ind w:left="-113" w:right="-113"/>
                      <w:jc w:val="center"/>
                      <w:rPr>
                        <w:b/>
                        <w:szCs w:val="22"/>
                      </w:rPr>
                    </w:pPr>
                    <w:r>
                      <w:rPr>
                        <w:b/>
                        <w:szCs w:val="22"/>
                      </w:rPr>
                      <w:t>Kiekis vienetais</w:t>
                    </w:r>
                  </w:p>
                </w:tc>
                <w:tc>
                  <w:tcPr>
                    <w:tcW w:w="2055" w:type="dxa"/>
                    <w:noWrap/>
                    <w:vAlign w:val="center"/>
                  </w:tcPr>
                  <w:p>
                    <w:pPr>
                      <w:ind w:left="-113" w:right="-113"/>
                      <w:jc w:val="center"/>
                      <w:rPr>
                        <w:b/>
                        <w:szCs w:val="22"/>
                      </w:rPr>
                    </w:pPr>
                    <w:r>
                      <w:rPr>
                        <w:b/>
                        <w:szCs w:val="22"/>
                      </w:rPr>
                      <w:t>Vieneto įsigijimo vertė eurais</w:t>
                    </w:r>
                  </w:p>
                </w:tc>
                <w:tc>
                  <w:tcPr>
                    <w:tcW w:w="2055" w:type="dxa"/>
                    <w:noWrap/>
                    <w:vAlign w:val="center"/>
                  </w:tcPr>
                  <w:p>
                    <w:pPr>
                      <w:jc w:val="center"/>
                      <w:rPr>
                        <w:b/>
                        <w:szCs w:val="22"/>
                      </w:rPr>
                    </w:pPr>
                    <w:r>
                      <w:rPr>
                        <w:b/>
                        <w:szCs w:val="22"/>
                      </w:rPr>
                      <w:t>Bendra įsigijimo vertė eurais</w:t>
                    </w:r>
                  </w:p>
                </w:tc>
              </w:tr>
              <w:tr>
                <w:trPr>
                  <w:trHeight w:val="671"/>
                </w:trPr>
                <w:tc>
                  <w:tcPr>
                    <w:tcW w:w="4390" w:type="dxa"/>
                    <w:noWrap/>
                    <w:vAlign w:val="center"/>
                  </w:tcPr>
                  <w:p>
                    <w:pPr>
                      <w:ind w:right="-113"/>
                      <w:rPr>
                        <w:szCs w:val="22"/>
                      </w:rPr>
                    </w:pPr>
                    <w:r>
                      <w:rPr>
                        <w:color w:val="000000"/>
                        <w:szCs w:val="24"/>
                        <w14:ligatures w14:val="standardContextual"/>
                      </w:rPr>
                      <w:t xml:space="preserve">Stacionarus kompiuteris </w:t>
                    </w:r>
                    <w:r>
                      <w:rPr>
                        <w:color w:val="000000"/>
                        <w:szCs w:val="22"/>
                        <w14:ligatures w14:val="standardContextual"/>
                      </w:rPr>
                      <w:t>DELL OptiPplex All-in-One 7420 23</w:t>
                    </w:r>
                    <w:r>
                      <w:rPr>
                        <w:rFonts w:ascii="Arial" w:hAnsi="Arial" w:cs="Arial"/>
                        <w:color w:val="000000"/>
                        <w:szCs w:val="22"/>
                        <w14:ligatures w14:val="standardContextual"/>
                      </w:rPr>
                      <w:t>"</w:t>
                    </w:r>
                    <w:r>
                      <w:rPr>
                        <w:color w:val="000000"/>
                        <w:szCs w:val="22"/>
                        <w14:ligatures w14:val="standardContextual"/>
                      </w:rPr>
                      <w:t xml:space="preserve"> (ALL-IN-ONE)</w:t>
                    </w:r>
                  </w:p>
                </w:tc>
                <w:tc>
                  <w:tcPr>
                    <w:tcW w:w="1134" w:type="dxa"/>
                    <w:noWrap/>
                    <w:vAlign w:val="center"/>
                  </w:tcPr>
                  <w:p>
                    <w:pPr>
                      <w:jc w:val="center"/>
                      <w:rPr>
                        <w:color w:val="000000"/>
                        <w:szCs w:val="22"/>
                      </w:rPr>
                    </w:pPr>
                    <w:r>
                      <w:rPr>
                        <w:color w:val="000000"/>
                        <w:szCs w:val="22"/>
                      </w:rPr>
                      <w:t>5</w:t>
                    </w:r>
                  </w:p>
                </w:tc>
                <w:tc>
                  <w:tcPr>
                    <w:tcW w:w="2055" w:type="dxa"/>
                    <w:noWrap/>
                    <w:vAlign w:val="center"/>
                  </w:tcPr>
                  <w:p>
                    <w:pPr>
                      <w:jc w:val="center"/>
                      <w:rPr>
                        <w:color w:val="000000"/>
                        <w:szCs w:val="24"/>
                        <w14:ligatures w14:val="standardContextual"/>
                      </w:rPr>
                    </w:pPr>
                    <w:r>
                      <w:rPr>
                        <w:color w:val="000000"/>
                        <w:szCs w:val="24"/>
                        <w14:ligatures w14:val="standardContextual"/>
                      </w:rPr>
                      <w:t>745,36</w:t>
                    </w:r>
                  </w:p>
                </w:tc>
                <w:tc>
                  <w:tcPr>
                    <w:tcW w:w="2055" w:type="dxa"/>
                    <w:noWrap/>
                    <w:vAlign w:val="center"/>
                  </w:tcPr>
                  <w:p>
                    <w:pPr>
                      <w:jc w:val="center"/>
                      <w:rPr>
                        <w:color w:val="000000"/>
                        <w:szCs w:val="24"/>
                        <w14:ligatures w14:val="standardContextual"/>
                      </w:rPr>
                    </w:pPr>
                    <w:r>
                      <w:rPr>
                        <w:color w:val="000000"/>
                        <w:szCs w:val="24"/>
                        <w14:ligatures w14:val="standardContextual"/>
                      </w:rPr>
                      <w:t>3 726,80</w:t>
                    </w:r>
                  </w:p>
                </w:tc>
              </w:tr>
            </w:tbl>
            <w:p>
              <w:pPr>
                <w:rPr>
                  <w:sz w:val="2"/>
                  <w:szCs w:val="2"/>
                </w:rPr>
              </w:pPr>
            </w:p>
          </w:sdtContent>
        </w:sdt>
        <w:sdt>
          <w:sdtPr>
            <w:alias w:val="2 p."/>
            <w:tag w:val="part_195ccca2fd5445dd8cdfa94a9cb7ab2b"/>
            <w:lock w:val="sdtLocked"/>
            <w:richText/>
          </w:sdtPr>
          <w:sdtContent>
            <w:p>
              <w:pPr>
                <w:tabs>
                  <w:tab w:val="left" w:pos="1077"/>
                </w:tabs>
                <w:ind w:firstLine="680"/>
                <w:jc w:val="both"/>
                <w:rPr>
                  <w:szCs w:val="22"/>
                </w:rPr>
              </w:pPr>
              <w:sdt>
                <w:sdtPr>
                  <w:alias w:val="Numeris"/>
                  <w:tag w:val="nr_195ccca2fd5445dd8cdfa94a9cb7ab2b"/>
                  <w:lock w:val="sdtLocked"/>
                  <w:richText/>
                </w:sdtPr>
                <w:sdtContent>
                  <w:r>
                    <w:rPr>
                      <w:szCs w:val="22"/>
                    </w:rPr>
                    <w:t>2</w:t>
                  </w:r>
                </w:sdtContent>
              </w:sdt>
              <w:r>
                <w:rPr>
                  <w:szCs w:val="22"/>
                </w:rPr>
                <w:t>.</w:t>
                <w:tab/>
                <w:t>Perimtą turtą naudoti Radviliškio rajono savivaldybės viešosios bibliotekos veiklai, plėtojant viešosios interneto prieigos paslaugų teikimą.</w:t>
              </w:r>
            </w:p>
          </w:sdtContent>
        </w:sdt>
        <w:sdt>
          <w:sdtPr>
            <w:alias w:val="3 p."/>
            <w:tag w:val="part_559b5e88447c49ddbe0829c4d82b84a2"/>
            <w:lock w:val="sdtLocked"/>
            <w:richText/>
          </w:sdtPr>
          <w:sdtContent>
            <w:p>
              <w:pPr>
                <w:tabs>
                  <w:tab w:val="left" w:pos="1077"/>
                </w:tabs>
                <w:ind w:firstLine="680"/>
                <w:jc w:val="both"/>
                <w:rPr>
                  <w:szCs w:val="22"/>
                </w:rPr>
              </w:pPr>
              <w:sdt>
                <w:sdtPr>
                  <w:alias w:val="Numeris"/>
                  <w:tag w:val="nr_559b5e88447c49ddbe0829c4d82b84a2"/>
                  <w:lock w:val="sdtLocked"/>
                  <w:richText/>
                </w:sdtPr>
                <w:sdtContent>
                  <w:r>
                    <w:rPr>
                      <w:szCs w:val="22"/>
                    </w:rPr>
                    <w:t>3</w:t>
                  </w:r>
                </w:sdtContent>
              </w:sdt>
              <w:r>
                <w:rPr>
                  <w:szCs w:val="22"/>
                </w:rPr>
                <w:t>.</w:t>
                <w:tab/>
                <w:t>Perduoti šio sprendimo 1 punkte nurodytą ir Savivaldybės nuosavybėn perimtą turtą Radviliškio rajono savivaldybės viešajai bibliotekai valdyti, naudoti ir disponuoti juo patikėjimo teise.</w:t>
              </w:r>
            </w:p>
          </w:sdtContent>
        </w:sdt>
        <w:sdt>
          <w:sdtPr>
            <w:alias w:val="4 p."/>
            <w:tag w:val="part_aeabb8b2087444e0b53b1b40c8339391"/>
            <w:lock w:val="sdtLocked"/>
            <w:richText/>
          </w:sdtPr>
          <w:sdtContent>
            <w:p>
              <w:pPr>
                <w:tabs>
                  <w:tab w:val="left" w:pos="1077"/>
                </w:tabs>
                <w:ind w:firstLine="680"/>
                <w:jc w:val="both"/>
                <w:rPr>
                  <w:szCs w:val="22"/>
                </w:rPr>
              </w:pPr>
              <w:sdt>
                <w:sdtPr>
                  <w:alias w:val="Numeris"/>
                  <w:tag w:val="nr_aeabb8b2087444e0b53b1b40c8339391"/>
                  <w:lock w:val="sdtLocked"/>
                  <w:richText/>
                </w:sdtPr>
                <w:sdtContent>
                  <w:r>
                    <w:rPr>
                      <w:szCs w:val="22"/>
                    </w:rPr>
                    <w:t>4</w:t>
                  </w:r>
                </w:sdtContent>
              </w:sdt>
              <w:r>
                <w:rPr>
                  <w:szCs w:val="22"/>
                </w:rPr>
                <w:t>.</w:t>
                <w:tab/>
                <w:t>Įgalioti Radviliškio rajono savivaldybės administracijos direktorių Radviliškio rajono savivaldybės vardu pasirašyti:</w:t>
              </w:r>
            </w:p>
            <w:sdt>
              <w:sdtPr>
                <w:alias w:val="4.1 pp."/>
                <w:tag w:val="part_9b88992106c349a0918309b8f3bd5371"/>
                <w:lock w:val="sdtLocked"/>
                <w:richText/>
              </w:sdtPr>
              <w:sdtContent>
                <w:p>
                  <w:pPr>
                    <w:tabs>
                      <w:tab w:val="num" w:pos="1077"/>
                    </w:tabs>
                    <w:ind w:firstLine="680"/>
                    <w:jc w:val="both"/>
                    <w:rPr>
                      <w:iCs/>
                      <w:spacing w:val="-4"/>
                      <w:szCs w:val="22"/>
                    </w:rPr>
                  </w:pPr>
                  <w:sdt>
                    <w:sdtPr>
                      <w:alias w:val="Numeris"/>
                      <w:tag w:val="nr_9b88992106c349a0918309b8f3bd5371"/>
                      <w:lock w:val="sdtLocked"/>
                      <w:richText/>
                    </w:sdtPr>
                    <w:sdtContent>
                      <w:r>
                        <w:rPr>
                          <w:rFonts w:eastAsia="MS Mincho"/>
                          <w:spacing w:val="-4"/>
                          <w:szCs w:val="22"/>
                        </w:rPr>
                        <w:t>4.1</w:t>
                      </w:r>
                    </w:sdtContent>
                  </w:sdt>
                  <w:r>
                    <w:rPr>
                      <w:rFonts w:eastAsia="MS Mincho"/>
                      <w:spacing w:val="-4"/>
                      <w:szCs w:val="22"/>
                    </w:rPr>
                    <w:t>.</w:t>
                  </w:r>
                  <w:r>
                    <w:rPr>
                      <w:rFonts w:eastAsia="MS Mincho"/>
                      <w:spacing w:val="-4"/>
                      <w:sz w:val="32"/>
                      <w:szCs w:val="32"/>
                    </w:rPr>
                    <w:t xml:space="preserve"> </w:t>
                  </w:r>
                  <w:r>
                    <w:rPr>
                      <w:rFonts w:eastAsia="MS Mincho"/>
                      <w:spacing w:val="-4"/>
                      <w:szCs w:val="22"/>
                    </w:rPr>
                    <w:t xml:space="preserve">sprendimo 1 punkte nurodyto </w:t>
                  </w:r>
                  <w:r>
                    <w:rPr>
                      <w:szCs w:val="22"/>
                    </w:rPr>
                    <w:t xml:space="preserve">Radviliškio rajono </w:t>
                  </w:r>
                  <w:r>
                    <w:rPr>
                      <w:rFonts w:eastAsia="MS Mincho"/>
                      <w:spacing w:val="-4"/>
                      <w:szCs w:val="22"/>
                    </w:rPr>
                    <w:t xml:space="preserve">savivaldybės </w:t>
                  </w:r>
                  <w:r>
                    <w:rPr>
                      <w:rFonts w:eastAsia="MS Mincho"/>
                      <w:szCs w:val="22"/>
                    </w:rPr>
                    <w:t>nuosavybėn</w:t>
                  </w:r>
                  <w:r>
                    <w:rPr>
                      <w:rFonts w:eastAsia="MS Mincho"/>
                      <w:spacing w:val="-4"/>
                      <w:szCs w:val="22"/>
                    </w:rPr>
                    <w:t xml:space="preserve"> perimamo turto perdavimo ir priėmimo aktą</w:t>
                  </w:r>
                  <w:r>
                    <w:rPr>
                      <w:iCs/>
                      <w:spacing w:val="-4"/>
                      <w:szCs w:val="22"/>
                    </w:rPr>
                    <w:t>;</w:t>
                  </w:r>
                </w:p>
              </w:sdtContent>
            </w:sdt>
            <w:sdt>
              <w:sdtPr>
                <w:alias w:val="4.2 pp."/>
                <w:tag w:val="part_e2690db56ba540778b258662345a83e5"/>
                <w:lock w:val="sdtLocked"/>
                <w:richText/>
              </w:sdtPr>
              <w:sdtContent>
                <w:p>
                  <w:pPr>
                    <w:tabs>
                      <w:tab w:val="num" w:pos="1077"/>
                    </w:tabs>
                    <w:ind w:firstLine="680"/>
                    <w:jc w:val="both"/>
                    <w:rPr>
                      <w:szCs w:val="22"/>
                    </w:rPr>
                  </w:pPr>
                  <w:sdt>
                    <w:sdtPr>
                      <w:alias w:val="Numeris"/>
                      <w:tag w:val="nr_e2690db56ba540778b258662345a83e5"/>
                      <w:lock w:val="sdtLocked"/>
                      <w:richText/>
                    </w:sdtPr>
                    <w:sdtContent>
                      <w:r>
                        <w:rPr>
                          <w:szCs w:val="22"/>
                        </w:rPr>
                        <w:t>4.2</w:t>
                      </w:r>
                    </w:sdtContent>
                  </w:sdt>
                  <w:r>
                    <w:rPr>
                      <w:szCs w:val="22"/>
                    </w:rPr>
                    <w:t xml:space="preserve">. Savivaldybės nuosavybėn perimto, šio sprendimo 1 punkte nurodyto turto perdavimo ir priėmimo aktą su Radviliškio rajono savivaldybės viešąja biblioteka. </w:t>
                  </w:r>
                </w:p>
              </w:sdtContent>
            </w:sdt>
          </w:sdtContent>
        </w:sdt>
        <w:sdt>
          <w:sdtPr>
            <w:alias w:val="5 p."/>
            <w:tag w:val="part_33c48c2bb8f449709185758f95094a4e"/>
            <w:lock w:val="sdtLocked"/>
            <w:richText/>
          </w:sdtPr>
          <w:sdtContent>
            <w:p>
              <w:pPr>
                <w:tabs>
                  <w:tab w:val="left" w:pos="1077"/>
                </w:tabs>
                <w:ind w:firstLine="680"/>
                <w:jc w:val="both"/>
                <w:rPr>
                  <w:szCs w:val="22"/>
                </w:rPr>
              </w:pPr>
              <w:sdt>
                <w:sdtPr>
                  <w:alias w:val="Numeris"/>
                  <w:tag w:val="nr_33c48c2bb8f449709185758f95094a4e"/>
                  <w:lock w:val="sdtLocked"/>
                  <w:richText/>
                </w:sdtPr>
                <w:sdtContent>
                  <w:r>
                    <w:rPr>
                      <w:szCs w:val="22"/>
                    </w:rPr>
                    <w:t>5</w:t>
                  </w:r>
                </w:sdtContent>
              </w:sdt>
              <w:r>
                <w:rPr>
                  <w:szCs w:val="22"/>
                </w:rPr>
                <w:t>.</w:t>
                <w:tab/>
                <w:t>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pPr>
                <w:rPr>
                  <w:szCs w:val="24"/>
                </w:rPr>
              </w:pPr>
            </w:p>
            <w:p>
              <w:pPr>
                <w:rPr>
                  <w:szCs w:val="24"/>
                </w:rPr>
              </w:pPr>
            </w:p>
            <w:p>
              <w:pPr>
                <w:rPr>
                  <w:szCs w:val="24"/>
                </w:rPr>
              </w:pPr>
            </w:p>
            <w:p>
              <w:pPr>
                <w:rPr>
                  <w:szCs w:val="24"/>
                </w:rPr>
              </w:pPr>
              <w:r>
                <w:rPr>
                  <w:szCs w:val="24"/>
                </w:rPr>
                <w:t>Savivaldybės meras</w:t>
                <w:tab/>
                <w:tab/>
                <w:tab/>
                <w:tab/>
                <w:tab/>
                <w:tab/>
                <w:tab/>
                <w:tab/>
                <w:t xml:space="preserve">   </w:t>
              </w:r>
            </w:p>
            <w:p>
              <w:pPr>
                <w:rPr>
                  <w:szCs w:val="24"/>
                </w:rPr>
              </w:pPr>
            </w:p>
            <w:p>
              <w:pPr>
                <w:rPr>
                  <w:rFonts w:ascii="TimesLT" w:hAnsi="TimesLT"/>
                  <w:b/>
                </w:rPr>
              </w:pPr>
              <w:r>
                <w:rPr>
                  <w:rFonts w:ascii="TimesLT" w:hAnsi="TimesLT"/>
                  <w:b/>
                </w:rPr>
                <w:br w:type="page"/>
              </w:r>
            </w:p>
          </w:sdtContent>
        </w:sdt>
        <w:sdt>
          <w:sdtPr>
            <w:alias w:val="skirsnis"/>
            <w:tag w:val="part_d87733bf1c2548139d4b36a328a17a14"/>
            <w:lock w:val="sdtLocked"/>
            <w:richText/>
          </w:sdtPr>
          <w:sdtContent>
            <w:sdt>
              <w:sdtPr>
                <w:alias w:val="Pavadinimas"/>
                <w:tag w:val="title_d87733bf1c2548139d4b36a328a17a14"/>
                <w:lock w:val="sdtLocked"/>
                <w:richText/>
              </w:sdtPr>
              <w:sdtContent>
                <w:p>
                  <w:pPr>
                    <w:spacing w:line="300" w:lineRule="exact"/>
                    <w:jc w:val="center"/>
                    <w:rPr>
                      <w:b/>
                      <w:caps/>
                      <w:szCs w:val="24"/>
                    </w:rPr>
                  </w:pPr>
                  <w:r>
                    <w:rPr>
                      <w:b/>
                      <w:caps/>
                      <w:spacing w:val="-2"/>
                      <w:szCs w:val="24"/>
                    </w:rPr>
                    <w:t xml:space="preserve">Radviliškio rajono </w:t>
                  </w:r>
                  <w:r>
                    <w:rPr>
                      <w:b/>
                      <w:caps/>
                      <w:szCs w:val="24"/>
                    </w:rPr>
                    <w:t xml:space="preserve">SAVIVALDYBĖS TARYBOS 2025-03-27 SPRENDIMO </w:t>
                  </w:r>
                  <w:r>
                    <w:rPr>
                      <w:b/>
                      <w:caps/>
                      <w:spacing w:val="-2"/>
                      <w:szCs w:val="24"/>
                    </w:rPr>
                    <w:t>PROJEKTO</w:t>
                  </w:r>
                  <w:r>
                    <w:rPr>
                      <w:b/>
                      <w:caps/>
                      <w:szCs w:val="24"/>
                    </w:rPr>
                    <w:t xml:space="preserve"> „DĖL sutikimo perimti Valstybės turtą VALDYTI NUOSAVYBĖS TEISE ir jo perdavimo valdyti, naudoti ir disponuoti patikėjimo teise Radviliškio </w:t>
                  </w:r>
                  <w:r>
                    <w:rPr>
                      <w:b/>
                      <w:caps/>
                      <w:szCs w:val="22"/>
                    </w:rPr>
                    <w:t>rajono savivaldybės viešajai bibliotekai</w:t>
                  </w:r>
                  <w:r>
                    <w:rPr>
                      <w:b/>
                      <w:caps/>
                      <w:szCs w:val="24"/>
                    </w:rPr>
                    <w:t xml:space="preserve">“ </w:t>
                  </w:r>
                </w:p>
                <w:p>
                  <w:pPr>
                    <w:spacing w:line="300" w:lineRule="exact"/>
                    <w:jc w:val="center"/>
                    <w:rPr>
                      <w:b/>
                      <w:caps/>
                      <w:szCs w:val="24"/>
                    </w:rPr>
                  </w:pPr>
                  <w:r>
                    <w:rPr>
                      <w:b/>
                      <w:caps/>
                      <w:szCs w:val="24"/>
                    </w:rPr>
                    <w:t>AIŠKINAMASIS RAŠTAS</w:t>
                  </w:r>
                </w:p>
              </w:sdtContent>
            </w:sdt>
            <w:p>
              <w:pPr>
                <w:spacing w:line="300" w:lineRule="exact"/>
                <w:jc w:val="center"/>
                <w:rPr>
                  <w:bCs/>
                  <w:color w:val="FF0000"/>
                  <w:szCs w:val="22"/>
                </w:rPr>
              </w:pPr>
            </w:p>
            <w:p>
              <w:pPr>
                <w:spacing w:line="300" w:lineRule="exact"/>
                <w:jc w:val="center"/>
                <w:rPr>
                  <w:bCs/>
                  <w:szCs w:val="22"/>
                </w:rPr>
              </w:pPr>
              <w:r>
                <w:rPr>
                  <w:bCs/>
                  <w:szCs w:val="22"/>
                </w:rPr>
                <w:t>2025-03-04</w:t>
              </w:r>
            </w:p>
            <w:p>
              <w:pPr>
                <w:spacing w:line="300" w:lineRule="exact"/>
                <w:jc w:val="center"/>
                <w:rPr>
                  <w:bCs/>
                  <w:szCs w:val="22"/>
                </w:rPr>
              </w:pPr>
              <w:r>
                <w:rPr>
                  <w:bCs/>
                  <w:szCs w:val="22"/>
                </w:rPr>
                <w:t>Radviliškio</w:t>
              </w:r>
            </w:p>
            <w:p>
              <w:pPr>
                <w:spacing w:line="300" w:lineRule="exact"/>
                <w:jc w:val="center"/>
                <w:rPr>
                  <w:bCs/>
                  <w:color w:val="FF0000"/>
                  <w:szCs w:val="22"/>
                </w:rPr>
              </w:pPr>
            </w:p>
            <w:sdt>
              <w:sdtPr>
                <w:alias w:val="1 p."/>
                <w:tag w:val="part_977750d6524946918b2f9945014a7902"/>
                <w:lock w:val="sdtLocked"/>
                <w:richText/>
              </w:sdtPr>
              <w:sdtContent>
                <w:p>
                  <w:pPr>
                    <w:spacing w:line="310" w:lineRule="exact"/>
                    <w:ind w:firstLine="720"/>
                    <w:jc w:val="both"/>
                    <w:rPr>
                      <w:b/>
                      <w:bCs/>
                      <w:szCs w:val="24"/>
                    </w:rPr>
                  </w:pPr>
                  <w:sdt>
                    <w:sdtPr>
                      <w:alias w:val="Numeris"/>
                      <w:tag w:val="nr_977750d6524946918b2f9945014a7902"/>
                      <w:lock w:val="sdtLocked"/>
                      <w:richText/>
                    </w:sdtPr>
                    <w:sdtContent>
                      <w:r>
                        <w:rPr>
                          <w:b/>
                          <w:bCs/>
                          <w:iCs/>
                          <w:szCs w:val="24"/>
                        </w:rPr>
                        <w:t>1</w:t>
                      </w:r>
                    </w:sdtContent>
                  </w:sdt>
                  <w:r>
                    <w:rPr>
                      <w:b/>
                      <w:bCs/>
                      <w:iCs/>
                      <w:szCs w:val="24"/>
                    </w:rPr>
                    <w:t xml:space="preserve">. </w:t>
                  </w:r>
                  <w:r>
                    <w:rPr>
                      <w:b/>
                      <w:szCs w:val="24"/>
                      <w:lang w:bidi="he-IL"/>
                    </w:rPr>
                    <w:t>Projekto rengimą paskatinusios priežastys, parengto sprendimo projekto tikslai ir uždaviniai</w:t>
                  </w:r>
                  <w:r>
                    <w:rPr>
                      <w:b/>
                      <w:bCs/>
                      <w:iCs/>
                      <w:szCs w:val="24"/>
                    </w:rPr>
                    <w:t>.</w:t>
                  </w:r>
                </w:p>
                <w:p>
                  <w:pPr>
                    <w:spacing w:line="310" w:lineRule="exact"/>
                    <w:ind w:firstLine="720"/>
                    <w:jc w:val="both"/>
                    <w:rPr>
                      <w:szCs w:val="24"/>
                    </w:rPr>
                  </w:pPr>
                  <w:r>
                    <w:rPr>
                      <w:szCs w:val="24"/>
                    </w:rPr>
                    <w:t xml:space="preserve">Sprendimo projekto tikslas – perimti nuosavybės teise valdyti valstybės turtą (kompiuterinę įrangą), kurį Lietuvos nacionalinė Martyno Mažvydo biblioteka įsigijo įgyvendindama </w:t>
                  </w:r>
                  <w:r>
                    <w:rPr>
                      <w:color w:val="000000"/>
                      <w:szCs w:val="24"/>
                      <w14:ligatures w14:val="standardContextual"/>
                    </w:rPr>
                    <w:t xml:space="preserve">Lietuvos Respublikos kultūros ministerijos investicijų projektą „Bibliotekų kompiuterizavimas“. </w:t>
                  </w:r>
                  <w:r>
                    <w:rPr>
                      <w:szCs w:val="24"/>
                    </w:rPr>
                    <w:t xml:space="preserve">Projekto </w:t>
                  </w:r>
                  <w:r>
                    <w:rPr>
                      <w:color w:val="000000"/>
                      <w:szCs w:val="24"/>
                      <w14:ligatures w14:val="standardContextual"/>
                    </w:rPr>
                    <w:t>tikslas – plėtoti ir atnaujinti viešos prieigos kompiuterių infrastruktūrą viešosiose bibliotekose, sudarant sąlygas joms dalyvauti gyventojų skaitmeninių kompetencijų ugdymo ir vietos skaitmeninio turinio kūrimo bei kitose skaitmeninės informacijos iniciatyvose, teikti geros kokybės paslaugas bibliotekų vartotojams</w:t>
                  </w:r>
                  <w:r>
                    <w:rPr>
                      <w:szCs w:val="24"/>
                    </w:rPr>
                    <w:t>. Projekte nurodyti kompiuteriai taip pat skirti atnaujinti viešai prieigai, vartotojų mokymams ir el. paslaugų teikimui skirtus kompiuterius, kurie buvo pirkti 2012 metais projekto „Bibliotekos pažangai“ metu.</w:t>
                  </w:r>
                </w:p>
              </w:sdtContent>
            </w:sdt>
            <w:sdt>
              <w:sdtPr>
                <w:alias w:val="2 p."/>
                <w:tag w:val="part_ebfd4ee375ed4b9db52bc6b8771337d7"/>
                <w:lock w:val="sdtLocked"/>
                <w:richText/>
              </w:sdtPr>
              <w:sdtContent>
                <w:p>
                  <w:pPr>
                    <w:spacing w:line="310" w:lineRule="exact"/>
                    <w:ind w:firstLine="720"/>
                    <w:rPr>
                      <w:b/>
                      <w:bCs/>
                      <w:iCs/>
                      <w:szCs w:val="24"/>
                    </w:rPr>
                  </w:pPr>
                  <w:sdt>
                    <w:sdtPr>
                      <w:alias w:val="Numeris"/>
                      <w:tag w:val="nr_ebfd4ee375ed4b9db52bc6b8771337d7"/>
                      <w:lock w:val="sdtLocked"/>
                      <w:richText/>
                    </w:sdtPr>
                    <w:sdtContent>
                      <w:r>
                        <w:rPr>
                          <w:b/>
                          <w:bCs/>
                          <w:iCs/>
                          <w:szCs w:val="24"/>
                        </w:rPr>
                        <w:t>2</w:t>
                      </w:r>
                    </w:sdtContent>
                  </w:sdt>
                  <w:r>
                    <w:rPr>
                      <w:b/>
                      <w:bCs/>
                      <w:iCs/>
                      <w:szCs w:val="24"/>
                    </w:rPr>
                    <w:t>. Projekto iniciatoriai (institucija, asmenys ar piliečių atstovai) ir rengėjai.</w:t>
                  </w:r>
                </w:p>
                <w:p>
                  <w:pPr>
                    <w:spacing w:line="310" w:lineRule="exact"/>
                    <w:ind w:firstLine="720"/>
                    <w:jc w:val="both"/>
                    <w:rPr>
                      <w:iCs/>
                      <w:spacing w:val="-2"/>
                      <w:szCs w:val="24"/>
                    </w:rPr>
                  </w:pPr>
                  <w:r>
                    <w:rPr>
                      <w:iCs/>
                      <w:szCs w:val="24"/>
                    </w:rPr>
                    <w:t xml:space="preserve">Projekto iniciatorius – </w:t>
                  </w:r>
                  <w:r>
                    <w:rPr>
                      <w:iCs/>
                      <w:spacing w:val="-2"/>
                      <w:szCs w:val="24"/>
                    </w:rPr>
                    <w:t>Radviliškio rajono savivaldybės administracija.</w:t>
                  </w:r>
                </w:p>
                <w:p>
                  <w:pPr>
                    <w:spacing w:line="310" w:lineRule="exact"/>
                    <w:ind w:firstLine="720"/>
                    <w:jc w:val="both"/>
                    <w:rPr>
                      <w:iCs/>
                      <w:szCs w:val="24"/>
                    </w:rPr>
                  </w:pPr>
                  <w:r>
                    <w:rPr>
                      <w:iCs/>
                      <w:szCs w:val="24"/>
                    </w:rPr>
                    <w:t>Projekto rengėjas – Savivaldybės administracijos Investicijų ir turto valdymo skyriaus vyriausioji specialistė Diana Skaburskienė.</w:t>
                  </w:r>
                </w:p>
              </w:sdtContent>
            </w:sdt>
            <w:sdt>
              <w:sdtPr>
                <w:alias w:val="3 p."/>
                <w:tag w:val="part_af796da3e9c34348be2535bf81df5c3b"/>
                <w:lock w:val="sdtLocked"/>
                <w:richText/>
              </w:sdtPr>
              <w:sdtContent>
                <w:p>
                  <w:pPr>
                    <w:spacing w:line="310" w:lineRule="exact"/>
                    <w:ind w:firstLine="720"/>
                    <w:rPr>
                      <w:b/>
                      <w:bCs/>
                      <w:szCs w:val="24"/>
                    </w:rPr>
                  </w:pPr>
                  <w:sdt>
                    <w:sdtPr>
                      <w:alias w:val="Numeris"/>
                      <w:tag w:val="nr_af796da3e9c34348be2535bf81df5c3b"/>
                      <w:lock w:val="sdtLocked"/>
                      <w:richText/>
                    </w:sdtPr>
                    <w:sdtContent>
                      <w:r>
                        <w:rPr>
                          <w:b/>
                          <w:bCs/>
                          <w:iCs/>
                          <w:szCs w:val="24"/>
                        </w:rPr>
                        <w:t>3</w:t>
                      </w:r>
                    </w:sdtContent>
                  </w:sdt>
                  <w:r>
                    <w:rPr>
                      <w:b/>
                      <w:bCs/>
                      <w:iCs/>
                      <w:szCs w:val="24"/>
                    </w:rPr>
                    <w:t xml:space="preserve">. </w:t>
                  </w:r>
                  <w:r>
                    <w:rPr>
                      <w:b/>
                      <w:szCs w:val="24"/>
                    </w:rPr>
                    <w:t>Kaip šiuo metu yra reguliuojami sprendimo projekte aptarti teisiniai santykiai</w:t>
                  </w:r>
                  <w:r>
                    <w:rPr>
                      <w:b/>
                      <w:bCs/>
                      <w:iCs/>
                      <w:szCs w:val="24"/>
                    </w:rPr>
                    <w:t>.</w:t>
                  </w:r>
                </w:p>
                <w:p>
                  <w:pPr>
                    <w:spacing w:line="310" w:lineRule="exact"/>
                    <w:ind w:firstLine="720"/>
                    <w:jc w:val="both"/>
                    <w:rPr>
                      <w:szCs w:val="24"/>
                    </w:rPr>
                  </w:pPr>
                  <w:r>
                    <w:rPr>
                      <w:szCs w:val="24"/>
                    </w:rPr>
                    <w:t xml:space="preserve">Vadovaujantis </w:t>
                  </w:r>
                  <w:hyperlink r:id="rId4" w:history="1">
                    <w:r>
                      <w:rPr>
                        <w:szCs w:val="24"/>
                      </w:rPr>
                      <w:t>LR Valstybės ir savivaldybių turto valdymo, naudojimo ir disponavimo juo įstatymo</w:t>
                    </w:r>
                  </w:hyperlink>
                  <w:r>
                    <w:rPr>
                      <w:szCs w:val="24"/>
                    </w:rPr>
                    <w:t xml:space="preserve"> 6 straipsnio 2 punktu, Savivaldybė turtą įgyja savivaldybės tarybos sutikimu perimdama valstybės turtą savivaldybių savarankiškosioms funkcijoms įgyvendinti, kai šis turtas perduodamas savivaldybių nuosavybėn pagal Vyriausybės nutarimus. Vadovaujantis šio įstatymo 8 ir 12 straipsnių nuostatomis, savivaldybių tarybos įgyvendina savivaldybės turto savininko funkcijas, savivaldybės įstaigos joms perduotą savivaldybės turtą valdo, naudoja ir juo disponuoja patikėjimo teise. </w:t>
                  </w:r>
                </w:p>
                <w:p>
                  <w:pPr>
                    <w:spacing w:line="310" w:lineRule="exact"/>
                    <w:ind w:firstLine="720"/>
                    <w:jc w:val="both"/>
                    <w:rPr>
                      <w:szCs w:val="24"/>
                    </w:rPr>
                  </w:pPr>
                  <w:r>
                    <w:rPr>
                      <w:szCs w:val="24"/>
                    </w:rPr>
                    <w:t xml:space="preserve">Savivaldybės taryba, vadovaudamasi </w:t>
                  </w:r>
                  <w:hyperlink r:id="rId5" w:history="1">
                    <w:r>
                      <w:rPr>
                        <w:szCs w:val="24"/>
                      </w:rPr>
                      <w:t>Lietuvos Respublikos vietos savivaldos įstatymo</w:t>
                    </w:r>
                  </w:hyperlink>
                  <w:r>
                    <w:rPr>
                      <w:szCs w:val="24"/>
                    </w:rPr>
                    <w:t xml:space="preserve"> 15 straipsnio 2 dalies 19 punktu, priima sprendimus dėl disponavimo savivaldybei nuosavybės teise priklausančiu turtu. Vadovaujantis šio įstatymo 6 straipsnio 13 ir 24 punktais, gyventojų bendrosios kultūros ugdymas ir etnokultūros puoselėjimas (s</w:t>
                  </w:r>
                  <w:r>
                    <w:rPr>
                      <w:color w:val="000000"/>
                      <w:szCs w:val="24"/>
                      <w:shd w:val="clear" w:color="auto" w:fill="FFFFFF"/>
                    </w:rPr>
                    <w:t>avivaldybių viešųjų bibliotekų steigimas, reorganizavimas, pertvarkymas ir jų veiklos priežiūra)</w:t>
                  </w:r>
                  <w:r>
                    <w:rPr>
                      <w:szCs w:val="24"/>
                    </w:rPr>
                    <w:t>, informacinės visuomenės plėtros įgyvendinimas yra savarankiškosioms savivaldybių funkcijos.</w:t>
                  </w:r>
                </w:p>
                <w:p>
                  <w:pPr>
                    <w:spacing w:line="310" w:lineRule="exact"/>
                    <w:ind w:firstLine="720"/>
                    <w:jc w:val="both"/>
                    <w:rPr>
                      <w:color w:val="000000"/>
                      <w:szCs w:val="24"/>
                    </w:rPr>
                  </w:pPr>
                  <w:r>
                    <w:rPr>
                      <w:szCs w:val="24"/>
                    </w:rPr>
                    <w:t>Ruošiamam Lietuvos Respublikos Vyriausybės nutarimo projektui dėl valstybės turto perdavimo savivaldybei nuosavybės teise reikalingas Savivaldybės tarybos sutikimas.</w:t>
                  </w:r>
                </w:p>
              </w:sdtContent>
            </w:sdt>
            <w:sdt>
              <w:sdtPr>
                <w:alias w:val="4 p."/>
                <w:tag w:val="part_c070dd06498740e8b6e88e3622d46673"/>
                <w:lock w:val="sdtLocked"/>
                <w:richText/>
              </w:sdtPr>
              <w:sdtContent>
                <w:p>
                  <w:pPr>
                    <w:spacing w:line="310" w:lineRule="exact"/>
                    <w:ind w:firstLine="720"/>
                    <w:jc w:val="both"/>
                    <w:rPr>
                      <w:b/>
                      <w:bCs/>
                      <w:iCs/>
                      <w:szCs w:val="24"/>
                    </w:rPr>
                  </w:pPr>
                  <w:sdt>
                    <w:sdtPr>
                      <w:alias w:val="Numeris"/>
                      <w:tag w:val="nr_c070dd06498740e8b6e88e3622d46673"/>
                      <w:lock w:val="sdtLocked"/>
                      <w:richText/>
                    </w:sdtPr>
                    <w:sdtContent>
                      <w:r>
                        <w:rPr>
                          <w:b/>
                          <w:bCs/>
                          <w:iCs/>
                          <w:szCs w:val="24"/>
                        </w:rPr>
                        <w:t>4</w:t>
                      </w:r>
                    </w:sdtContent>
                  </w:sdt>
                  <w:r>
                    <w:rPr>
                      <w:b/>
                      <w:bCs/>
                      <w:iCs/>
                      <w:szCs w:val="24"/>
                    </w:rPr>
                    <w:t>.</w:t>
                  </w:r>
                  <w:r>
                    <w:rPr>
                      <w:b/>
                      <w:bCs/>
                      <w:szCs w:val="24"/>
                    </w:rPr>
                    <w:t xml:space="preserve"> Kokios siūlomos naujos teisinio reguliavimo nuostatos, kokių teigiamų rezultatų laukiama</w:t>
                  </w:r>
                  <w:r>
                    <w:rPr>
                      <w:b/>
                      <w:bCs/>
                      <w:iCs/>
                      <w:szCs w:val="24"/>
                    </w:rPr>
                    <w:t>.</w:t>
                  </w:r>
                </w:p>
                <w:p>
                  <w:pPr>
                    <w:spacing w:line="310" w:lineRule="exact"/>
                    <w:ind w:firstLine="720"/>
                    <w:jc w:val="both"/>
                    <w:rPr>
                      <w:szCs w:val="24"/>
                    </w:rPr>
                  </w:pPr>
                  <w:r>
                    <w:rPr>
                      <w:szCs w:val="24"/>
                    </w:rPr>
                    <w:t xml:space="preserve">Perėmus projekte nurodytą turtą Savivaldybės nuosavybėn ir perdavus jį </w:t>
                  </w:r>
                  <w:r>
                    <w:rPr>
                      <w:color w:val="000000"/>
                      <w:szCs w:val="24"/>
                    </w:rPr>
                    <w:t>Radviliškio rajono savivaldybės viešajai bibliotekai, turtas bus naudojamas viešosios interneto prieigos paslaugų teikimo plėtojimui.</w:t>
                  </w:r>
                  <w:r>
                    <w:rPr>
                      <w:szCs w:val="24"/>
                    </w:rPr>
                    <w:t xml:space="preserve"> </w:t>
                  </w:r>
                </w:p>
              </w:sdtContent>
            </w:sdt>
            <w:sdt>
              <w:sdtPr>
                <w:alias w:val="5 p."/>
                <w:tag w:val="part_3668e0f3aa2f4017a7981055c33645b4"/>
                <w:lock w:val="sdtLocked"/>
                <w:richText/>
              </w:sdtPr>
              <w:sdtContent>
                <w:p>
                  <w:pPr>
                    <w:spacing w:line="310" w:lineRule="exact"/>
                    <w:ind w:firstLine="720"/>
                    <w:jc w:val="both"/>
                    <w:rPr>
                      <w:b/>
                      <w:bCs/>
                      <w:iCs/>
                      <w:szCs w:val="24"/>
                    </w:rPr>
                  </w:pPr>
                  <w:sdt>
                    <w:sdtPr>
                      <w:alias w:val="Numeris"/>
                      <w:tag w:val="nr_3668e0f3aa2f4017a7981055c33645b4"/>
                      <w:lock w:val="sdtLocked"/>
                      <w:richText/>
                    </w:sdtPr>
                    <w:sdtContent>
                      <w:r>
                        <w:rPr>
                          <w:b/>
                          <w:bCs/>
                          <w:iCs/>
                          <w:szCs w:val="24"/>
                        </w:rPr>
                        <w:t>5</w:t>
                      </w:r>
                    </w:sdtContent>
                  </w:sdt>
                  <w:r>
                    <w:rPr>
                      <w:b/>
                      <w:bCs/>
                      <w:iCs/>
                      <w:szCs w:val="24"/>
                    </w:rPr>
                    <w:t xml:space="preserve">. </w:t>
                  </w:r>
                  <w:r>
                    <w:rPr>
                      <w:b/>
                      <w:bCs/>
                      <w:szCs w:val="24"/>
                    </w:rPr>
                    <w:t>Galimos neigiamos priimto sprendimo projekto pasekmės ir kokių priemonių reikėtų imtis, kad tokių pasekmių būtų išvengta.</w:t>
                  </w:r>
                </w:p>
                <w:p>
                  <w:pPr>
                    <w:spacing w:line="310" w:lineRule="exact"/>
                    <w:ind w:firstLine="720"/>
                    <w:jc w:val="both"/>
                    <w:rPr>
                      <w:szCs w:val="24"/>
                    </w:rPr>
                  </w:pPr>
                  <w:r>
                    <w:rPr>
                      <w:szCs w:val="24"/>
                    </w:rPr>
                    <w:t>Priėmus sprendimo projektą, neigiamų pasekmių nenumatoma.</w:t>
                  </w:r>
                </w:p>
              </w:sdtContent>
            </w:sdt>
            <w:sdt>
              <w:sdtPr>
                <w:alias w:val="6 p."/>
                <w:tag w:val="part_a966393679d448b9af4b47d0240c2e0a"/>
                <w:lock w:val="sdtLocked"/>
                <w:richText/>
              </w:sdtPr>
              <w:sdtContent>
                <w:p>
                  <w:pPr>
                    <w:spacing w:line="310" w:lineRule="exact"/>
                    <w:ind w:firstLine="720"/>
                    <w:jc w:val="both"/>
                    <w:rPr>
                      <w:b/>
                      <w:szCs w:val="24"/>
                    </w:rPr>
                  </w:pPr>
                  <w:sdt>
                    <w:sdtPr>
                      <w:alias w:val="Numeris"/>
                      <w:tag w:val="nr_a966393679d448b9af4b47d0240c2e0a"/>
                      <w:lock w:val="sdtLocked"/>
                      <w:richText/>
                    </w:sdtPr>
                    <w:sdtContent>
                      <w:r>
                        <w:rPr>
                          <w:b/>
                          <w:bCs/>
                          <w:iCs/>
                          <w:szCs w:val="24"/>
                        </w:rPr>
                        <w:t>6</w:t>
                      </w:r>
                    </w:sdtContent>
                  </w:sdt>
                  <w:r>
                    <w:rPr>
                      <w:b/>
                      <w:bCs/>
                      <w:iCs/>
                      <w:szCs w:val="24"/>
                    </w:rPr>
                    <w:t xml:space="preserve">. </w:t>
                  </w:r>
                  <w:r>
                    <w:rPr>
                      <w:b/>
                      <w:bCs/>
                      <w:szCs w:val="24"/>
                    </w:rPr>
                    <w:t>Kokius teisės aktus būtina priimti, kokius galiojančius teisės aktus būtina pakeisti ar pripažinti netekusiais galios priėmus sprendimo projektą</w:t>
                  </w:r>
                  <w:r>
                    <w:rPr>
                      <w:b/>
                      <w:szCs w:val="24"/>
                    </w:rPr>
                    <w:t>:</w:t>
                  </w:r>
                </w:p>
                <w:p>
                  <w:pPr>
                    <w:spacing w:line="310" w:lineRule="exact"/>
                    <w:ind w:firstLine="720"/>
                    <w:jc w:val="both"/>
                    <w:rPr>
                      <w:szCs w:val="24"/>
                    </w:rPr>
                  </w:pPr>
                  <w:r>
                    <w:rPr>
                      <w:szCs w:val="24"/>
                    </w:rPr>
                    <w:t>Priėmus sprendimą galiojančių teisės aktų keisti nereikės.</w:t>
                  </w:r>
                </w:p>
              </w:sdtContent>
            </w:sdt>
            <w:sdt>
              <w:sdtPr>
                <w:alias w:val="7 p."/>
                <w:tag w:val="part_b401cd0a161b43048a0144d558504731"/>
                <w:lock w:val="sdtLocked"/>
                <w:richText/>
              </w:sdtPr>
              <w:sdtContent>
                <w:p>
                  <w:pPr>
                    <w:spacing w:line="310" w:lineRule="exact"/>
                    <w:ind w:firstLine="720"/>
                    <w:jc w:val="both"/>
                    <w:rPr>
                      <w:b/>
                      <w:bCs/>
                      <w:iCs/>
                      <w:szCs w:val="24"/>
                    </w:rPr>
                  </w:pPr>
                  <w:sdt>
                    <w:sdtPr>
                      <w:alias w:val="Numeris"/>
                      <w:tag w:val="nr_b401cd0a161b43048a0144d558504731"/>
                      <w:lock w:val="sdtLocked"/>
                      <w:richText/>
                    </w:sdtPr>
                    <w:sdtContent>
                      <w:r>
                        <w:rPr>
                          <w:b/>
                          <w:szCs w:val="24"/>
                        </w:rPr>
                        <w:t>7</w:t>
                      </w:r>
                    </w:sdtContent>
                  </w:sdt>
                  <w:r>
                    <w:rPr>
                      <w:b/>
                      <w:szCs w:val="24"/>
                    </w:rPr>
                    <w:t>. Sprendimo projektui įgyvendinti reikalingos lėšos, finansavimo šaltiniai.</w:t>
                  </w:r>
                  <w:r>
                    <w:rPr>
                      <w:b/>
                      <w:bCs/>
                      <w:iCs/>
                      <w:szCs w:val="24"/>
                    </w:rPr>
                    <w:t xml:space="preserve"> </w:t>
                  </w:r>
                </w:p>
                <w:p>
                  <w:pPr>
                    <w:spacing w:line="310" w:lineRule="exact"/>
                    <w:ind w:firstLine="720"/>
                    <w:jc w:val="both"/>
                    <w:rPr>
                      <w:szCs w:val="24"/>
                    </w:rPr>
                  </w:pPr>
                  <w:r>
                    <w:rPr>
                      <w:szCs w:val="24"/>
                    </w:rPr>
                    <w:t xml:space="preserve">Sprendimo įgyvendinimui Savivaldybės biudžeto lėšų nereikės. </w:t>
                  </w:r>
                </w:p>
              </w:sdtContent>
            </w:sdt>
            <w:sdt>
              <w:sdtPr>
                <w:alias w:val="8 p."/>
                <w:tag w:val="part_15345a008f3c49a1a0af9e5449c16126"/>
                <w:lock w:val="sdtLocked"/>
                <w:richText/>
              </w:sdtPr>
              <w:sdtContent>
                <w:p>
                  <w:pPr>
                    <w:spacing w:line="310" w:lineRule="exact"/>
                    <w:ind w:firstLine="720"/>
                    <w:jc w:val="both"/>
                    <w:rPr>
                      <w:szCs w:val="24"/>
                    </w:rPr>
                  </w:pPr>
                  <w:sdt>
                    <w:sdtPr>
                      <w:alias w:val="Numeris"/>
                      <w:tag w:val="nr_15345a008f3c49a1a0af9e5449c16126"/>
                      <w:lock w:val="sdtLocked"/>
                      <w:richText/>
                    </w:sdtPr>
                    <w:sdtContent>
                      <w:r>
                        <w:rPr>
                          <w:b/>
                          <w:bCs/>
                          <w:szCs w:val="24"/>
                        </w:rPr>
                        <w:t>8</w:t>
                      </w:r>
                    </w:sdtContent>
                  </w:sdt>
                  <w:r>
                    <w:rPr>
                      <w:b/>
                      <w:bCs/>
                      <w:szCs w:val="24"/>
                    </w:rPr>
                    <w:t>. Sprendimo</w:t>
                  </w:r>
                  <w:r>
                    <w:rPr>
                      <w:b/>
                      <w:szCs w:val="24"/>
                    </w:rPr>
                    <w:t xml:space="preserve"> projekto rengimo metu gauti specialistų vertinimai ir išvados.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0" w:lineRule="exact"/>
                    <w:ind w:firstLine="709"/>
                    <w:jc w:val="both"/>
                    <w:rPr>
                      <w:bCs/>
                      <w:szCs w:val="24"/>
                    </w:rPr>
                  </w:pPr>
                  <w:r>
                    <w:rPr>
                      <w:bCs/>
                      <w:szCs w:val="24"/>
                    </w:rPr>
                    <w:t>Sprendimo projektas</w:t>
                  </w:r>
                  <w:r>
                    <w:rPr>
                      <w:b/>
                      <w:szCs w:val="24"/>
                    </w:rPr>
                    <w:t xml:space="preserve"> </w:t>
                  </w:r>
                  <w:r>
                    <w:rPr>
                      <w:bCs/>
                      <w:szCs w:val="24"/>
                    </w:rPr>
                    <w:t>suderintas su savivaldybės juristu, kalbininku, administracijos direktore.</w:t>
                  </w:r>
                </w:p>
              </w:sdtContent>
            </w:sdt>
            <w:sdt>
              <w:sdtPr>
                <w:alias w:val="9 p."/>
                <w:tag w:val="part_95ae9e784d53433fb82d7afa04369488"/>
                <w:lock w:val="sdtLocked"/>
                <w:richText/>
              </w:sdtPr>
              <w:sdtContent>
                <w:p>
                  <w:pPr>
                    <w:spacing w:line="310" w:lineRule="exact"/>
                    <w:ind w:firstLine="720"/>
                    <w:jc w:val="both"/>
                    <w:rPr>
                      <w:b/>
                      <w:bCs/>
                      <w:iCs/>
                      <w:szCs w:val="24"/>
                    </w:rPr>
                  </w:pPr>
                  <w:sdt>
                    <w:sdtPr>
                      <w:alias w:val="Numeris"/>
                      <w:tag w:val="nr_95ae9e784d53433fb82d7afa04369488"/>
                      <w:lock w:val="sdtLocked"/>
                      <w:richText/>
                    </w:sdtPr>
                    <w:sdtContent>
                      <w:r>
                        <w:rPr>
                          <w:b/>
                          <w:bCs/>
                          <w:iCs/>
                          <w:szCs w:val="24"/>
                        </w:rPr>
                        <w:t>9</w:t>
                      </w:r>
                    </w:sdtContent>
                  </w:sdt>
                  <w:r>
                    <w:rPr>
                      <w:b/>
                      <w:bCs/>
                      <w:iCs/>
                      <w:szCs w:val="24"/>
                    </w:rPr>
                    <w:t xml:space="preserve">. Numatomo teisinio reguliavimo poveikio vertinimo rezultatai. </w:t>
                  </w:r>
                </w:p>
                <w:p>
                  <w:pPr>
                    <w:spacing w:line="310" w:lineRule="exact"/>
                    <w:ind w:firstLine="720"/>
                    <w:jc w:val="both"/>
                    <w:rPr>
                      <w:b/>
                      <w:bCs/>
                      <w:iCs/>
                      <w:spacing w:val="-4"/>
                      <w:szCs w:val="24"/>
                    </w:rPr>
                  </w:pPr>
                  <w:r>
                    <w:rPr>
                      <w:color w:val="000000"/>
                      <w:szCs w:val="24"/>
                      <w:shd w:val="clear" w:color="auto" w:fill="FFFFFF"/>
                    </w:rPr>
                    <w:t xml:space="preserve">Šiuo sprendimo projektu nenumatoma reglamentuoti iki tol nereglamentuotus santykius, taip pat iš </w:t>
                  </w:r>
                  <w:r>
                    <w:rPr>
                      <w:color w:val="000000"/>
                      <w:spacing w:val="-3"/>
                      <w:szCs w:val="24"/>
                      <w:shd w:val="clear" w:color="auto" w:fill="FFFFFF"/>
                    </w:rPr>
                    <w:t>esmės</w:t>
                  </w:r>
                  <w:r>
                    <w:rPr>
                      <w:color w:val="000000"/>
                      <w:spacing w:val="-2"/>
                      <w:szCs w:val="24"/>
                      <w:shd w:val="clear" w:color="auto" w:fill="FFFFFF"/>
                    </w:rPr>
                    <w:t xml:space="preserve"> nekeičiamas</w:t>
                  </w:r>
                  <w:r>
                    <w:rPr>
                      <w:color w:val="000000"/>
                      <w:spacing w:val="-3"/>
                      <w:szCs w:val="24"/>
                      <w:shd w:val="clear" w:color="auto" w:fill="FFFFFF"/>
                    </w:rPr>
                    <w:t xml:space="preserve"> </w:t>
                  </w:r>
                  <w:r>
                    <w:rPr>
                      <w:color w:val="000000"/>
                      <w:spacing w:val="-2"/>
                      <w:szCs w:val="24"/>
                      <w:shd w:val="clear" w:color="auto" w:fill="FFFFFF"/>
                    </w:rPr>
                    <w:t>teisinis</w:t>
                  </w:r>
                  <w:r>
                    <w:rPr>
                      <w:color w:val="000000"/>
                      <w:spacing w:val="-3"/>
                      <w:szCs w:val="24"/>
                      <w:shd w:val="clear" w:color="auto" w:fill="FFFFFF"/>
                    </w:rPr>
                    <w:t xml:space="preserve"> </w:t>
                  </w:r>
                  <w:r>
                    <w:rPr>
                      <w:color w:val="000000"/>
                      <w:spacing w:val="-2"/>
                      <w:szCs w:val="24"/>
                      <w:shd w:val="clear" w:color="auto" w:fill="FFFFFF"/>
                    </w:rPr>
                    <w:t>reguliavimas</w:t>
                  </w:r>
                  <w:r>
                    <w:rPr>
                      <w:color w:val="000000"/>
                      <w:spacing w:val="-4"/>
                      <w:szCs w:val="24"/>
                      <w:shd w:val="clear" w:color="auto" w:fill="FFFFFF"/>
                    </w:rPr>
                    <w:t xml:space="preserve">, </w:t>
                  </w:r>
                  <w:r>
                    <w:rPr>
                      <w:color w:val="000000"/>
                      <w:spacing w:val="-2"/>
                      <w:szCs w:val="24"/>
                      <w:shd w:val="clear" w:color="auto" w:fill="FFFFFF"/>
                    </w:rPr>
                    <w:t>todėl</w:t>
                  </w:r>
                  <w:r>
                    <w:rPr>
                      <w:color w:val="000000"/>
                      <w:spacing w:val="-4"/>
                      <w:szCs w:val="24"/>
                      <w:shd w:val="clear" w:color="auto" w:fill="FFFFFF"/>
                    </w:rPr>
                    <w:t xml:space="preserve"> </w:t>
                  </w:r>
                  <w:r>
                    <w:rPr>
                      <w:color w:val="000000"/>
                      <w:spacing w:val="-2"/>
                      <w:szCs w:val="24"/>
                      <w:shd w:val="clear" w:color="auto" w:fill="FFFFFF"/>
                    </w:rPr>
                    <w:t>numatomo teisinio reguliavimo poveikio vertinimas neatliekamas</w:t>
                  </w:r>
                  <w:r>
                    <w:rPr>
                      <w:color w:val="000000"/>
                      <w:spacing w:val="-4"/>
                      <w:szCs w:val="24"/>
                      <w:shd w:val="clear" w:color="auto" w:fill="FFFFFF"/>
                    </w:rPr>
                    <w:t>.</w:t>
                  </w:r>
                </w:p>
              </w:sdtContent>
            </w:sdt>
            <w:sdt>
              <w:sdtPr>
                <w:alias w:val="10 p."/>
                <w:tag w:val="part_24e5c562d4534333b05d26994d74ad3e"/>
                <w:lock w:val="sdtLocked"/>
                <w:richText/>
              </w:sdtPr>
              <w:sdtContent>
                <w:p>
                  <w:pPr>
                    <w:spacing w:line="310" w:lineRule="exact"/>
                    <w:ind w:firstLine="720"/>
                    <w:jc w:val="both"/>
                    <w:rPr>
                      <w:b/>
                      <w:bCs/>
                      <w:iCs/>
                      <w:szCs w:val="24"/>
                    </w:rPr>
                  </w:pPr>
                  <w:sdt>
                    <w:sdtPr>
                      <w:alias w:val="Numeris"/>
                      <w:tag w:val="nr_24e5c562d4534333b05d26994d74ad3e"/>
                      <w:lock w:val="sdtLocked"/>
                      <w:richText/>
                    </w:sdtPr>
                    <w:sdtContent>
                      <w:r>
                        <w:rPr>
                          <w:b/>
                          <w:bCs/>
                          <w:iCs/>
                          <w:szCs w:val="24"/>
                        </w:rPr>
                        <w:t>10</w:t>
                      </w:r>
                    </w:sdtContent>
                  </w:sdt>
                  <w:r>
                    <w:rPr>
                      <w:b/>
                      <w:bCs/>
                      <w:iCs/>
                      <w:szCs w:val="24"/>
                    </w:rPr>
                    <w:t xml:space="preserve">. </w:t>
                  </w:r>
                  <w:r>
                    <w:rPr>
                      <w:rFonts w:eastAsia="Calibri"/>
                      <w:b/>
                      <w:szCs w:val="24"/>
                      <w:lang w:eastAsia="ar-SA"/>
                    </w:rPr>
                    <w:t>Sprendimo projekto antikorupcinis vertinimas.</w:t>
                  </w:r>
                </w:p>
                <w:p>
                  <w:pPr>
                    <w:tabs>
                      <w:tab w:val="left" w:pos="1134"/>
                    </w:tabs>
                    <w:spacing w:line="310" w:lineRule="exact"/>
                    <w:ind w:firstLine="709"/>
                    <w:rPr>
                      <w:rFonts w:eastAsia="Calibri"/>
                      <w:szCs w:val="24"/>
                    </w:rPr>
                  </w:pPr>
                  <w:r>
                    <w:rPr>
                      <w:rFonts w:eastAsia="Calibri"/>
                      <w:szCs w:val="24"/>
                    </w:rPr>
                    <w:t>Teisės akto projektas antikorupciniam vertinimui neteikiamas.</w:t>
                  </w:r>
                </w:p>
              </w:sdtContent>
            </w:sdt>
            <w:sdt>
              <w:sdtPr>
                <w:alias w:val="11 p."/>
                <w:tag w:val="part_31728621d71c4047a63b8c962beea6d9"/>
                <w:lock w:val="sdtLocked"/>
                <w:richText/>
              </w:sdtPr>
              <w:sdtContent>
                <w:p>
                  <w:pPr>
                    <w:tabs>
                      <w:tab w:val="left" w:pos="1134"/>
                    </w:tabs>
                    <w:spacing w:line="310" w:lineRule="exact"/>
                    <w:ind w:firstLine="709"/>
                    <w:rPr>
                      <w:rFonts w:eastAsia="Calibri"/>
                      <w:szCs w:val="24"/>
                    </w:rPr>
                  </w:pPr>
                  <w:sdt>
                    <w:sdtPr>
                      <w:alias w:val="Numeris"/>
                      <w:tag w:val="nr_31728621d71c4047a63b8c962beea6d9"/>
                      <w:lock w:val="sdtLocked"/>
                      <w:richText/>
                    </w:sdtPr>
                    <w:sdtContent>
                      <w:r>
                        <w:rPr>
                          <w:rFonts w:eastAsia="Calibri"/>
                          <w:b/>
                          <w:bCs/>
                          <w:szCs w:val="24"/>
                        </w:rPr>
                        <w:t>11</w:t>
                      </w:r>
                    </w:sdtContent>
                  </w:sdt>
                  <w:r>
                    <w:rPr>
                      <w:rFonts w:eastAsia="Calibri"/>
                      <w:b/>
                      <w:bCs/>
                      <w:szCs w:val="24"/>
                    </w:rPr>
                    <w:t xml:space="preserve">. Kiti, iniciatoriaus nuomone, reikalingi pagrindimai ir paaiškinimai. </w:t>
                  </w:r>
                </w:p>
                <w:p>
                  <w:pPr>
                    <w:tabs>
                      <w:tab w:val="left" w:pos="1134"/>
                    </w:tabs>
                    <w:spacing w:line="310" w:lineRule="exact"/>
                    <w:ind w:firstLine="709"/>
                    <w:rPr>
                      <w:rFonts w:eastAsia="Calibri"/>
                      <w:szCs w:val="24"/>
                    </w:rPr>
                  </w:pPr>
                  <w:r>
                    <w:rPr>
                      <w:rFonts w:eastAsia="Calibri"/>
                      <w:szCs w:val="24"/>
                    </w:rPr>
                    <w:t xml:space="preserve">Papildomų paaiškinimų nėra. </w:t>
                  </w:r>
                </w:p>
              </w:sdtContent>
            </w:sdt>
            <w:sdt>
              <w:sdtPr>
                <w:alias w:val="12 p."/>
                <w:tag w:val="part_def47eee4a814e99ae3f419952f71735"/>
                <w:lock w:val="sdtLocked"/>
                <w:richText/>
              </w:sdtPr>
              <w:sdtContent>
                <w:p>
                  <w:pPr>
                    <w:tabs>
                      <w:tab w:val="left" w:pos="1134"/>
                    </w:tabs>
                    <w:spacing w:line="310" w:lineRule="exact"/>
                    <w:ind w:firstLine="709"/>
                    <w:rPr>
                      <w:rFonts w:eastAsia="Calibri"/>
                      <w:szCs w:val="24"/>
                    </w:rPr>
                  </w:pPr>
                  <w:sdt>
                    <w:sdtPr>
                      <w:alias w:val="Numeris"/>
                      <w:tag w:val="nr_def47eee4a814e99ae3f419952f71735"/>
                      <w:lock w:val="sdtLocked"/>
                      <w:richText/>
                    </w:sdtPr>
                    <w:sdtContent>
                      <w:r>
                        <w:rPr>
                          <w:rFonts w:eastAsia="Calibri"/>
                          <w:b/>
                          <w:bCs/>
                          <w:szCs w:val="24"/>
                        </w:rPr>
                        <w:t>12</w:t>
                      </w:r>
                    </w:sdtContent>
                  </w:sdt>
                  <w:r>
                    <w:rPr>
                      <w:rFonts w:eastAsia="Calibri"/>
                      <w:b/>
                      <w:bCs/>
                      <w:szCs w:val="24"/>
                    </w:rPr>
                    <w:t xml:space="preserve">. Pridedami dokumentai. </w:t>
                  </w:r>
                </w:p>
                <w:p>
                  <w:pPr>
                    <w:spacing w:line="310" w:lineRule="exact"/>
                    <w:ind w:firstLine="720"/>
                    <w:jc w:val="both"/>
                    <w:rPr>
                      <w:szCs w:val="24"/>
                    </w:rPr>
                  </w:pPr>
                  <w:r>
                    <w:rPr>
                      <w:szCs w:val="24"/>
                    </w:rPr>
                    <w:t xml:space="preserve">Pridedamų dokumentų nėra. </w:t>
                  </w:r>
                </w:p>
                <w:p>
                  <w:pPr>
                    <w:ind w:firstLine="720"/>
                    <w:rPr>
                      <w:b/>
                      <w:bCs/>
                      <w:iCs/>
                      <w:szCs w:val="24"/>
                    </w:rPr>
                  </w:pPr>
                </w:p>
                <w:p>
                  <w:pPr>
                    <w:ind w:firstLine="720"/>
                    <w:rPr>
                      <w:b/>
                      <w:bCs/>
                      <w:iCs/>
                      <w:szCs w:val="24"/>
                    </w:rPr>
                  </w:pPr>
                </w:p>
                <w:p>
                  <w:pPr>
                    <w:ind w:firstLine="720"/>
                    <w:rPr>
                      <w:b/>
                      <w:bCs/>
                      <w:iCs/>
                      <w:szCs w:val="24"/>
                    </w:rPr>
                  </w:pPr>
                </w:p>
              </w:sdtContent>
            </w:sdt>
          </w:sdtContent>
        </w:sdt>
        <w:sdt>
          <w:sdtPr>
            <w:alias w:val="signatura"/>
            <w:tag w:val="part_8c52ab54a7d742698a95f9ca4cfe6296"/>
            <w:lock w:val="sdtLocked"/>
            <w:richText/>
          </w:sdtPr>
          <w:sdtContent>
            <w:p>
              <w:pPr>
                <w:jc w:val="both"/>
                <w:rPr>
                  <w:b/>
                  <w:szCs w:val="24"/>
                </w:rPr>
              </w:pPr>
              <w:r>
                <w:rPr>
                  <w:szCs w:val="24"/>
                </w:rPr>
                <w:t>Investicijų ir turto valdymo skyriaus vyriausioji specialistė</w:t>
                <w:tab/>
                <w:tab/>
                <w:tab/>
                <w:t xml:space="preserve">        Diana Skaburskienė</w:t>
              </w: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791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906E176-2570-4FD0-A06E-483C1F7FAA5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hyperlink" TargetMode="External" Target="http://www3.lrs.lt/pls/inter3/dokpaieska.showdoc_l?p_id=453733"/>
  <Relationship Id="rId5" Type="http://schemas.openxmlformats.org/officeDocument/2006/relationships/hyperlink" TargetMode="External" Target="http://www3.lrs.lt/pls/inter3/dokpaieska.showdoc_l?p_id=454354"/>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68ce8fb59224c2ba020ee7d471e8b34" PartId="f12701a81cbd4fafa8fca373ba8e6f21">
    <Part Type="punktas" Nr="1" Abbr="1 p." DocPartId="5686621ff9fb4a5dbeb4c4fca45e0443" PartId="5cd1b74efff048ad813884399ef8ef46"/>
    <Part Type="punktas" Nr="2" Abbr="2 p." DocPartId="417864d062764f15932f7493ca7ddc69" PartId="195ccca2fd5445dd8cdfa94a9cb7ab2b"/>
    <Part Type="punktas" Nr="3" Abbr="3 p." DocPartId="5ffc55bc002741ef8e612f4f9dfb4c98" PartId="559b5e88447c49ddbe0829c4d82b84a2"/>
    <Part Type="punktas" Nr="4" Abbr="4 p." DocPartId="d12e5d6f54e14e57a2e8136457e59a19" PartId="aeabb8b2087444e0b53b1b40c8339391">
      <Part Type="papunktis" Nr="4.1" Abbr="4.1 pp." DocPartId="2072d023d3fc4ec694cde3c18482b1b4" PartId="9b88992106c349a0918309b8f3bd5371"/>
      <Part Type="papunktis" Nr="4.2" Abbr="4.2 pp." DocPartId="0865f407512a4a7faf5ac7c444157eb6" PartId="e2690db56ba540778b258662345a83e5"/>
    </Part>
    <Part Type="punktas" Nr="5" Abbr="5 p." DocPartId="507bc50f28fc43c9b622ca6a83dd5672" PartId="33c48c2bb8f449709185758f95094a4e"/>
    <Part Type="skirsnis" Title="RADVILIŠKIO RAJONO SAVIVALDYBĖS TARYBOS 2025-03-27 SPRENDIMO PROJEKTO „DĖL SUTIKIMO PERIMTI VALSTYBĖS TURTĄ VALDYTI NUOSAVYBĖS TEISE IR JO PERDAVIMO VALDYTI, NAUDOTI IR DISPONUOTI PATIKĖJIMO TEISE RADVILIŠKIO RAJONO SAVIVALDYBĖS VIEŠAJAI BIBLIOTEKAI“ AIŠKINAMASIS RAŠTAS" DocPartId="dff26b18de4e46938cbb3c73c77c1d07" PartId="d87733bf1c2548139d4b36a328a17a14">
      <Part Type="punktas" Nr="1" Abbr="1 p." DocPartId="1cf1b9d4a7ca41bcb188a059c10a8736" PartId="977750d6524946918b2f9945014a7902"/>
      <Part Type="punktas" Nr="2" Abbr="2 p." DocPartId="454698db0b7342c5b93a70251ab46023" PartId="ebfd4ee375ed4b9db52bc6b8771337d7"/>
      <Part Type="punktas" Nr="3" Abbr="3 p." DocPartId="1f3c1f621c57468b8ce79b6af8114c46" PartId="af796da3e9c34348be2535bf81df5c3b"/>
      <Part Type="punktas" Nr="4" Abbr="4 p." DocPartId="b08cfd357bf842b9a8960bae644e34a8" PartId="c070dd06498740e8b6e88e3622d46673"/>
      <Part Type="punktas" Nr="5" Abbr="5 p." DocPartId="248f45d9e2c84b70810ff2f6c1a90f18" PartId="3668e0f3aa2f4017a7981055c33645b4"/>
      <Part Type="punktas" Nr="6" Abbr="6 p." DocPartId="404f263f12be4faab1cf0a2d974f26dd" PartId="a966393679d448b9af4b47d0240c2e0a"/>
      <Part Type="punktas" Nr="7" Abbr="7 p." DocPartId="6717ace600d7432680d200e6c1dc3332" PartId="b401cd0a161b43048a0144d558504731"/>
      <Part Type="punktas" Nr="8" Abbr="8 p." DocPartId="fbcc60e43f9a4e1eb033e42971c7f232" PartId="15345a008f3c49a1a0af9e5449c16126"/>
      <Part Type="punktas" Nr="9" Abbr="9 p." DocPartId="e7eb997a09664b6f91c9685e8d14a2d5" PartId="95ae9e784d53433fb82d7afa04369488"/>
      <Part Type="punktas" Nr="10" Abbr="10 p." DocPartId="e7b195d9114b473d83a02232d93542fd" PartId="24e5c562d4534333b05d26994d74ad3e"/>
      <Part Type="punktas" Nr="11" Abbr="11 p." DocPartId="9d4c889013f34281ba0ce01d4bdb853d" PartId="31728621d71c4047a63b8c962beea6d9"/>
      <Part Type="punktas" Nr="12" Abbr="12 p." DocPartId="4505702516d54e12a3d396cd62644407" PartId="def47eee4a814e99ae3f419952f71735"/>
    </Part>
    <Part Type="signatura" DocPartId="f1227374878743248bdeb40442ce46f7" PartId="8c52ab54a7d742698a95f9ca4cfe6296"/>
  </Part>
</Parts>
</file>

<file path=customXml/itemProps1.xml><?xml version="1.0" encoding="utf-8"?>
<ds:datastoreItem xmlns:ds="http://schemas.openxmlformats.org/officeDocument/2006/customXml" ds:itemID="{94F69C90-A294-4EF5-B320-87B6FE4D306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827</Words>
  <Characters>6252</Characters>
  <Application>Microsoft Office Word</Application>
  <DocSecurity>4</DocSecurity>
  <Lines>130</Lines>
  <Paragraphs>65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7014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2025-03-13T12:26:00Z</dcterms:created>
  <dc:creator>Diana Skaburskienė</dc:creator>
  <lastModifiedBy>adlibuser</lastModifiedBy>
  <dcterms:modified xsi:type="dcterms:W3CDTF">2025-03-13T12:26:00Z</dcterms:modified>
  <revision>2</revision>
</coreProperties>
</file>