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9d20064cec844345b17262e3838cdd19"/>
        <w:lock w:val="sdtLocked"/>
        <w:richText/>
      </w:sdtPr>
      <w:sdtContent>
        <w:p>
          <w:pPr>
            <w:tabs>
              <w:tab w:val="center" w:pos="4513"/>
              <w:tab w:val="right" w:pos="9026"/>
            </w:tabs>
            <w:jc w:val="center"/>
          </w:pPr>
        </w:p>
        <w:p>
          <w:pPr>
            <w:tabs>
              <w:tab w:val="center" w:pos="4513"/>
              <w:tab w:val="right" w:pos="9026"/>
            </w:tabs>
            <w:jc w:val="right"/>
          </w:pPr>
        </w:p>
        <w:p>
          <w:pPr>
            <w:suppressAutoHyphens/>
            <w:jc w:val="right"/>
            <w:rPr>
              <w:b/>
              <w:bCs/>
              <w:szCs w:val="24"/>
              <w:lang w:eastAsia="zh-CN"/>
            </w:rPr>
          </w:pPr>
          <w:r>
            <w:rPr>
              <w:b/>
              <w:bCs/>
              <w:szCs w:val="24"/>
              <w:lang w:val="sv-SE" w:eastAsia="zh-CN"/>
            </w:rPr>
            <w:t>Projektas</w:t>
          </w:r>
        </w:p>
        <w:p>
          <w:pPr>
            <w:suppressAutoHyphens/>
            <w:jc w:val="center"/>
            <w:rPr>
              <w:b/>
              <w:bCs/>
              <w:szCs w:val="24"/>
              <w:lang w:eastAsia="zh-CN"/>
            </w:rPr>
          </w:pPr>
        </w:p>
        <w:p>
          <w:pPr>
            <w:suppressAutoHyphens/>
            <w:jc w:val="center"/>
            <w:rPr>
              <w:b/>
              <w:bCs/>
              <w:szCs w:val="24"/>
              <w:lang w:eastAsia="zh-CN"/>
            </w:rPr>
          </w:pPr>
          <w:r>
            <w:rPr>
              <w:b/>
              <w:bCs/>
              <w:szCs w:val="24"/>
              <w:lang w:eastAsia="zh-CN"/>
            </w:rPr>
            <w:t>LIETUVOS RESPUBLIKOS APLINKOS MINISTRAS</w:t>
          </w:r>
        </w:p>
        <w:p>
          <w:pPr>
            <w:suppressAutoHyphens/>
            <w:jc w:val="center"/>
            <w:rPr>
              <w:b/>
              <w:bCs/>
              <w:szCs w:val="24"/>
              <w:lang w:eastAsia="zh-CN"/>
            </w:rPr>
          </w:pPr>
        </w:p>
        <w:p>
          <w:pPr>
            <w:jc w:val="center"/>
            <w:textAlignment w:val="baseline"/>
            <w:rPr>
              <w:b/>
              <w:bCs/>
              <w:szCs w:val="24"/>
              <w:lang w:eastAsia="en-GB"/>
            </w:rPr>
          </w:pPr>
          <w:r>
            <w:rPr>
              <w:b/>
              <w:bCs/>
              <w:szCs w:val="24"/>
              <w:lang w:eastAsia="en-GB"/>
            </w:rPr>
            <w:t>ĮSAKYMAS</w:t>
          </w:r>
        </w:p>
        <w:p>
          <w:pPr>
            <w:ind w:firstLine="62"/>
            <w:jc w:val="center"/>
            <w:textAlignment w:val="baseline"/>
            <w:rPr>
              <w:b/>
              <w:bCs/>
              <w:szCs w:val="24"/>
              <w:lang w:eastAsia="en-GB"/>
            </w:rPr>
          </w:pPr>
          <w:r>
            <w:rPr>
              <w:b/>
              <w:bCs/>
              <w:color w:val="000000"/>
              <w:szCs w:val="24"/>
            </w:rPr>
            <w:t>DĖL LIETUVOS RESPUBLIKOS APLINKOS MINISTRO 2023 M. BALANDŽIO 27 D. ĮSAKYMO NR. D1-124 „</w:t>
          </w:r>
          <w:r>
            <w:rPr>
              <w:b/>
              <w:bCs/>
              <w:color w:val="000000"/>
              <w:szCs w:val="24"/>
              <w:shd w:val="clear" w:color="auto" w:fill="FFFFFF"/>
              <w:lang w:eastAsia="en-GB"/>
            </w:rPr>
            <w:t xml:space="preserve">DĖL 2022–2030 METŲ PLĖTROS PROGRAMOS VALDYTOJOS LIETUVOS RESPUBLIKOS APLINKOS MINISTERIJOS APLINKOS APSAUGOS IR KLIMATO KAITOS VALDYMO PLĖTROS PROGRAMOS PAŽANGOS PRIEMONĖS NR. </w:t>
          </w:r>
          <w:r>
            <w:rPr>
              <w:b/>
              <w:bCs/>
              <w:color w:val="000000"/>
              <w:szCs w:val="24"/>
              <w:bdr w:val="none" w:sz="0" w:space="0" w:color="auto" w:frame="1"/>
              <w:lang w:eastAsia="en-GB"/>
            </w:rPr>
            <w:t>02-001-06-10-02</w:t>
          </w:r>
          <w:r>
            <w:rPr>
              <w:b/>
              <w:bCs/>
              <w:color w:val="000000"/>
              <w:szCs w:val="24"/>
              <w:shd w:val="clear" w:color="auto" w:fill="FFFFFF"/>
              <w:lang w:eastAsia="en-GB"/>
            </w:rPr>
            <w:t xml:space="preserve"> „SKATINTI ATLIEKŲ PERDIRBIMĄ IR ANTRINIŲ ŽALIAVŲ NAUDOJIMĄ“ ĮGYVENDINIMO“ PAKEITIMO </w:t>
          </w:r>
          <w:r>
            <w:rPr>
              <w:color w:val="000000"/>
              <w:szCs w:val="24"/>
              <w:shd w:val="clear" w:color="auto" w:fill="FFFFFF"/>
              <w:lang w:eastAsia="en-GB"/>
            </w:rPr>
            <w:t> </w:t>
          </w:r>
        </w:p>
        <w:p>
          <w:pPr>
            <w:ind w:firstLine="62"/>
            <w:jc w:val="center"/>
            <w:textAlignment w:val="baseline"/>
            <w:rPr>
              <w:szCs w:val="24"/>
              <w:lang w:eastAsia="en-GB"/>
            </w:rPr>
          </w:pPr>
        </w:p>
        <w:p>
          <w:pPr>
            <w:jc w:val="center"/>
            <w:textAlignment w:val="baseline"/>
            <w:rPr>
              <w:szCs w:val="24"/>
              <w:lang w:eastAsia="en-GB"/>
            </w:rPr>
          </w:pPr>
          <w:r>
            <w:rPr>
              <w:szCs w:val="24"/>
              <w:lang w:eastAsia="en-GB"/>
            </w:rPr>
            <w:t xml:space="preserve">2025 m.                                         d. Nr. </w:t>
          </w:r>
        </w:p>
        <w:p>
          <w:pPr>
            <w:jc w:val="center"/>
            <w:textAlignment w:val="baseline"/>
            <w:rPr>
              <w:szCs w:val="24"/>
              <w:lang w:eastAsia="en-GB"/>
            </w:rPr>
          </w:pPr>
          <w:r>
            <w:rPr>
              <w:szCs w:val="24"/>
              <w:lang w:eastAsia="en-GB"/>
            </w:rPr>
            <w:t>Vilnius</w:t>
          </w:r>
        </w:p>
        <w:p>
          <w:pPr>
            <w:suppressAutoHyphens/>
            <w:jc w:val="center"/>
            <w:rPr>
              <w:szCs w:val="24"/>
              <w:lang w:eastAsia="zh-CN"/>
            </w:rPr>
          </w:pPr>
        </w:p>
        <w:sdt>
          <w:sdtPr>
            <w:alias w:val="preambule"/>
            <w:tag w:val="part_56387e9a78b842f8934ce11d562a1a0f"/>
            <w:lock w:val="sdtLocked"/>
            <w:richText/>
          </w:sdtPr>
          <w:sdtContent>
            <w:p>
              <w:pPr>
                <w:ind w:firstLine="567"/>
                <w:jc w:val="both"/>
                <w:textAlignment w:val="baseline"/>
                <w:rPr>
                  <w:b/>
                  <w:bCs/>
                  <w:color w:val="333333"/>
                  <w:szCs w:val="24"/>
                  <w:shd w:val="clear" w:color="auto" w:fill="FFFFFF"/>
                </w:rPr>
              </w:pPr>
              <w:r>
                <w:rPr>
                  <w:color w:val="000000"/>
                  <w:spacing w:val="60"/>
                  <w:szCs w:val="24"/>
                </w:rPr>
                <w:t>Pakeičiu</w:t>
              </w:r>
              <w:r>
                <w:rPr>
                  <w:color w:val="000000"/>
                  <w:szCs w:val="24"/>
                </w:rPr>
                <w:t xml:space="preserve"> </w:t>
              </w:r>
              <w:r>
                <w:rPr>
                  <w:szCs w:val="24"/>
                  <w:lang w:eastAsia="lt-LT"/>
                </w:rPr>
                <w:t>Pažangos priemonės Nr. 02-001-06-10-02 „Skatinti atliekų perdirbimą ir antrinių žaliavų naudojimą“ veiklos „Finansuoti atliekų paruošimo perdirbti ir perdirbimo infrastruktūros modernizavimą, plėtrą, naujų įrenginių diegimą“ poveiklės „Plastiko atliekų perdirbimo pajėgumų plėtra“ projektų finansavimo sąlygų aprašą, patvirtintą</w:t>
              </w:r>
              <w:r>
                <w:rPr>
                  <w:color w:val="000000"/>
                  <w:szCs w:val="24"/>
                </w:rPr>
                <w:t xml:space="preserve"> Lietuvos Respublikos aplinkos ministro 2023 m. balandžio 27 d. įsakymu Nr. D1-124 „Dėl 2022–2030 metų plėtros programos valdytojos Lietuvos Respublikos aplinkos ministerijos aplinkos apsaugos ir klimato kaitos valdymo plėtros programos pažangos priemonės Nr. 02-001-06-10-02 „Skatinti atliekų perdirbimą ir antrinių žaliavų naudojimą“ įgyvendinimo“:</w:t>
              </w:r>
              <w:r>
                <w:rPr>
                  <w:b/>
                  <w:bCs/>
                  <w:color w:val="333333"/>
                  <w:szCs w:val="24"/>
                  <w:shd w:val="clear" w:color="auto" w:fill="FFFFFF"/>
                </w:rPr>
                <w:t xml:space="preserve"> </w:t>
              </w:r>
            </w:p>
          </w:sdtContent>
        </w:sdt>
        <w:sdt>
          <w:sdtPr>
            <w:alias w:val="1 p."/>
            <w:tag w:val="part_1524ab96c9c24359b19080ba0179b555"/>
            <w:lock w:val="sdtLocked"/>
            <w:richText/>
          </w:sdtPr>
          <w:sdtContent>
            <w:p>
              <w:pPr>
                <w:ind w:left="927" w:hanging="360"/>
                <w:jc w:val="both"/>
                <w:rPr>
                  <w:szCs w:val="24"/>
                  <w:lang w:eastAsia="lt-LT"/>
                </w:rPr>
              </w:pPr>
              <w:sdt>
                <w:sdtPr>
                  <w:alias w:val="Numeris"/>
                  <w:tag w:val="nr_1524ab96c9c24359b19080ba0179b555"/>
                  <w:lock w:val="sdtLocked"/>
                  <w:richText/>
                </w:sdtPr>
                <w:sdtContent>
                  <w:r>
                    <w:rPr>
                      <w:szCs w:val="24"/>
                      <w:lang w:eastAsia="lt-LT"/>
                    </w:rPr>
                    <w:t>1</w:t>
                  </w:r>
                </w:sdtContent>
              </w:sdt>
              <w:r>
                <w:rPr>
                  <w:szCs w:val="24"/>
                  <w:lang w:eastAsia="lt-LT"/>
                </w:rPr>
                <w:t>.</w:t>
                <w:tab/>
                <w:t xml:space="preserve">Pakeičiu 2.1 papunktį ir jį išdėstau taip: </w:t>
              </w:r>
            </w:p>
            <w:sdt>
              <w:sdtPr>
                <w:alias w:val="citata"/>
                <w:tag w:val="part_7999e8d59237480483abed7aa159cff8"/>
                <w:lock w:val="sdtLocked"/>
                <w:richText/>
              </w:sdtPr>
              <w:sdtContent>
                <w:sdt>
                  <w:sdtPr>
                    <w:alias w:val="2.1 pp."/>
                    <w:tag w:val="part_b9eec5168d2745d8a43350b0ddf0cdea"/>
                    <w:lock w:val="sdtLocked"/>
                    <w:richText/>
                  </w:sdtPr>
                  <w:sdtContent>
                    <w:p>
                      <w:pPr>
                        <w:ind w:firstLine="620"/>
                        <w:jc w:val="both"/>
                        <w:rPr>
                          <w:szCs w:val="24"/>
                          <w:lang w:eastAsia="lt-LT"/>
                        </w:rPr>
                      </w:pPr>
                      <w:r>
                        <w:rPr>
                          <w:szCs w:val="24"/>
                          <w:lang w:eastAsia="lt-LT"/>
                        </w:rPr>
                        <w:t>„</w:t>
                      </w:r>
                      <w:sdt>
                        <w:sdtPr>
                          <w:alias w:val="Numeris"/>
                          <w:tag w:val="nr_b9eec5168d2745d8a43350b0ddf0cdea"/>
                          <w:lock w:val="sdtLocked"/>
                          <w:richText/>
                        </w:sdtPr>
                        <w:sdtContent>
                          <w:r>
                            <w:rPr>
                              <w:szCs w:val="24"/>
                            </w:rPr>
                            <w:t>2.1</w:t>
                          </w:r>
                        </w:sdtContent>
                      </w:sdt>
                      <w:r>
                        <w:rPr>
                          <w:szCs w:val="24"/>
                        </w:rPr>
                        <w:t>. Pagal Aprašą finansuojamos veiklos:</w:t>
                      </w:r>
                    </w:p>
                    <w:sdt>
                      <w:sdtPr>
                        <w:alias w:val="2.1.1 pp."/>
                        <w:tag w:val="part_9a124d00f8404ba5bfa564ac7c9fdd14"/>
                        <w:lock w:val="sdtLocked"/>
                        <w:richText/>
                      </w:sdtPr>
                      <w:sdtContent>
                        <w:p>
                          <w:pPr>
                            <w:ind w:firstLine="574"/>
                            <w:jc w:val="both"/>
                            <w:rPr>
                              <w:szCs w:val="24"/>
                              <w:lang w:eastAsia="lt-LT"/>
                            </w:rPr>
                          </w:pPr>
                          <w:sdt>
                            <w:sdtPr>
                              <w:alias w:val="Numeris"/>
                              <w:tag w:val="nr_9a124d00f8404ba5bfa564ac7c9fdd14"/>
                              <w:lock w:val="sdtLocked"/>
                              <w:richText/>
                            </w:sdtPr>
                            <w:sdtContent>
                              <w:r>
                                <w:rPr>
                                  <w:szCs w:val="24"/>
                                  <w:lang w:eastAsia="lt-LT"/>
                                </w:rPr>
                                <w:t>2.1.1</w:t>
                              </w:r>
                            </w:sdtContent>
                          </w:sdt>
                          <w:r>
                            <w:rPr>
                              <w:szCs w:val="24"/>
                              <w:lang w:eastAsia="lt-LT"/>
                            </w:rPr>
                            <w:t>. Lietuvoje surenkamų komunalinių plastiko atliekų (tarp jų bent vieno iš šių: polipropilenas (PP), poliamidas (PA), didelio tankio polietilenas (HDPE), mažo tankio polietilenas (LDPE), linijinis mažo tankio polietilenas (LLDPE), polistirenas (PS), polivinilchloridas (PVC), poliuretanas (PU), polikarbonatas (PC), daugiasluoksnė poliolefinų pagrindu pagaminta pakuotė) perdirbimo į granules arba dervos ar alyvos pavidalo polimerą, arba oligomerus, arba monomerus, arba naujam polimerui formuoti skirtą frakciją (pavyzdžiui, esterį), arba naujam polimerui formuoti skirtą mišinį (pavyzdžiui, pirolizinę alyvą) infrastruktūros sukūrimas / atnaujinimas (vadovaujantis BBIR 47 straipsnio 2 dalies b punktu, 3 ir 6 dalimis, 7 dalies b punktu ir 10 dalimi);</w:t>
                          </w:r>
                        </w:p>
                      </w:sdtContent>
                    </w:sdt>
                    <w:sdt>
                      <w:sdtPr>
                        <w:alias w:val="2.1.2 pp."/>
                        <w:tag w:val="part_fc56ecf2403d4c7ba69a47048d838abb"/>
                        <w:lock w:val="sdtLocked"/>
                        <w:richText/>
                      </w:sdtPr>
                      <w:sdtContent>
                        <w:p>
                          <w:pPr>
                            <w:ind w:firstLine="620"/>
                            <w:jc w:val="both"/>
                            <w:rPr>
                              <w:szCs w:val="24"/>
                              <w:lang w:eastAsia="lt-LT"/>
                            </w:rPr>
                          </w:pPr>
                          <w:sdt>
                            <w:sdtPr>
                              <w:alias w:val="Numeris"/>
                              <w:tag w:val="nr_fc56ecf2403d4c7ba69a47048d838abb"/>
                              <w:lock w:val="sdtLocked"/>
                              <w:richText/>
                            </w:sdtPr>
                            <w:sdtContent>
                              <w:r>
                                <w:rPr>
                                  <w:szCs w:val="24"/>
                                  <w:lang w:eastAsia="lt-LT"/>
                                </w:rPr>
                                <w:t>2.1.2</w:t>
                              </w:r>
                            </w:sdtContent>
                          </w:sdt>
                          <w:r>
                            <w:rPr>
                              <w:szCs w:val="24"/>
                              <w:lang w:eastAsia="lt-LT"/>
                            </w:rPr>
                            <w:t xml:space="preserve">. Lietuvoje surenkamų komunalinių plastiko atliekų (tarp jų bent vieno iš šių: polipropilenas (PP), poliamidas (PA), didelio tankio polietilenas (HDPE), mažo tankio polietilenas (LDPE), linijinis mažo tankio polietilenas (LLDPE), polistirenas (PS), polivinilchloridas (PVC), poliuretanas (PU), polikarbonatas (PC), daugiasluoksnė poliolefinų pagrindu pagaminta pakuotė) paruošimo perdirbti į granules arba dervos ar alyvos pavidalo polimerą, arba oligomerus, arba monomerus, arba naujam polimerui formuoti skirtą frakciją (pavyzdžiui, esterį), arba naujam polimerui formuoti skirtą mišinį (pavyzdžiui, pirolizinę alyvą) infrastruktūros sukūrimas / atnaujinimas (ši veikla finansuojama tik su Aprašo 2.1.1 papunktyje nurodyta veikla) (vadovaujantis BBIR 47 straipsnio 2 dalies b punktu, 3 ir 6 dalimis, 7 dalies b punktu ir 10 dalimi).“ </w:t>
                          </w:r>
                        </w:p>
                      </w:sdtContent>
                    </w:sdt>
                  </w:sdtContent>
                </w:sdt>
              </w:sdtContent>
            </w:sdt>
          </w:sdtContent>
        </w:sdt>
        <w:sdt>
          <w:sdtPr>
            <w:alias w:val="2 p."/>
            <w:tag w:val="part_777f80a9f4be48d583ffff8962834c94"/>
            <w:lock w:val="sdtLocked"/>
            <w:richText/>
          </w:sdtPr>
          <w:sdtContent>
            <w:p>
              <w:pPr>
                <w:ind w:left="927" w:hanging="360"/>
                <w:jc w:val="both"/>
                <w:rPr>
                  <w:szCs w:val="24"/>
                  <w:lang w:eastAsia="lt-LT"/>
                </w:rPr>
              </w:pPr>
              <w:sdt>
                <w:sdtPr>
                  <w:alias w:val="Numeris"/>
                  <w:tag w:val="nr_777f80a9f4be48d583ffff8962834c94"/>
                  <w:lock w:val="sdtLocked"/>
                  <w:richText/>
                </w:sdtPr>
                <w:sdtContent>
                  <w:r>
                    <w:rPr>
                      <w:szCs w:val="24"/>
                      <w:lang w:eastAsia="lt-LT"/>
                    </w:rPr>
                    <w:t>2</w:t>
                  </w:r>
                </w:sdtContent>
              </w:sdt>
              <w:r>
                <w:rPr>
                  <w:szCs w:val="24"/>
                  <w:lang w:eastAsia="lt-LT"/>
                </w:rPr>
                <w:t>.</w:t>
                <w:tab/>
                <w:t>Pakeičiu 2.6 papunktį ir jį išdėstau taip:</w:t>
              </w:r>
            </w:p>
            <w:sdt>
              <w:sdtPr>
                <w:alias w:val="citata"/>
                <w:tag w:val="part_b581840541cc4779808858aed77893e9"/>
                <w:lock w:val="sdtLocked"/>
                <w:richText/>
              </w:sdtPr>
              <w:sdtContent>
                <w:sdt>
                  <w:sdtPr>
                    <w:alias w:val="2.6 pp."/>
                    <w:tag w:val="part_fee1d8163ffe4bc4a486cf8e2348c543"/>
                    <w:lock w:val="sdtLocked"/>
                    <w:richText/>
                  </w:sdtPr>
                  <w:sdtContent>
                    <w:p>
                      <w:pPr>
                        <w:ind w:left="567"/>
                        <w:jc w:val="both"/>
                        <w:rPr>
                          <w:szCs w:val="24"/>
                          <w:lang w:eastAsia="lt-LT"/>
                        </w:rPr>
                      </w:pPr>
                      <w:r>
                        <w:rPr>
                          <w:szCs w:val="24"/>
                          <w:lang w:eastAsia="lt-LT"/>
                        </w:rPr>
                        <w:t>„</w:t>
                      </w:r>
                      <w:sdt>
                        <w:sdtPr>
                          <w:alias w:val="Numeris"/>
                          <w:tag w:val="nr_fee1d8163ffe4bc4a486cf8e2348c543"/>
                          <w:lock w:val="sdtLocked"/>
                          <w:richText/>
                        </w:sdtPr>
                        <w:sdtContent>
                          <w:r>
                            <w:rPr>
                              <w:szCs w:val="24"/>
                              <w:lang w:eastAsia="lt-LT"/>
                            </w:rPr>
                            <w:t>2.6</w:t>
                          </w:r>
                        </w:sdtContent>
                      </w:sdt>
                      <w:r>
                        <w:rPr>
                          <w:szCs w:val="24"/>
                          <w:lang w:eastAsia="lt-LT"/>
                        </w:rPr>
                        <w:t>. Partneriai negalimi.“</w:t>
                      </w:r>
                    </w:p>
                  </w:sdtContent>
                </w:sdt>
              </w:sdtContent>
            </w:sdt>
          </w:sdtContent>
        </w:sdt>
        <w:sdt>
          <w:sdtPr>
            <w:alias w:val="3 p."/>
            <w:tag w:val="part_d2298b003d67464b97279220f0b028d1"/>
            <w:lock w:val="sdtLocked"/>
            <w:richText/>
          </w:sdtPr>
          <w:sdtContent>
            <w:p>
              <w:pPr>
                <w:ind w:left="927" w:hanging="360"/>
                <w:jc w:val="both"/>
                <w:rPr>
                  <w:szCs w:val="24"/>
                  <w:lang w:eastAsia="lt-LT"/>
                </w:rPr>
              </w:pPr>
              <w:sdt>
                <w:sdtPr>
                  <w:alias w:val="Numeris"/>
                  <w:tag w:val="nr_d2298b003d67464b97279220f0b028d1"/>
                  <w:lock w:val="sdtLocked"/>
                  <w:richText/>
                </w:sdtPr>
                <w:sdtContent>
                  <w:r>
                    <w:rPr>
                      <w:szCs w:val="24"/>
                      <w:lang w:eastAsia="lt-LT"/>
                    </w:rPr>
                    <w:t>3</w:t>
                  </w:r>
                </w:sdtContent>
              </w:sdt>
              <w:r>
                <w:rPr>
                  <w:szCs w:val="24"/>
                  <w:lang w:eastAsia="lt-LT"/>
                </w:rPr>
                <w:t>.</w:t>
                <w:tab/>
                <w:t xml:space="preserve">Pripažįstu netekusiu galios </w:t>
              </w:r>
              <w:r>
                <w:rPr>
                  <w:szCs w:val="24"/>
                  <w:lang w:val="fi-FI" w:eastAsia="lt-LT"/>
                </w:rPr>
                <w:t>2.7 papunkt</w:t>
              </w:r>
              <w:r>
                <w:rPr>
                  <w:szCs w:val="24"/>
                  <w:lang w:eastAsia="lt-LT"/>
                </w:rPr>
                <w:t>į.</w:t>
              </w:r>
            </w:p>
          </w:sdtContent>
        </w:sdt>
        <w:sdt>
          <w:sdtPr>
            <w:alias w:val="4 p."/>
            <w:tag w:val="part_f2f2f28ea6d94a22ac6017b94cb805c4"/>
            <w:lock w:val="sdtLocked"/>
            <w:richText/>
          </w:sdtPr>
          <w:sdtContent>
            <w:p>
              <w:pPr>
                <w:ind w:left="927" w:hanging="360"/>
                <w:jc w:val="both"/>
                <w:rPr>
                  <w:szCs w:val="24"/>
                  <w:lang w:eastAsia="lt-LT"/>
                </w:rPr>
              </w:pPr>
              <w:sdt>
                <w:sdtPr>
                  <w:alias w:val="Numeris"/>
                  <w:tag w:val="nr_f2f2f28ea6d94a22ac6017b94cb805c4"/>
                  <w:lock w:val="sdtLocked"/>
                  <w:richText/>
                </w:sdtPr>
                <w:sdtContent>
                  <w:r>
                    <w:rPr>
                      <w:szCs w:val="24"/>
                      <w:lang w:eastAsia="lt-LT"/>
                    </w:rPr>
                    <w:t>4</w:t>
                  </w:r>
                </w:sdtContent>
              </w:sdt>
              <w:r>
                <w:rPr>
                  <w:szCs w:val="24"/>
                  <w:lang w:eastAsia="lt-LT"/>
                </w:rPr>
                <w:t>.</w:t>
                <w:tab/>
                <w:t xml:space="preserve">Pakeičiu 2.13 papunktį ir jį išdėstau taip: </w:t>
              </w:r>
            </w:p>
            <w:sdt>
              <w:sdtPr>
                <w:alias w:val="citata"/>
                <w:tag w:val="part_ba9ec75b22674558924494933e518c95"/>
                <w:lock w:val="sdtLocked"/>
                <w:richText/>
              </w:sdtPr>
              <w:sdtContent>
                <w:sdt>
                  <w:sdtPr>
                    <w:alias w:val="2.13 pp."/>
                    <w:tag w:val="part_0b4f6e5cba824285b383f5ff72ba38ab"/>
                    <w:lock w:val="sdtLocked"/>
                    <w:richText/>
                  </w:sdtPr>
                  <w:sdtContent>
                    <w:p>
                      <w:pPr>
                        <w:ind w:firstLine="558"/>
                        <w:jc w:val="both"/>
                        <w:rPr>
                          <w:szCs w:val="24"/>
                          <w:lang w:eastAsia="lt-LT"/>
                        </w:rPr>
                      </w:pPr>
                      <w:r>
                        <w:rPr>
                          <w:szCs w:val="24"/>
                          <w:lang w:eastAsia="lt-LT"/>
                        </w:rPr>
                        <w:t>„</w:t>
                      </w:r>
                      <w:sdt>
                        <w:sdtPr>
                          <w:alias w:val="Numeris"/>
                          <w:tag w:val="nr_0b4f6e5cba824285b383f5ff72ba38ab"/>
                          <w:lock w:val="sdtLocked"/>
                          <w:richText/>
                        </w:sdtPr>
                        <w:sdtContent>
                          <w:r>
                            <w:rPr>
                              <w:szCs w:val="24"/>
                              <w:lang w:eastAsia="lt-LT"/>
                            </w:rPr>
                            <w:t>2.13</w:t>
                          </w:r>
                        </w:sdtContent>
                      </w:sdt>
                      <w:r>
                        <w:rPr>
                          <w:szCs w:val="24"/>
                          <w:lang w:eastAsia="lt-LT"/>
                        </w:rPr>
                        <w:t>. Projekto veiklos gali būti pradėtos įgyvendinti tik įregistravus PĮP administruojančioje institucijoje; projekto išlaidos nuo PĮP įregistravimo administruojančioje institucijoje dienos iki projekto sutarties pasirašymo daromos pareiškėjo rizika.“  </w:t>
                      </w:r>
                    </w:p>
                  </w:sdtContent>
                </w:sdt>
              </w:sdtContent>
            </w:sdt>
          </w:sdtContent>
        </w:sdt>
        <w:sdt>
          <w:sdtPr>
            <w:alias w:val="5 p."/>
            <w:tag w:val="part_329149f629484e6ba38430d3ec15f9fc"/>
            <w:lock w:val="sdtLocked"/>
            <w:richText/>
          </w:sdtPr>
          <w:sdtContent>
            <w:p>
              <w:pPr>
                <w:ind w:left="927" w:hanging="360"/>
                <w:jc w:val="both"/>
                <w:rPr>
                  <w:szCs w:val="24"/>
                  <w:lang w:eastAsia="lt-LT"/>
                </w:rPr>
              </w:pPr>
              <w:sdt>
                <w:sdtPr>
                  <w:alias w:val="Numeris"/>
                  <w:tag w:val="nr_329149f629484e6ba38430d3ec15f9fc"/>
                  <w:lock w:val="sdtLocked"/>
                  <w:richText/>
                </w:sdtPr>
                <w:sdtContent>
                  <w:r>
                    <w:rPr>
                      <w:szCs w:val="24"/>
                      <w:lang w:eastAsia="lt-LT"/>
                    </w:rPr>
                    <w:t>5</w:t>
                  </w:r>
                </w:sdtContent>
              </w:sdt>
              <w:r>
                <w:rPr>
                  <w:szCs w:val="24"/>
                  <w:lang w:eastAsia="lt-LT"/>
                </w:rPr>
                <w:t>.</w:t>
                <w:tab/>
                <w:t xml:space="preserve">Pakeičiu 2.17 papunktį ir jį išdėstau taip: </w:t>
              </w:r>
            </w:p>
            <w:sdt>
              <w:sdtPr>
                <w:alias w:val="citata"/>
                <w:tag w:val="part_387f5e8ebafc47f79ea5fdb771593f53"/>
                <w:lock w:val="sdtLocked"/>
                <w:richText/>
              </w:sdtPr>
              <w:sdtContent>
                <w:sdt>
                  <w:sdtPr>
                    <w:alias w:val="2.17 pp."/>
                    <w:tag w:val="part_3aa4555765d0480aa3f597f796240759"/>
                    <w:lock w:val="sdtLocked"/>
                    <w:richText/>
                  </w:sdtPr>
                  <w:sdtContent>
                    <w:p>
                      <w:pPr>
                        <w:ind w:firstLine="620"/>
                        <w:jc w:val="both"/>
                        <w:rPr>
                          <w:szCs w:val="24"/>
                          <w:lang w:eastAsia="lt-LT"/>
                        </w:rPr>
                      </w:pPr>
                      <w:r>
                        <w:rPr>
                          <w:szCs w:val="24"/>
                          <w:lang w:eastAsia="lt-LT"/>
                        </w:rPr>
                        <w:t>„</w:t>
                      </w:r>
                      <w:sdt>
                        <w:sdtPr>
                          <w:alias w:val="Numeris"/>
                          <w:tag w:val="nr_3aa4555765d0480aa3f597f796240759"/>
                          <w:lock w:val="sdtLocked"/>
                          <w:richText/>
                        </w:sdtPr>
                        <w:sdtContent>
                          <w:r>
                            <w:rPr>
                              <w:szCs w:val="24"/>
                              <w:lang w:eastAsia="lt-LT"/>
                            </w:rPr>
                            <w:t>2.17</w:t>
                          </w:r>
                        </w:sdtContent>
                      </w:sdt>
                      <w:r>
                        <w:rPr>
                          <w:szCs w:val="24"/>
                          <w:lang w:eastAsia="lt-LT"/>
                        </w:rPr>
                        <w:t>. Vienas pareiškėjas gali pateikti tik vieną PĮP, parengtą pagal Projektų administravimo ir finansavimo taisyklių 1 priedą. PĮP rengiami ir teikiami per 2021–2027 m. Europos Sąjungos investicijų administravimo informacinės sistemos (INVESTIS) duomenų mainų svetainę.“ </w:t>
                      </w:r>
                    </w:p>
                  </w:sdtContent>
                </w:sdt>
              </w:sdtContent>
            </w:sdt>
          </w:sdtContent>
        </w:sdt>
        <w:sdt>
          <w:sdtPr>
            <w:alias w:val="6 p."/>
            <w:tag w:val="part_e83d4182be6c4de2b33a37e90c786513"/>
            <w:lock w:val="sdtLocked"/>
            <w:richText/>
          </w:sdtPr>
          <w:sdtContent>
            <w:p>
              <w:pPr>
                <w:ind w:firstLine="620"/>
                <w:jc w:val="both"/>
                <w:rPr>
                  <w:szCs w:val="24"/>
                  <w:lang w:eastAsia="lt-LT"/>
                </w:rPr>
              </w:pPr>
              <w:sdt>
                <w:sdtPr>
                  <w:alias w:val="Numeris"/>
                  <w:tag w:val="nr_e83d4182be6c4de2b33a37e90c786513"/>
                  <w:lock w:val="sdtLocked"/>
                  <w:richText/>
                </w:sdtPr>
                <w:sdtContent>
                  <w:r>
                    <w:rPr>
                      <w:szCs w:val="24"/>
                      <w:lang w:eastAsia="lt-LT"/>
                    </w:rPr>
                    <w:t>6</w:t>
                  </w:r>
                </w:sdtContent>
              </w:sdt>
              <w:r>
                <w:rPr>
                  <w:szCs w:val="24"/>
                  <w:lang w:eastAsia="lt-LT"/>
                </w:rPr>
                <w:t>. Pakeičiu 2.18 papunktį ir jį išdėstau taip:</w:t>
              </w:r>
            </w:p>
            <w:sdt>
              <w:sdtPr>
                <w:alias w:val="citata"/>
                <w:tag w:val="part_222eeba224ea46e29509ce4c41e80b0d"/>
                <w:lock w:val="sdtLocked"/>
                <w:richText/>
              </w:sdtPr>
              <w:sdtContent>
                <w:sdt>
                  <w:sdtPr>
                    <w:alias w:val="2.18 pp."/>
                    <w:tag w:val="part_27282abce1004536a799e3a754a3be3f"/>
                    <w:lock w:val="sdtLocked"/>
                    <w:richText/>
                  </w:sdtPr>
                  <w:sdtContent>
                    <w:p>
                      <w:pPr>
                        <w:ind w:firstLine="620"/>
                        <w:jc w:val="both"/>
                        <w:rPr>
                          <w:color w:val="000000"/>
                        </w:rPr>
                      </w:pPr>
                      <w:r>
                        <w:rPr>
                          <w:szCs w:val="24"/>
                          <w:lang w:eastAsia="lt-LT"/>
                        </w:rPr>
                        <w:t>„</w:t>
                      </w:r>
                      <w:sdt>
                        <w:sdtPr>
                          <w:alias w:val="Numeris"/>
                          <w:tag w:val="nr_27282abce1004536a799e3a754a3be3f"/>
                          <w:lock w:val="sdtLocked"/>
                          <w:richText/>
                        </w:sdtPr>
                        <w:sdtContent>
                          <w:r>
                            <w:rPr>
                              <w:color w:val="000000"/>
                            </w:rPr>
                            <w:t>2.18</w:t>
                          </w:r>
                        </w:sdtContent>
                      </w:sdt>
                      <w:r>
                        <w:rPr>
                          <w:color w:val="000000"/>
                        </w:rPr>
                        <w:t>. Pareiškėjas turi parengti PĮP ir su PĮP administruojančiajai institucijai pateikti šiuos dokumentus Projektų administravimo ir finansavimo taisyklių III skyriaus antrajame skirsnyje ir kvietimo teikti PĮP skelbime nustatyta tvarka:</w:t>
                      </w:r>
                    </w:p>
                    <w:sdt>
                      <w:sdtPr>
                        <w:alias w:val="2.18.1 pp."/>
                        <w:tag w:val="part_5d607db076444fc9be4021989f972f46"/>
                        <w:lock w:val="sdtLocked"/>
                        <w:richText/>
                      </w:sdtPr>
                      <w:sdtContent>
                        <w:p>
                          <w:pPr>
                            <w:ind w:firstLine="720"/>
                            <w:jc w:val="both"/>
                            <w:rPr>
                              <w:szCs w:val="24"/>
                            </w:rPr>
                          </w:pPr>
                          <w:sdt>
                            <w:sdtPr>
                              <w:alias w:val="Numeris"/>
                              <w:tag w:val="nr_5d607db076444fc9be4021989f972f46"/>
                              <w:lock w:val="sdtLocked"/>
                              <w:richText/>
                            </w:sdtPr>
                            <w:sdtContent>
                              <w:r>
                                <w:rPr>
                                  <w:szCs w:val="24"/>
                                </w:rPr>
                                <w:t>2.18.1</w:t>
                              </w:r>
                            </w:sdtContent>
                          </w:sdt>
                          <w:r>
                            <w:rPr>
                              <w:szCs w:val="24"/>
                            </w:rPr>
                            <w:t xml:space="preserve">. investicijų projektą su investicijų skaičiuokle (jei taikoma pagal Strateginio valdymo metodikos 140.5 papunktį), parengtą pagal Investicijų projektų, kuriems siekiama gauti finansavimą iš Europos Sąjungos struktūrinės paramos ir (ar) valstybės biudžeto lėšų, rengimo metodiką, patvirtintą viešosios įstaigos Centrinės projektų valdymo agentūros direktoriaus, kuri paskelbta interneto svetainės </w:t>
                          </w:r>
                          <w:r>
                            <w:rPr>
                              <w:i/>
                              <w:iCs/>
                              <w:szCs w:val="24"/>
                            </w:rPr>
                            <w:t xml:space="preserve">www.cpva.lt </w:t>
                          </w:r>
                          <w:r>
                            <w:rPr>
                              <w:szCs w:val="24"/>
                            </w:rPr>
                            <w:t xml:space="preserve">skiltyje „Plėtros programų portfelio metodinės pagalbos centras / Dokumentai / Investicijų projektų rengimo metodika“ (jei taikoma); </w:t>
                          </w:r>
                        </w:p>
                      </w:sdtContent>
                    </w:sdt>
                    <w:sdt>
                      <w:sdtPr>
                        <w:alias w:val="2.18.2 pp."/>
                        <w:tag w:val="part_e5ae0928cd184755a7940815dd125e66"/>
                        <w:lock w:val="sdtLocked"/>
                        <w:richText/>
                      </w:sdtPr>
                      <w:sdtContent>
                        <w:p>
                          <w:pPr>
                            <w:ind w:firstLine="720"/>
                            <w:jc w:val="both"/>
                          </w:pPr>
                          <w:sdt>
                            <w:sdtPr>
                              <w:alias w:val="Numeris"/>
                              <w:tag w:val="nr_e5ae0928cd184755a7940815dd125e66"/>
                              <w:lock w:val="sdtLocked"/>
                              <w:richText/>
                            </w:sdtPr>
                            <w:sdtContent>
                              <w:r>
                                <w:t>2.18.2</w:t>
                              </w:r>
                            </w:sdtContent>
                          </w:sdt>
                          <w:r>
                            <w:t>. projekto išlaidų pagrįstumą patvirtinančius dokumentus (sutarčių kopijas, komercinius pasiūlymus, rinkoje esančių kainų nuorodas (pavyzdžiui, Centrinėje viešųjų pirkimų informacinėje sistemoje); jeigu išlaidos grindžiamos tiekėjų pasiūlymais, – paklausimus tiekėjams);</w:t>
                          </w:r>
                        </w:p>
                      </w:sdtContent>
                    </w:sdt>
                    <w:sdt>
                      <w:sdtPr>
                        <w:alias w:val="2.18.3 pp."/>
                        <w:tag w:val="part_9edc39c19e084981a99892c5c3f6d878"/>
                        <w:lock w:val="sdtLocked"/>
                        <w:richText/>
                      </w:sdtPr>
                      <w:sdtContent>
                        <w:p>
                          <w:pPr>
                            <w:ind w:firstLine="720"/>
                            <w:jc w:val="both"/>
                          </w:pPr>
                          <w:sdt>
                            <w:sdtPr>
                              <w:alias w:val="Numeris"/>
                              <w:tag w:val="nr_9edc39c19e084981a99892c5c3f6d878"/>
                              <w:lock w:val="sdtLocked"/>
                              <w:richText/>
                            </w:sdtPr>
                            <w:sdtContent>
                              <w:r>
                                <w:t>2.18.3</w:t>
                              </w:r>
                            </w:sdtContent>
                          </w:sdt>
                          <w:r>
                            <w:t xml:space="preserve">. finansavimo šaltinius (pareiškėjo privalomas nuosavas lėšas, įnašą į netinkamų finansuoti išlaidų padengimą) pagrindžiančius dokumentus, kuriuose nurodytas banko (ir kitų kredito įstaigų, juridinių asmenų) preliminarus sprendimas ir (ar) akcininkų sprendimas suteikti paskolą konkrečiam projektui </w:t>
                          </w:r>
                          <w:r>
                            <w:rPr>
                              <w:shd w:val="clear" w:color="auto" w:fill="FFFFFF"/>
                            </w:rPr>
                            <w:t>ar kiti dokumentai, įrodantys finansavimo šaltinius;</w:t>
                          </w:r>
                        </w:p>
                      </w:sdtContent>
                    </w:sdt>
                    <w:sdt>
                      <w:sdtPr>
                        <w:alias w:val="2.18.4 pp."/>
                        <w:tag w:val="part_c36c0f59a0a342cb919414c3e2c8135b"/>
                        <w:lock w:val="sdtLocked"/>
                        <w:richText/>
                      </w:sdtPr>
                      <w:sdtContent>
                        <w:p>
                          <w:pPr>
                            <w:ind w:firstLine="698"/>
                            <w:jc w:val="both"/>
                            <w:rPr>
                              <w:szCs w:val="24"/>
                              <w:lang w:eastAsia="lt-LT"/>
                            </w:rPr>
                          </w:pPr>
                          <w:sdt>
                            <w:sdtPr>
                              <w:alias w:val="Numeris"/>
                              <w:tag w:val="nr_c36c0f59a0a342cb919414c3e2c8135b"/>
                              <w:lock w:val="sdtLocked"/>
                              <w:richText/>
                            </w:sdtPr>
                            <w:sdtContent>
                              <w:r>
                                <w:rPr>
                                  <w:szCs w:val="24"/>
                                </w:rPr>
                                <w:t>2.18.4</w:t>
                              </w:r>
                            </w:sdtContent>
                          </w:sdt>
                          <w:r>
                            <w:rPr>
                              <w:szCs w:val="24"/>
                            </w:rPr>
                            <w:t>. deklaraciją ir paaiškinimus, pagrindžiančius, kad pareiškėjas yra pradėjęs atrankos dėl poveikio aplinkai vertinimo ir (ar) planuojamos ūkinės veiklos atrankos dėl poveikio aplinkai vertinimo (toliau – poveikio aplinkai vertinimas) procedūras, arba pagrindimą, kodėl minėtos procedūros netaikomos; pateikti informaciją apie projektui taikomus aplinkosauginius reikalavimus pagal PĮP 3 priede pateiktą pavyzdį;</w:t>
                          </w:r>
                        </w:p>
                      </w:sdtContent>
                    </w:sdt>
                    <w:sdt>
                      <w:sdtPr>
                        <w:alias w:val="2.18.5 pp."/>
                        <w:tag w:val="part_d1034cf2f95146208ee2e2fcc3209172"/>
                        <w:lock w:val="sdtLocked"/>
                        <w:richText/>
                      </w:sdtPr>
                      <w:sdtContent>
                        <w:p>
                          <w:pPr>
                            <w:ind w:firstLine="682"/>
                            <w:jc w:val="both"/>
                            <w:rPr>
                              <w:szCs w:val="24"/>
                              <w:lang w:eastAsia="lt-LT"/>
                            </w:rPr>
                          </w:pPr>
                          <w:sdt>
                            <w:sdtPr>
                              <w:alias w:val="Numeris"/>
                              <w:tag w:val="nr_d1034cf2f95146208ee2e2fcc3209172"/>
                              <w:lock w:val="sdtLocked"/>
                              <w:richText/>
                            </w:sdtPr>
                            <w:sdtContent>
                              <w:r>
                                <w:rPr>
                                  <w:szCs w:val="24"/>
                                  <w:lang w:eastAsia="lt-LT"/>
                                </w:rPr>
                                <w:t>2.18.5</w:t>
                              </w:r>
                            </w:sdtContent>
                          </w:sdt>
                          <w:r>
                            <w:rPr>
                              <w:szCs w:val="24"/>
                              <w:lang w:eastAsia="lt-LT"/>
                            </w:rPr>
                            <w:t xml:space="preserve">. informaciją apie pareiškėjui suteiktą valstybės pagalbą (išskyrus </w:t>
                          </w:r>
                          <w:r>
                            <w:rPr>
                              <w:i/>
                              <w:iCs/>
                              <w:szCs w:val="24"/>
                              <w:lang w:eastAsia="lt-LT"/>
                            </w:rPr>
                            <w:t>de minimis</w:t>
                          </w:r>
                          <w:r>
                            <w:rPr>
                              <w:szCs w:val="24"/>
                              <w:lang w:eastAsia="lt-LT"/>
                            </w:rPr>
                            <w:t>), kurioje pateikiama tik su teikiamu projektu susijusi suteikta arba planuojama pagalba, pagal PĮP 4 priede pateiktą pavyzdį;</w:t>
                          </w:r>
                        </w:p>
                      </w:sdtContent>
                    </w:sdt>
                    <w:sdt>
                      <w:sdtPr>
                        <w:alias w:val="2.18.6 pp."/>
                        <w:tag w:val="part_c12d1e7519fa4118b5473faa724cc10d"/>
                        <w:lock w:val="sdtLocked"/>
                        <w:richText/>
                      </w:sdtPr>
                      <w:sdtContent>
                        <w:p>
                          <w:pPr>
                            <w:ind w:firstLine="682"/>
                            <w:jc w:val="both"/>
                            <w:rPr>
                              <w:szCs w:val="24"/>
                              <w:lang w:eastAsia="lt-LT"/>
                            </w:rPr>
                          </w:pPr>
                          <w:sdt>
                            <w:sdtPr>
                              <w:alias w:val="Numeris"/>
                              <w:tag w:val="nr_c12d1e7519fa4118b5473faa724cc10d"/>
                              <w:lock w:val="sdtLocked"/>
                              <w:richText/>
                            </w:sdtPr>
                            <w:sdtContent>
                              <w:r>
                                <w:rPr>
                                  <w:szCs w:val="24"/>
                                  <w:lang w:eastAsia="lt-LT"/>
                                </w:rPr>
                                <w:t>2.18.6</w:t>
                              </w:r>
                            </w:sdtContent>
                          </w:sdt>
                          <w:r>
                            <w:rPr>
                              <w:szCs w:val="24"/>
                              <w:lang w:eastAsia="lt-LT"/>
                            </w:rPr>
                            <w:t xml:space="preserve">. deklaraciją, kad projekto metu </w:t>
                          </w:r>
                          <w:r>
                            <w:t>sukurti / atnaujinti</w:t>
                          </w:r>
                          <w:r>
                            <w:rPr>
                              <w:szCs w:val="24"/>
                              <w:lang w:eastAsia="lt-LT"/>
                            </w:rPr>
                            <w:t xml:space="preserve"> atliekų paruošimo perdirbti ir perdirbimo pajėgumai bus </w:t>
                          </w:r>
                          <w:r>
                            <w:rPr>
                              <w:color w:val="000000"/>
                              <w:lang w:eastAsia="lt-LT"/>
                            </w:rPr>
                            <w:t xml:space="preserve">naudojami </w:t>
                          </w:r>
                          <w:r>
                            <w:rPr>
                              <w:szCs w:val="24"/>
                              <w:lang w:eastAsia="lt-LT"/>
                            </w:rPr>
                            <w:t>tik Lietuvoje surenkamoms komunalinėms plastiko atliekoms (tarp jų bent vieno iš šių: polipropilenas (PP), poliamidas (PA), didelio tankio polietilenas (HDPE), mažo tankio polietilenas (LDPE), linijinis mažo tankio polietilenas (LLDPE), polistirenas (PS), polivinilchloridas (PVC), poliuretanas (PU), polikarbonatas (PC), daugiasluoksnė poliolefinų pagrindu pagaminta pakuotė) paruošti perdirbti ir perdirbti į granules arba dervos ar alyvos pavidalo polimerą, arba oligomerus, arba monomerus, arba naujam polimerui formuoti skirtą frakciją (pavyzdžiui, esterį), arba naujam polimerui formuoti skirtą mišinį (pavyzdžiui, pirolizinę alyvą);</w:t>
                          </w:r>
                        </w:p>
                      </w:sdtContent>
                    </w:sdt>
                    <w:sdt>
                      <w:sdtPr>
                        <w:alias w:val="2.18.7 pp."/>
                        <w:tag w:val="part_14e15417ed70460f8d8fbd602fcebd68"/>
                        <w:lock w:val="sdtLocked"/>
                        <w:richText/>
                      </w:sdtPr>
                      <w:sdtContent>
                        <w:p>
                          <w:pPr>
                            <w:ind w:firstLine="744"/>
                            <w:jc w:val="both"/>
                            <w:rPr>
                              <w:szCs w:val="24"/>
                              <w:lang w:eastAsia="lt-LT"/>
                            </w:rPr>
                          </w:pPr>
                          <w:sdt>
                            <w:sdtPr>
                              <w:alias w:val="Numeris"/>
                              <w:tag w:val="nr_14e15417ed70460f8d8fbd602fcebd68"/>
                              <w:lock w:val="sdtLocked"/>
                              <w:richText/>
                            </w:sdtPr>
                            <w:sdtContent>
                              <w:r>
                                <w:rPr>
                                  <w:szCs w:val="24"/>
                                  <w:lang w:eastAsia="lt-LT"/>
                                </w:rPr>
                                <w:t>2.18.7</w:t>
                              </w:r>
                            </w:sdtContent>
                          </w:sdt>
                          <w:r>
                            <w:rPr>
                              <w:szCs w:val="24"/>
                              <w:lang w:eastAsia="lt-LT"/>
                            </w:rPr>
                            <w:t>. aprašymą, kokių yra galutinių produkto naudotojų, kurie granules ar oligomerus arba monomerus panaudos naujų plastikinių produktų gamyboje;</w:t>
                          </w:r>
                        </w:p>
                      </w:sdtContent>
                    </w:sdt>
                    <w:sdt>
                      <w:sdtPr>
                        <w:alias w:val="2.18.8 pp."/>
                        <w:tag w:val="part_36128b187a7a4fa9a31b67aa542917c5"/>
                        <w:lock w:val="sdtLocked"/>
                        <w:richText/>
                      </w:sdtPr>
                      <w:sdtContent>
                        <w:p>
                          <w:pPr>
                            <w:ind w:firstLine="709"/>
                            <w:jc w:val="both"/>
                            <w:rPr>
                              <w:szCs w:val="24"/>
                              <w:lang w:eastAsia="lt-LT"/>
                            </w:rPr>
                          </w:pPr>
                          <w:sdt>
                            <w:sdtPr>
                              <w:alias w:val="Numeris"/>
                              <w:tag w:val="nr_36128b187a7a4fa9a31b67aa542917c5"/>
                              <w:lock w:val="sdtLocked"/>
                              <w:richText/>
                            </w:sdtPr>
                            <w:sdtContent>
                              <w:r>
                                <w:rPr>
                                  <w:szCs w:val="24"/>
                                  <w:lang w:eastAsia="lt-LT"/>
                                </w:rPr>
                                <w:t>2.18.8</w:t>
                              </w:r>
                            </w:sdtContent>
                          </w:sdt>
                          <w:r>
                            <w:rPr>
                              <w:szCs w:val="24"/>
                              <w:lang w:eastAsia="lt-LT"/>
                            </w:rPr>
                            <w:t>. smulkiojo ar vidutinio verslo subjekto statuso deklaraciją, kurios forma patvirtinta Lietuvos Respublikos ekonomikos ir inovacijų ministro 2008 m. kovo 26 d. įsakymu Nr. 4-119 „Dėl Smulkiojo ar vidutinio verslo subjekto statuso deklaravimo tvarkos aprašo ir Smulkiojo ar vidutinio verslo subjekto statuso deklaracijos formos patvirtinimo“, parengtą pagal paskutinių ataskaitinių finansinių metų duomenis, jei pareiškėjas yra maža ar vidutinė įmonė, arba laisvos formos deklaraciją, kurioje nurodomos ir visos pareiškėjo susijusios įmonės, jei pareiškėjas yra didelė įmonė;</w:t>
                          </w:r>
                        </w:p>
                      </w:sdtContent>
                    </w:sdt>
                    <w:sdt>
                      <w:sdtPr>
                        <w:alias w:val="2.18.9 pp."/>
                        <w:tag w:val="part_34bbb209071f4c43b7510abad0852a6b"/>
                        <w:lock w:val="sdtLocked"/>
                        <w:richText/>
                      </w:sdtPr>
                      <w:sdtContent>
                        <w:p>
                          <w:pPr>
                            <w:ind w:firstLine="698"/>
                            <w:jc w:val="both"/>
                            <w:rPr>
                              <w:szCs w:val="24"/>
                            </w:rPr>
                          </w:pPr>
                          <w:sdt>
                            <w:sdtPr>
                              <w:alias w:val="Numeris"/>
                              <w:tag w:val="nr_34bbb209071f4c43b7510abad0852a6b"/>
                              <w:lock w:val="sdtLocked"/>
                              <w:richText/>
                            </w:sdtPr>
                            <w:sdtContent>
                              <w:r>
                                <w:rPr>
                                  <w:szCs w:val="24"/>
                                </w:rPr>
                                <w:t>2.18.9</w:t>
                              </w:r>
                            </w:sdtContent>
                          </w:sdt>
                          <w:r>
                            <w:rPr>
                              <w:szCs w:val="24"/>
                            </w:rPr>
                            <w:t>. pareiškėjo atliekų tvarkymo apskaitos metines ataskaitas, parengtas pagal Atliekų susidarymo ir tvarkymo apskaitos ir ataskaitų teikimo taisykles, patvirtintas Lietuvos Respublikos aplinkos ministro 2011 m. gegužės 3 d. įsakymu Nr. D1-367 „Dėl Atliekų susidarymo ir tvarkymo apskaitos ir ataskaitų teikimo taisyklių patvirtinimo“;</w:t>
                          </w:r>
                        </w:p>
                      </w:sdtContent>
                    </w:sdt>
                    <w:sdt>
                      <w:sdtPr>
                        <w:alias w:val="2.18.10 pp."/>
                        <w:tag w:val="part_1c9815d2e438460c81e776c17d4bff26"/>
                        <w:lock w:val="sdtLocked"/>
                        <w:richText/>
                      </w:sdtPr>
                      <w:sdtContent>
                        <w:p>
                          <w:pPr>
                            <w:ind w:firstLine="698"/>
                            <w:jc w:val="both"/>
                            <w:rPr>
                              <w:szCs w:val="24"/>
                            </w:rPr>
                          </w:pPr>
                          <w:sdt>
                            <w:sdtPr>
                              <w:alias w:val="Numeris"/>
                              <w:tag w:val="nr_1c9815d2e438460c81e776c17d4bff26"/>
                              <w:lock w:val="sdtLocked"/>
                              <w:richText/>
                            </w:sdtPr>
                            <w:sdtContent>
                              <w:r>
                                <w:rPr>
                                  <w:szCs w:val="24"/>
                                </w:rPr>
                                <w:t>2.18.10</w:t>
                              </w:r>
                            </w:sdtContent>
                          </w:sdt>
                          <w:r>
                            <w:rPr>
                              <w:szCs w:val="24"/>
                            </w:rPr>
                            <w:t>. komercinius pasiūlymus, pagrindžiančius Aprašo 8.7 papunktyje numatytas</w:t>
                          </w:r>
                          <w:r>
                            <w:t xml:space="preserve"> tinkamas finansuoti papildomas investicijų į įrangą išlaidas (kurių reikia, kad įrenginys veiktų kaip didelio efektyvumo plastiko atliekų perdirbimo linijos įrenginys, palyginti su tokio paties pajėgumo, reikalingo plastiko atliekoms šalinti, sąvartyno įrengimu arba tokio paties pajėgumo įprastais plastiko atliekų perdirbimo linijos įrenginiais</w:t>
                          </w:r>
                          <w:r>
                            <w:rPr>
                              <w:szCs w:val="24"/>
                            </w:rPr>
                            <w:t>);</w:t>
                          </w:r>
                        </w:p>
                      </w:sdtContent>
                    </w:sdt>
                    <w:sdt>
                      <w:sdtPr>
                        <w:alias w:val="2.18.11 pp."/>
                        <w:tag w:val="part_15223a46986249e4940b94e973312d0f"/>
                        <w:lock w:val="sdtLocked"/>
                        <w:richText/>
                      </w:sdtPr>
                      <w:sdtContent>
                        <w:p>
                          <w:pPr>
                            <w:shd w:val="clear" w:color="auto" w:fill="FFFFFF"/>
                            <w:ind w:firstLine="744"/>
                            <w:jc w:val="both"/>
                            <w:textAlignment w:val="baseline"/>
                            <w:rPr>
                              <w:szCs w:val="24"/>
                              <w:lang w:eastAsia="lt-LT"/>
                            </w:rPr>
                          </w:pPr>
                          <w:sdt>
                            <w:sdtPr>
                              <w:alias w:val="Numeris"/>
                              <w:tag w:val="nr_15223a46986249e4940b94e973312d0f"/>
                              <w:lock w:val="sdtLocked"/>
                              <w:richText/>
                            </w:sdtPr>
                            <w:sdtContent>
                              <w:r>
                                <w:rPr>
                                  <w:szCs w:val="24"/>
                                  <w:lang w:eastAsia="lt-LT"/>
                                </w:rPr>
                                <w:t>2.18.11</w:t>
                              </w:r>
                            </w:sdtContent>
                          </w:sdt>
                          <w:r>
                            <w:rPr>
                              <w:szCs w:val="24"/>
                              <w:lang w:eastAsia="lt-LT"/>
                            </w:rPr>
                            <w:t xml:space="preserve">. pagrindimą dėl projekto veiklų įgyvendinimo vietos, t. y. žemės sklypo ir (arba) pastato teisėto valdymo pagrindų (nuosavybė, nuoma, panauda), kurie turi būti įforminti iki PĮP pateikimo, dokumentai  turi būti įregistruoti Lietuvos Respublikos nekilnojamojo turto registre ir galioti ne trumpiau kaip 5 metus pasibaigus projekto finansavimui. Jeigu pareiškėjas nevaldo žemės sklypo ir (arba) pastato nuosavybės teise, jis turi pateikti žemės sklypo ir (arba) pastato savininko laisvos formos raštišką sutikimą vykdyti projekto veiklas, kuris galioja ne trumpiau kaip 5 metus pasibaigus projekto finansavimui, jei pastatas ir (arba) žemės sklypas  naudojamas pagal panaudos ar nuomos sutartį ir jei toks sutikimas nėra nurodytas nuomos ar panaudos sutartyje;</w:t>
                          </w:r>
                        </w:p>
                      </w:sdtContent>
                    </w:sdt>
                    <w:sdt>
                      <w:sdtPr>
                        <w:alias w:val="2.18.12 pp."/>
                        <w:tag w:val="part_d76e9dac07c747fbaf79951f0d89387d"/>
                        <w:lock w:val="sdtLocked"/>
                        <w:richText/>
                      </w:sdtPr>
                      <w:sdtContent>
                        <w:p>
                          <w:pPr>
                            <w:ind w:firstLine="744"/>
                            <w:jc w:val="both"/>
                            <w:textAlignment w:val="baseline"/>
                            <w:rPr>
                              <w:szCs w:val="24"/>
                              <w:lang w:eastAsia="lt-LT"/>
                            </w:rPr>
                          </w:pPr>
                          <w:sdt>
                            <w:sdtPr>
                              <w:alias w:val="Numeris"/>
                              <w:tag w:val="nr_d76e9dac07c747fbaf79951f0d89387d"/>
                              <w:lock w:val="sdtLocked"/>
                              <w:richText/>
                            </w:sdtPr>
                            <w:sdtContent>
                              <w:r>
                                <w:rPr>
                                  <w:szCs w:val="24"/>
                                  <w:lang w:eastAsia="lt-LT"/>
                                </w:rPr>
                                <w:t>2.18.12</w:t>
                              </w:r>
                            </w:sdtContent>
                          </w:sdt>
                          <w:r>
                            <w:rPr>
                              <w:szCs w:val="24"/>
                              <w:lang w:eastAsia="lt-LT"/>
                            </w:rPr>
                            <w:t xml:space="preserve">. laisvos formos deklaraciją su paaiškinimu, kaip įgyvendinant projektą  sukurti pajėgumai padės siekti Aprašo 1 priede nurodytų 1–4 aplinkos tikslų, jei planuojamos ūkinės veiklos poveikio aplinkai vertinimas neatliekamas;</w:t>
                          </w:r>
                        </w:p>
                      </w:sdtContent>
                    </w:sdt>
                    <w:sdt>
                      <w:sdtPr>
                        <w:alias w:val="2.18.13 pp."/>
                        <w:tag w:val="part_4081d38a10254e7e993de3ae2a159d7e"/>
                        <w:lock w:val="sdtLocked"/>
                        <w:richText/>
                      </w:sdtPr>
                      <w:sdtContent>
                        <w:p>
                          <w:pPr>
                            <w:ind w:firstLine="744"/>
                            <w:jc w:val="both"/>
                            <w:textAlignment w:val="baseline"/>
                            <w:rPr>
                              <w:color w:val="000000"/>
                            </w:rPr>
                          </w:pPr>
                          <w:sdt>
                            <w:sdtPr>
                              <w:alias w:val="Numeris"/>
                              <w:tag w:val="nr_4081d38a10254e7e993de3ae2a159d7e"/>
                              <w:lock w:val="sdtLocked"/>
                              <w:richText/>
                            </w:sdtPr>
                            <w:sdtContent>
                              <w:r>
                                <w:rPr>
                                  <w:color w:val="000000"/>
                                </w:rPr>
                                <w:t>2.18.13</w:t>
                              </w:r>
                            </w:sdtContent>
                          </w:sdt>
                          <w:r>
                            <w:rPr>
                              <w:color w:val="000000"/>
                            </w:rPr>
                            <w:t>. dokumentus, pagrindžiančius atitiktį Aprašo 2.2.1 papunkčio reikalavimams (pvz., sutartys su energijos, pagamintos iš atsinaujinančių išteklių, tiekėjais, įsirengtų saulės elektrinių dokumentai ir pan.) ir atitiktį Aprašo 2.2.2 papunkčio reikalavimams (pvz., įrenginių techninės specifikacijos, paaiškinimai dėl įrenginių naudojamos energijos gamybai ir pan.);</w:t>
                          </w:r>
                        </w:p>
                      </w:sdtContent>
                    </w:sdt>
                    <w:sdt>
                      <w:sdtPr>
                        <w:alias w:val="2.18.14 pp."/>
                        <w:tag w:val="part_f464d082c6184758802530dae0d44e32"/>
                        <w:lock w:val="sdtLocked"/>
                        <w:richText/>
                      </w:sdtPr>
                      <w:sdtContent>
                        <w:p>
                          <w:pPr>
                            <w:spacing w:line="276" w:lineRule="auto"/>
                            <w:ind w:firstLine="744"/>
                            <w:jc w:val="both"/>
                            <w:textAlignment w:val="baseline"/>
                            <w:rPr>
                              <w:color w:val="000000"/>
                            </w:rPr>
                          </w:pPr>
                          <w:sdt>
                            <w:sdtPr>
                              <w:alias w:val="Numeris"/>
                              <w:tag w:val="nr_f464d082c6184758802530dae0d44e32"/>
                              <w:lock w:val="sdtLocked"/>
                              <w:richText/>
                            </w:sdtPr>
                            <w:sdtContent>
                              <w:r>
                                <w:rPr>
                                  <w:color w:val="000000"/>
                                </w:rPr>
                                <w:t>2.18.14</w:t>
                              </w:r>
                            </w:sdtContent>
                          </w:sdt>
                          <w:r>
                            <w:rPr>
                              <w:color w:val="000000"/>
                            </w:rPr>
                            <w:t xml:space="preserve">. planuojamų sukurti plastiko atliekų perdirbimo įrangos techninę specifikaciją         (-as).</w:t>
                          </w:r>
                          <w:r>
                            <w:rPr>
                              <w:lang w:eastAsia="lt-LT"/>
                            </w:rPr>
                            <w:t xml:space="preserve">“  </w:t>
                          </w:r>
                        </w:p>
                      </w:sdtContent>
                    </w:sdt>
                  </w:sdtContent>
                </w:sdt>
              </w:sdtContent>
            </w:sdt>
          </w:sdtContent>
        </w:sdt>
        <w:sdt>
          <w:sdtPr>
            <w:alias w:val="7 p."/>
            <w:tag w:val="part_66518e2c8fc04225a8340e9570bedeb8"/>
            <w:lock w:val="sdtLocked"/>
            <w:richText/>
          </w:sdtPr>
          <w:sdtContent>
            <w:p>
              <w:pPr>
                <w:ind w:firstLine="744"/>
                <w:rPr>
                  <w:lang w:eastAsia="lt-LT"/>
                </w:rPr>
              </w:pPr>
              <w:sdt>
                <w:sdtPr>
                  <w:alias w:val="Numeris"/>
                  <w:tag w:val="nr_66518e2c8fc04225a8340e9570bedeb8"/>
                  <w:lock w:val="sdtLocked"/>
                  <w:richText/>
                </w:sdtPr>
                <w:sdtContent>
                  <w:r>
                    <w:rPr>
                      <w:szCs w:val="24"/>
                      <w:lang w:eastAsia="lt-LT"/>
                    </w:rPr>
                    <w:t>7</w:t>
                  </w:r>
                </w:sdtContent>
              </w:sdt>
              <w:r>
                <w:rPr>
                  <w:szCs w:val="24"/>
                  <w:lang w:eastAsia="lt-LT"/>
                </w:rPr>
                <w:t xml:space="preserve">. </w:t>
              </w:r>
              <w:r>
                <w:rPr>
                  <w:lang w:eastAsia="lt-LT"/>
                </w:rPr>
                <w:t xml:space="preserve">Pakeičiu 2.19 papunktį ir jį išdėstau taip: </w:t>
              </w:r>
            </w:p>
            <w:sdt>
              <w:sdtPr>
                <w:alias w:val="citata"/>
                <w:tag w:val="part_f41ecbcf913c4fb1bdea63e24f426718"/>
                <w:lock w:val="sdtLocked"/>
                <w:richText/>
              </w:sdtPr>
              <w:sdtContent>
                <w:sdt>
                  <w:sdtPr>
                    <w:alias w:val="2.19 pp."/>
                    <w:tag w:val="part_43bae66b79b64cb49c6c9944e6d6fbe1"/>
                    <w:lock w:val="sdtLocked"/>
                    <w:richText/>
                  </w:sdtPr>
                  <w:sdtContent>
                    <w:p>
                      <w:pPr>
                        <w:ind w:firstLine="744"/>
                        <w:jc w:val="both"/>
                        <w:rPr>
                          <w:szCs w:val="24"/>
                          <w:lang w:eastAsia="lt-LT"/>
                        </w:rPr>
                      </w:pPr>
                      <w:r>
                        <w:rPr>
                          <w:szCs w:val="24"/>
                          <w:lang w:eastAsia="lt-LT"/>
                        </w:rPr>
                        <w:t>„</w:t>
                      </w:r>
                      <w:sdt>
                        <w:sdtPr>
                          <w:alias w:val="Numeris"/>
                          <w:tag w:val="nr_43bae66b79b64cb49c6c9944e6d6fbe1"/>
                          <w:lock w:val="sdtLocked"/>
                          <w:richText/>
                        </w:sdtPr>
                        <w:sdtContent>
                          <w:r>
                            <w:rPr>
                              <w:szCs w:val="24"/>
                              <w:lang w:eastAsia="lt-LT"/>
                            </w:rPr>
                            <w:t>2.19</w:t>
                          </w:r>
                        </w:sdtContent>
                      </w:sdt>
                      <w:r>
                        <w:rPr>
                          <w:szCs w:val="24"/>
                          <w:lang w:eastAsia="lt-LT"/>
                        </w:rPr>
                        <w:t>. Ne vėliau kaip per 2 mėnesius nuo projekto sutarties pasirašymo dienos, vadovaudamasis Lietuvos Respublikos planuojamos ūkinės veiklos poveikio aplinkai vertinimo įstatymu, pareiškėjas turi atlikti poveikio aplinkai vertinimą ir atrankos procedūrą ir pateikti administruojančiajai institucijai atsakingos institucijos dokumentus, patvirtinančius nurodytų procedūrų atlikimą (jeigu taikoma).“ </w:t>
                      </w:r>
                    </w:p>
                  </w:sdtContent>
                </w:sdt>
              </w:sdtContent>
            </w:sdt>
          </w:sdtContent>
        </w:sdt>
        <w:sdt>
          <w:sdtPr>
            <w:alias w:val="8 p."/>
            <w:tag w:val="part_a0e17471a50645b88e286c11c3dd1f26"/>
            <w:lock w:val="sdtLocked"/>
            <w:richText/>
          </w:sdtPr>
          <w:sdtContent>
            <w:p>
              <w:pPr>
                <w:ind w:left="1070" w:hanging="360"/>
                <w:jc w:val="both"/>
                <w:rPr>
                  <w:szCs w:val="24"/>
                  <w:lang w:eastAsia="lt-LT"/>
                </w:rPr>
              </w:pPr>
              <w:sdt>
                <w:sdtPr>
                  <w:alias w:val="Numeris"/>
                  <w:tag w:val="nr_a0e17471a50645b88e286c11c3dd1f26"/>
                  <w:lock w:val="sdtLocked"/>
                  <w:richText/>
                </w:sdtPr>
                <w:sdtContent>
                  <w:r>
                    <w:rPr>
                      <w:szCs w:val="24"/>
                      <w:lang w:eastAsia="lt-LT"/>
                    </w:rPr>
                    <w:t>8</w:t>
                  </w:r>
                </w:sdtContent>
              </w:sdt>
              <w:r>
                <w:rPr>
                  <w:szCs w:val="24"/>
                  <w:lang w:eastAsia="lt-LT"/>
                </w:rPr>
                <w:t>.</w:t>
                <w:tab/>
                <w:t xml:space="preserve">Pakeičiu 8.3.3 papunktį ir jį išdėstau taip: </w:t>
              </w:r>
            </w:p>
            <w:sdt>
              <w:sdtPr>
                <w:alias w:val="citata"/>
                <w:tag w:val="part_45a733a7f84a43a883510ad217700951"/>
                <w:lock w:val="sdtLocked"/>
                <w:richText/>
              </w:sdtPr>
              <w:sdtContent>
                <w:sdt>
                  <w:sdtPr>
                    <w:alias w:val="8.3.3 pp."/>
                    <w:tag w:val="part_2dcba2b0300040acbb9a469dbe354b3c"/>
                    <w:lock w:val="sdtLocked"/>
                    <w:richText/>
                  </w:sdtPr>
                  <w:sdtContent>
                    <w:p>
                      <w:pPr>
                        <w:ind w:firstLine="744"/>
                        <w:jc w:val="both"/>
                        <w:rPr>
                          <w:szCs w:val="24"/>
                          <w:lang w:eastAsia="lt-LT"/>
                        </w:rPr>
                      </w:pPr>
                      <w:r>
                        <w:rPr>
                          <w:szCs w:val="24"/>
                          <w:lang w:eastAsia="lt-LT"/>
                        </w:rPr>
                        <w:t>„</w:t>
                      </w:r>
                      <w:sdt>
                        <w:sdtPr>
                          <w:alias w:val="Numeris"/>
                          <w:tag w:val="nr_2dcba2b0300040acbb9a469dbe354b3c"/>
                          <w:lock w:val="sdtLocked"/>
                          <w:richText/>
                        </w:sdtPr>
                        <w:sdtContent>
                          <w:r>
                            <w:rPr>
                              <w:szCs w:val="24"/>
                              <w:lang w:eastAsia="lt-LT"/>
                            </w:rPr>
                            <w:t>8.3.3</w:t>
                          </w:r>
                        </w:sdtContent>
                      </w:sdt>
                      <w:r>
                        <w:rPr>
                          <w:szCs w:val="24"/>
                          <w:lang w:eastAsia="lt-LT"/>
                        </w:rPr>
                        <w:t>. jeigu pareiškėjas ir (arba) ūkio subjektas (-ai), kuriam (-iems) priklauso pareiškėjas, yra priskiriami sunkumų patiriančios įmonės kategorijai. Ūkio subjektu laikomas pareiškėjas ir visos jo pagal BBIR I priedo 3 straipsnį susijusios įmonės;“</w:t>
                      </w:r>
                    </w:p>
                  </w:sdtContent>
                </w:sdt>
              </w:sdtContent>
            </w:sdt>
          </w:sdtContent>
        </w:sdt>
        <w:sdt>
          <w:sdtPr>
            <w:alias w:val="9 p."/>
            <w:tag w:val="part_aa2b16cedf29471085b58ebab638cc4c"/>
            <w:lock w:val="sdtLocked"/>
            <w:richText/>
          </w:sdtPr>
          <w:sdtContent>
            <w:p>
              <w:pPr>
                <w:ind w:left="1070" w:hanging="360"/>
                <w:jc w:val="both"/>
                <w:rPr>
                  <w:szCs w:val="24"/>
                  <w:lang w:eastAsia="lt-LT"/>
                </w:rPr>
              </w:pPr>
              <w:sdt>
                <w:sdtPr>
                  <w:alias w:val="Numeris"/>
                  <w:tag w:val="nr_aa2b16cedf29471085b58ebab638cc4c"/>
                  <w:lock w:val="sdtLocked"/>
                  <w:richText/>
                </w:sdtPr>
                <w:sdtContent>
                  <w:r>
                    <w:rPr>
                      <w:szCs w:val="24"/>
                      <w:lang w:eastAsia="lt-LT"/>
                    </w:rPr>
                    <w:t>9</w:t>
                  </w:r>
                </w:sdtContent>
              </w:sdt>
              <w:r>
                <w:rPr>
                  <w:szCs w:val="24"/>
                  <w:lang w:eastAsia="lt-LT"/>
                </w:rPr>
                <w:t>.</w:t>
                <w:tab/>
                <w:t xml:space="preserve">Pripažįstu netekusiu galios 8.8 papunktį.            </w:t>
              </w:r>
            </w:p>
          </w:sdtContent>
        </w:sdt>
        <w:sdt>
          <w:sdtPr>
            <w:alias w:val="10 p."/>
            <w:tag w:val="part_adda99e3e8a84c55b71f26a33df24b48"/>
            <w:lock w:val="sdtLocked"/>
            <w:richText/>
          </w:sdtPr>
          <w:sdtContent>
            <w:p>
              <w:pPr>
                <w:ind w:left="1070" w:hanging="360"/>
                <w:jc w:val="both"/>
                <w:rPr>
                  <w:szCs w:val="24"/>
                  <w:lang w:eastAsia="lt-LT"/>
                </w:rPr>
              </w:pPr>
              <w:sdt>
                <w:sdtPr>
                  <w:alias w:val="Numeris"/>
                  <w:tag w:val="nr_adda99e3e8a84c55b71f26a33df24b48"/>
                  <w:lock w:val="sdtLocked"/>
                  <w:richText/>
                </w:sdtPr>
                <w:sdtContent>
                  <w:r>
                    <w:rPr>
                      <w:szCs w:val="24"/>
                      <w:lang w:eastAsia="lt-LT"/>
                    </w:rPr>
                    <w:t>10</w:t>
                  </w:r>
                </w:sdtContent>
              </w:sdt>
              <w:r>
                <w:rPr>
                  <w:szCs w:val="24"/>
                  <w:lang w:eastAsia="lt-LT"/>
                </w:rPr>
                <w:t>.</w:t>
                <w:tab/>
                <w:t>Pakeičiu 9 punkto lentelės 3 punktą ir jį išdėstau taip:</w:t>
              </w:r>
            </w:p>
            <w:tbl>
              <w:tblPr>
                <w:tblW w:w="9898" w:type="dxa"/>
                <w:tblInd w:w="-292" w:type="dxa"/>
                <w:tblLook w:val="00A0" w:firstRow="1" w:lastRow="0" w:firstColumn="1" w:lastColumn="0" w:noHBand="0" w:noVBand="0"/>
              </w:tblPr>
              <w:tblGrid>
                <w:gridCol w:w="809"/>
                <w:gridCol w:w="1356"/>
                <w:gridCol w:w="1874"/>
                <w:gridCol w:w="3732"/>
                <w:gridCol w:w="567"/>
                <w:gridCol w:w="567"/>
                <w:gridCol w:w="993"/>
              </w:tblGrid>
              <w:tr>
                <w:tc>
                  <w:tcPr>
                    <w:tcW w:w="80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color w:val="000000"/>
                        <w:szCs w:val="24"/>
                      </w:rPr>
                    </w:pPr>
                    <w:r>
                      <w:t>„3. </w:t>
                    </w:r>
                  </w:p>
                </w:tc>
                <w:tc>
                  <w:tcPr>
                    <w:tcW w:w="135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t>Specialusis </w:t>
                    </w:r>
                  </w:p>
                </w:tc>
                <w:tc>
                  <w:tcPr>
                    <w:tcW w:w="187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bCs/>
                        <w:iCs/>
                        <w:szCs w:val="24"/>
                      </w:rPr>
                    </w:pPr>
                    <w:r>
                      <w:t>Už 1 suteiktos dotacijos eurą turi būti įsipareigojama sukurti papildomų plastiko atliekų perdirbimo pajėgumų ne mažiau kaip 2 kilogramus (0,002 tonų) per metus. </w:t>
                    </w:r>
                  </w:p>
                </w:tc>
                <w:tc>
                  <w:tcPr>
                    <w:tcW w:w="373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textAlignment w:val="baseline"/>
                      <w:rPr>
                        <w:rFonts w:ascii="Segoe UI" w:hAnsi="Segoe UI" w:cs="Segoe UI"/>
                        <w:sz w:val="18"/>
                        <w:szCs w:val="18"/>
                      </w:rPr>
                    </w:pPr>
                    <w:r>
                      <w:rPr>
                        <w:szCs w:val="24"/>
                      </w:rPr>
                      <w:t>Vertinamas Europos Sąjungos investicijų fondų lėšų panaudojimo efektyvumas. Už 1 suteiktos dotacijos eurą turi būti sukurti papildomi plastiko atliekų perdirbimo pajėgumai – ne mažiau kaip 2 kilogramai (0,002 tonų) per metus. </w:t>
                    </w:r>
                  </w:p>
                  <w:p>
                    <w:pPr>
                      <w:jc w:val="both"/>
                      <w:textAlignment w:val="baseline"/>
                      <w:rPr>
                        <w:rFonts w:ascii="Segoe UI" w:hAnsi="Segoe UI" w:cs="Segoe UI"/>
                        <w:sz w:val="18"/>
                        <w:szCs w:val="18"/>
                      </w:rPr>
                    </w:pPr>
                    <w:r>
                      <w:rPr>
                        <w:szCs w:val="24"/>
                      </w:rPr>
                      <w:t>Įgyvendinant projektą įrengtų plastiko atliekų perdirbimo įrenginių pajėgumai skaičiuojami (tonomis per metus) pagal formulę: </w:t>
                    </w:r>
                  </w:p>
                  <w:p>
                    <w:pPr>
                      <w:jc w:val="both"/>
                      <w:textAlignment w:val="baseline"/>
                      <w:rPr>
                        <w:rFonts w:ascii="Segoe UI" w:hAnsi="Segoe UI" w:cs="Segoe UI"/>
                        <w:sz w:val="18"/>
                        <w:szCs w:val="18"/>
                      </w:rPr>
                    </w:pPr>
                    <w:r>
                      <w:rPr>
                        <w:szCs w:val="24"/>
                      </w:rPr>
                      <w:t>P=T*H*D, kur: </w:t>
                    </w:r>
                  </w:p>
                  <w:p>
                    <w:pPr>
                      <w:jc w:val="both"/>
                      <w:textAlignment w:val="baseline"/>
                      <w:rPr>
                        <w:rFonts w:ascii="Segoe UI" w:hAnsi="Segoe UI" w:cs="Segoe UI"/>
                        <w:sz w:val="18"/>
                        <w:szCs w:val="18"/>
                      </w:rPr>
                    </w:pPr>
                    <w:r>
                      <w:rPr>
                        <w:szCs w:val="24"/>
                      </w:rPr>
                      <w:t>P – papildomi plastiko atliekų perdirbimo pajėgumai; </w:t>
                    </w:r>
                  </w:p>
                  <w:p>
                    <w:pPr>
                      <w:jc w:val="both"/>
                      <w:textAlignment w:val="baseline"/>
                      <w:rPr>
                        <w:rFonts w:ascii="Segoe UI" w:hAnsi="Segoe UI" w:cs="Segoe UI"/>
                        <w:sz w:val="18"/>
                        <w:szCs w:val="18"/>
                      </w:rPr>
                    </w:pPr>
                    <w:r>
                      <w:rPr>
                        <w:szCs w:val="24"/>
                      </w:rPr>
                      <w:t xml:space="preserve">T </w:t>
                    </w:r>
                    <w:r>
                      <w:rPr>
                        <w:sz w:val="19"/>
                        <w:szCs w:val="19"/>
                        <w:vertAlign w:val="subscript"/>
                      </w:rPr>
                      <w:t> </w:t>
                    </w:r>
                    <w:r>
                      <w:rPr>
                        <w:szCs w:val="24"/>
                      </w:rPr>
                      <w:t>– plastiko atliekų perdirbimo įrangos (toliau – įranga) valandinis našumas pagal techninę specifikaciją (tonomis per valandą);  </w:t>
                    </w:r>
                  </w:p>
                  <w:p>
                    <w:pPr>
                      <w:jc w:val="both"/>
                      <w:textAlignment w:val="baseline"/>
                      <w:rPr>
                        <w:rFonts w:ascii="Segoe UI" w:hAnsi="Segoe UI" w:cs="Segoe UI"/>
                        <w:sz w:val="18"/>
                        <w:szCs w:val="18"/>
                        <w:lang w:val="sv-SE"/>
                      </w:rPr>
                    </w:pPr>
                    <w:r>
                      <w:rPr>
                        <w:szCs w:val="24"/>
                      </w:rPr>
                      <w:t>H – įrangos darbo valandų skaičius per dieną – 8 val.; </w:t>
                    </w:r>
                    <w:r>
                      <w:rPr>
                        <w:szCs w:val="24"/>
                        <w:lang w:val="sv-SE"/>
                      </w:rPr>
                      <w:t> </w:t>
                    </w:r>
                  </w:p>
                  <w:p>
                    <w:pPr>
                      <w:jc w:val="both"/>
                      <w:textAlignment w:val="baseline"/>
                      <w:rPr>
                        <w:rFonts w:ascii="Segoe UI" w:hAnsi="Segoe UI" w:cs="Segoe UI"/>
                        <w:sz w:val="18"/>
                        <w:szCs w:val="18"/>
                        <w:lang w:val="sv-SE"/>
                      </w:rPr>
                    </w:pPr>
                    <w:r>
                      <w:rPr>
                        <w:szCs w:val="24"/>
                      </w:rPr>
                      <w:t>D – įrangos darbo dienų skaičius per metus – 250 d. </w:t>
                    </w:r>
                    <w:r>
                      <w:rPr>
                        <w:color w:val="D13438"/>
                        <w:szCs w:val="24"/>
                        <w:lang w:val="sv-SE"/>
                      </w:rPr>
                      <w:t> </w:t>
                    </w:r>
                  </w:p>
                  <w:p>
                    <w:pPr>
                      <w:jc w:val="both"/>
                      <w:textAlignment w:val="baseline"/>
                      <w:rPr>
                        <w:rFonts w:ascii="Segoe UI" w:hAnsi="Segoe UI" w:cs="Segoe UI"/>
                        <w:sz w:val="18"/>
                        <w:szCs w:val="18"/>
                        <w:lang w:val="sv-SE"/>
                      </w:rPr>
                    </w:pPr>
                    <w:r>
                      <w:rPr>
                        <w:szCs w:val="24"/>
                      </w:rPr>
                      <w:t>Už 1 suteiktos dotacijos eurą sukurti papildomi plastiko atliekų perdirbimo pajėgumai (kilogramais per metus) skaičiuojami pagal formulę:</w:t>
                    </w:r>
                    <w:r>
                      <w:rPr>
                        <w:szCs w:val="24"/>
                        <w:lang w:val="sv-SE"/>
                      </w:rPr>
                      <w:t> </w:t>
                    </w:r>
                  </w:p>
                  <w:p>
                    <w:pPr>
                      <w:jc w:val="both"/>
                      <w:textAlignment w:val="baseline"/>
                      <w:rPr>
                        <w:rFonts w:ascii="Segoe UI" w:hAnsi="Segoe UI" w:cs="Segoe UI"/>
                        <w:sz w:val="18"/>
                        <w:szCs w:val="18"/>
                        <w:lang w:val="sv-SE"/>
                      </w:rPr>
                    </w:pPr>
                    <w:r>
                      <w:rPr>
                        <w:szCs w:val="24"/>
                      </w:rPr>
                      <w:t>E=P*1000/F, kur:</w:t>
                    </w:r>
                    <w:r>
                      <w:rPr>
                        <w:szCs w:val="24"/>
                        <w:lang w:val="sv-SE"/>
                      </w:rPr>
                      <w:t> </w:t>
                    </w:r>
                  </w:p>
                  <w:p>
                    <w:pPr>
                      <w:jc w:val="both"/>
                      <w:textAlignment w:val="baseline"/>
                      <w:rPr>
                        <w:rFonts w:ascii="Segoe UI" w:hAnsi="Segoe UI" w:cs="Segoe UI"/>
                        <w:sz w:val="18"/>
                        <w:szCs w:val="18"/>
                        <w:lang w:val="sv-SE"/>
                      </w:rPr>
                    </w:pPr>
                    <w:r>
                      <w:rPr>
                        <w:szCs w:val="24"/>
                      </w:rPr>
                      <w:t>E – už 1 suteiktos dotacijos eurą sukurti papildomi plastiko atliekų perdirbimo pajėgumai;</w:t>
                    </w:r>
                    <w:r>
                      <w:rPr>
                        <w:szCs w:val="24"/>
                        <w:lang w:val="sv-SE"/>
                      </w:rPr>
                      <w:t> </w:t>
                    </w:r>
                  </w:p>
                  <w:p>
                    <w:pPr>
                      <w:jc w:val="both"/>
                      <w:textAlignment w:val="baseline"/>
                      <w:rPr>
                        <w:rFonts w:ascii="Segoe UI" w:hAnsi="Segoe UI" w:cs="Segoe UI"/>
                        <w:sz w:val="18"/>
                        <w:szCs w:val="18"/>
                        <w:lang w:val="sv-SE"/>
                      </w:rPr>
                    </w:pPr>
                    <w:r>
                      <w:rPr>
                        <w:szCs w:val="24"/>
                      </w:rPr>
                      <w:t>P – papildomi plastiko atliekų perdirbimo pajėgumai (tonomis per metus);</w:t>
                    </w:r>
                    <w:r>
                      <w:rPr>
                        <w:szCs w:val="24"/>
                        <w:lang w:val="sv-SE"/>
                      </w:rPr>
                      <w:t> </w:t>
                    </w:r>
                  </w:p>
                  <w:p>
                    <w:pPr>
                      <w:jc w:val="both"/>
                      <w:textAlignment w:val="baseline"/>
                      <w:rPr>
                        <w:rFonts w:ascii="Segoe UI" w:hAnsi="Segoe UI" w:cs="Segoe UI"/>
                        <w:sz w:val="18"/>
                        <w:szCs w:val="18"/>
                        <w:lang w:val="sv-SE"/>
                      </w:rPr>
                    </w:pPr>
                    <w:r>
                      <w:rPr>
                        <w:szCs w:val="24"/>
                      </w:rPr>
                      <w:t>F – dotacijos suma (</w:t>
                    </w:r>
                    <w:r>
                      <w:rPr>
                        <w:szCs w:val="24"/>
                        <w:lang w:val="sv-SE"/>
                      </w:rPr>
                      <w:t xml:space="preserve">eurais) </w:t>
                    </w:r>
                    <w:r>
                      <w:rPr>
                        <w:szCs w:val="24"/>
                      </w:rPr>
                      <w:t>papildomiems plastiko atliekų perdirbimo pajėgumams sukurti.</w:t>
                    </w:r>
                    <w:r>
                      <w:rPr>
                        <w:szCs w:val="24"/>
                        <w:lang w:val="sv-SE"/>
                      </w:rPr>
                      <w:t> </w:t>
                    </w:r>
                  </w:p>
                  <w:p>
                    <w:pPr>
                      <w:ind w:firstLine="62"/>
                      <w:jc w:val="both"/>
                      <w:textAlignment w:val="baseline"/>
                      <w:rPr>
                        <w:rFonts w:ascii="Segoe UI" w:hAnsi="Segoe UI" w:cs="Segoe UI"/>
                        <w:sz w:val="18"/>
                        <w:szCs w:val="18"/>
                        <w:lang w:val="sv-SE"/>
                      </w:rPr>
                    </w:pPr>
                  </w:p>
                  <w:p>
                    <w:pPr>
                      <w:jc w:val="both"/>
                      <w:textAlignment w:val="baseline"/>
                      <w:rPr>
                        <w:rFonts w:ascii="Segoe UI" w:hAnsi="Segoe UI" w:cs="Segoe UI"/>
                        <w:sz w:val="18"/>
                        <w:szCs w:val="18"/>
                        <w:lang w:val="sv-SE"/>
                      </w:rPr>
                    </w:pPr>
                    <w:r>
                      <w:rPr>
                        <w:szCs w:val="24"/>
                      </w:rPr>
                      <w:t>Sukurti pajėgumai vertinami pagal PĮP pateiktas planuojamų sukurti papildomų plastiko atliekų perdirbimo pajėgumų technines specifikacijas ir pareiškėjo pateiktą numatomos vykdyti veiklos aprašymą nurodant turimus ir planuojamus sukurti papildomus atliekų perdirbimo pajėgumus.</w:t>
                    </w:r>
                    <w:r>
                      <w:rPr>
                        <w:szCs w:val="24"/>
                        <w:lang w:val="sv-SE"/>
                      </w:rPr>
                      <w:t> </w:t>
                    </w:r>
                  </w:p>
                  <w:p>
                    <w:pPr>
                      <w:ind w:firstLine="62"/>
                      <w:jc w:val="both"/>
                      <w:textAlignment w:val="baseline"/>
                      <w:rPr>
                        <w:rFonts w:ascii="Segoe UI" w:hAnsi="Segoe UI" w:cs="Segoe UI"/>
                        <w:sz w:val="18"/>
                        <w:szCs w:val="18"/>
                        <w:lang w:val="sv-SE"/>
                      </w:rPr>
                    </w:pPr>
                  </w:p>
                  <w:p>
                    <w:pPr>
                      <w:jc w:val="both"/>
                      <w:rPr>
                        <w:iCs/>
                        <w:szCs w:val="24"/>
                      </w:rPr>
                    </w:pPr>
                    <w:r>
                      <w:t>Atitiktis kriterijui tikrinama projekto vertinimo metu.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t>-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t>- </w:t>
                    </w:r>
                  </w:p>
                </w:tc>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t>-“.  </w:t>
                    </w:r>
                  </w:p>
                </w:tc>
              </w:tr>
            </w:tbl>
            <w:p/>
          </w:sdtContent>
        </w:sdt>
        <w:sdt>
          <w:sdtPr>
            <w:alias w:val="11 p."/>
            <w:tag w:val="part_bf0a032a6c5c453ba0b634859596a98d"/>
            <w:lock w:val="sdtLocked"/>
            <w:richText/>
          </w:sdtPr>
          <w:sdtContent>
            <w:p>
              <w:pPr>
                <w:ind w:left="720"/>
                <w:jc w:val="both"/>
                <w:rPr>
                  <w:szCs w:val="24"/>
                  <w:lang w:eastAsia="lt-LT"/>
                </w:rPr>
              </w:pPr>
              <w:sdt>
                <w:sdtPr>
                  <w:alias w:val="Numeris"/>
                  <w:tag w:val="nr_bf0a032a6c5c453ba0b634859596a98d"/>
                  <w:lock w:val="sdtLocked"/>
                  <w:richText/>
                </w:sdtPr>
                <w:sdtContent>
                  <w:r>
                    <w:rPr>
                      <w:szCs w:val="24"/>
                      <w:lang w:eastAsia="lt-LT"/>
                    </w:rPr>
                    <w:t>11</w:t>
                  </w:r>
                </w:sdtContent>
              </w:sdt>
              <w:r>
                <w:rPr>
                  <w:szCs w:val="24"/>
                  <w:lang w:eastAsia="lt-LT"/>
                </w:rPr>
                <w:t>. Pakeičiu 9 punkto lentelės 4 punktą ir jį išdėstau taip:</w:t>
              </w:r>
            </w:p>
            <w:tbl>
              <w:tblPr>
                <w:tblW w:w="9898" w:type="dxa"/>
                <w:tblInd w:w="-292" w:type="dxa"/>
                <w:tblLook w:val="00A0" w:firstRow="1" w:lastRow="0" w:firstColumn="1" w:lastColumn="0" w:noHBand="0" w:noVBand="0"/>
              </w:tblPr>
              <w:tblGrid>
                <w:gridCol w:w="856"/>
                <w:gridCol w:w="1356"/>
                <w:gridCol w:w="1925"/>
                <w:gridCol w:w="3612"/>
                <w:gridCol w:w="589"/>
                <w:gridCol w:w="567"/>
                <w:gridCol w:w="993"/>
              </w:tblGrid>
              <w:tr>
                <w:tc>
                  <w:tcPr>
                    <w:tcW w:w="85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t>„</w:t>
                    </w:r>
                    <w:r>
                      <w:rPr>
                        <w:szCs w:val="24"/>
                      </w:rPr>
                      <w:t>4.</w:t>
                    </w:r>
                  </w:p>
                </w:tc>
                <w:tc>
                  <w:tcPr>
                    <w:tcW w:w="135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Prioritetinis</w:t>
                    </w:r>
                  </w:p>
                </w:tc>
                <w:tc>
                  <w:tcPr>
                    <w:tcW w:w="192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bCs/>
                        <w:iCs/>
                        <w:szCs w:val="24"/>
                      </w:rPr>
                    </w:pPr>
                    <w:r>
                      <w:rPr>
                        <w:bCs/>
                        <w:iCs/>
                        <w:szCs w:val="24"/>
                      </w:rPr>
                      <w:t>Už 1 suteiktą dotacijos eurą įsipareigojama sukurti papildomų plastiko atliekų perdirbimo pajėgumų (tonų per metus).</w:t>
                    </w:r>
                  </w:p>
                </w:tc>
                <w:tc>
                  <w:tcPr>
                    <w:tcW w:w="361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bCs/>
                        <w:iCs/>
                        <w:szCs w:val="24"/>
                      </w:rPr>
                    </w:pPr>
                    <w:r>
                      <w:rPr>
                        <w:iCs/>
                        <w:szCs w:val="24"/>
                      </w:rPr>
                      <w:t xml:space="preserve">Vertinamas </w:t>
                    </w:r>
                    <w:r>
                      <w:rPr>
                        <w:bCs/>
                        <w:iCs/>
                        <w:szCs w:val="24"/>
                      </w:rPr>
                      <w:t xml:space="preserve">Europos Sąjungos investicijų fondų lėšų panaudojimo efektyvumas. </w:t>
                    </w:r>
                  </w:p>
                  <w:p>
                    <w:pPr>
                      <w:ind w:left="-41" w:firstLine="41"/>
                      <w:jc w:val="both"/>
                      <w:rPr>
                        <w:szCs w:val="24"/>
                      </w:rPr>
                    </w:pPr>
                    <w:r>
                      <w:rPr>
                        <w:szCs w:val="24"/>
                      </w:rPr>
                      <w:t>a)</w:t>
                      <w:tab/>
                      <w:t xml:space="preserve">už 1 suteiktą dotacijos </w:t>
                    </w:r>
                    <w:r>
                      <w:rPr>
                        <w:bCs/>
                        <w:iCs/>
                        <w:szCs w:val="24"/>
                      </w:rPr>
                      <w:t xml:space="preserve">eurą </w:t>
                    </w:r>
                    <w:r>
                      <w:rPr>
                        <w:szCs w:val="24"/>
                      </w:rPr>
                      <w:t xml:space="preserve">bus sukurta </w:t>
                    </w:r>
                    <w:r>
                      <w:rPr>
                        <w:iCs/>
                        <w:szCs w:val="24"/>
                      </w:rPr>
                      <w:t xml:space="preserve">plastiko atliekų perdirbimo </w:t>
                    </w:r>
                    <w:r>
                      <w:rPr>
                        <w:szCs w:val="24"/>
                      </w:rPr>
                      <w:t xml:space="preserve">pajėgumų  perdirbti daugiau kaip 3,00 kg (0,003 tonų) per metus – 45 balai;</w:t>
                    </w:r>
                  </w:p>
                  <w:p>
                    <w:pPr>
                      <w:jc w:val="both"/>
                      <w:rPr>
                        <w:szCs w:val="24"/>
                      </w:rPr>
                    </w:pPr>
                    <w:r>
                      <w:rPr>
                        <w:szCs w:val="24"/>
                      </w:rPr>
                      <w:t>b)</w:t>
                      <w:tab/>
                      <w:t xml:space="preserve">už 1 suteiktą dotacijos </w:t>
                    </w:r>
                    <w:r>
                      <w:rPr>
                        <w:iCs/>
                        <w:szCs w:val="24"/>
                      </w:rPr>
                      <w:t xml:space="preserve">eurą </w:t>
                    </w:r>
                    <w:r>
                      <w:rPr>
                        <w:szCs w:val="24"/>
                      </w:rPr>
                      <w:t xml:space="preserve">bus sukurta </w:t>
                    </w:r>
                    <w:r>
                      <w:rPr>
                        <w:iCs/>
                        <w:szCs w:val="24"/>
                      </w:rPr>
                      <w:t xml:space="preserve">plastiko atliekų perdirbimo </w:t>
                    </w:r>
                    <w:r>
                      <w:rPr>
                        <w:szCs w:val="24"/>
                      </w:rPr>
                      <w:t>pajėgumų perdirbti nuo 2,50 kg (0,0025 tonų) iki 3,00 kg (0,003 tonų) (imtinai) per metus – 25 balai;</w:t>
                    </w:r>
                  </w:p>
                  <w:p>
                    <w:pPr>
                      <w:ind w:firstLine="24"/>
                      <w:jc w:val="both"/>
                      <w:rPr>
                        <w:szCs w:val="24"/>
                      </w:rPr>
                    </w:pPr>
                    <w:r>
                      <w:rPr>
                        <w:szCs w:val="24"/>
                      </w:rPr>
                      <w:t>c)</w:t>
                      <w:tab/>
                      <w:t xml:space="preserve">už 1 suteiktą dotacijos </w:t>
                    </w:r>
                    <w:r>
                      <w:rPr>
                        <w:iCs/>
                        <w:szCs w:val="24"/>
                      </w:rPr>
                      <w:t xml:space="preserve">eurą </w:t>
                    </w:r>
                    <w:r>
                      <w:rPr>
                        <w:szCs w:val="24"/>
                      </w:rPr>
                      <w:t xml:space="preserve">bus sukurta </w:t>
                    </w:r>
                    <w:r>
                      <w:rPr>
                        <w:iCs/>
                        <w:szCs w:val="24"/>
                      </w:rPr>
                      <w:t xml:space="preserve">plastiko atliekų perdirbimo </w:t>
                    </w:r>
                    <w:r>
                      <w:rPr>
                        <w:szCs w:val="24"/>
                      </w:rPr>
                      <w:t>pajėgumų perdirbti nuo 2,00 kg (0,002 tonų) iki 2,50 kg (0,0025 tonų) (imtinai) per metus – 15 balų.</w:t>
                    </w:r>
                  </w:p>
                  <w:p>
                    <w:pPr>
                      <w:jc w:val="both"/>
                      <w:rPr>
                        <w:iCs/>
                        <w:szCs w:val="24"/>
                      </w:rPr>
                    </w:pPr>
                    <w:r>
                      <w:rPr>
                        <w:iCs/>
                        <w:szCs w:val="24"/>
                      </w:rPr>
                      <w:t xml:space="preserve">Vertinama pagal PĮP pateiktas planuojamų sukurti papildomų </w:t>
                    </w:r>
                    <w:r>
                      <w:rPr>
                        <w:bCs/>
                        <w:iCs/>
                        <w:szCs w:val="24"/>
                      </w:rPr>
                      <w:t xml:space="preserve">plastiko </w:t>
                    </w:r>
                    <w:r>
                      <w:rPr>
                        <w:iCs/>
                        <w:szCs w:val="24"/>
                      </w:rPr>
                      <w:t>atliekų perdirbimo pajėgumų technines specifikacijas, pareiškėjo pateiktą numatomos vykdyti veiklos aprašymą</w:t>
                    </w:r>
                    <w:r>
                      <w:rPr>
                        <w:bCs/>
                        <w:iCs/>
                        <w:szCs w:val="24"/>
                      </w:rPr>
                      <w:t xml:space="preserve"> nurodant turimus ir planuojamus sukurti papildomus atliekų perdirbimo pajėgumus.</w:t>
                    </w:r>
                  </w:p>
                  <w:p>
                    <w:pPr>
                      <w:jc w:val="both"/>
                      <w:rPr>
                        <w:szCs w:val="24"/>
                      </w:rPr>
                    </w:pPr>
                  </w:p>
                  <w:p>
                    <w:pPr>
                      <w:jc w:val="both"/>
                      <w:rPr>
                        <w:szCs w:val="24"/>
                      </w:rPr>
                    </w:pPr>
                    <w:r>
                      <w:rPr>
                        <w:szCs w:val="24"/>
                      </w:rPr>
                      <w:t xml:space="preserve">Kriterijus apskaičiuojamas pagal formules, nurodytas  šios lentelės 3 punkte. </w:t>
                    </w:r>
                  </w:p>
                  <w:p>
                    <w:pPr>
                      <w:jc w:val="both"/>
                      <w:rPr>
                        <w:szCs w:val="24"/>
                      </w:rPr>
                    </w:pPr>
                  </w:p>
                  <w:p>
                    <w:pPr>
                      <w:jc w:val="both"/>
                      <w:rPr>
                        <w:szCs w:val="24"/>
                      </w:rPr>
                    </w:pPr>
                    <w:r>
                      <w:rPr>
                        <w:szCs w:val="24"/>
                      </w:rPr>
                      <w:t>Atitiktis kriterijui tikrinama projekto vertinimo metu.</w:t>
                    </w:r>
                  </w:p>
                  <w:p>
                    <w:pPr>
                      <w:jc w:val="both"/>
                      <w:rPr>
                        <w:i/>
                        <w:iCs/>
                        <w:szCs w:val="24"/>
                      </w:rPr>
                    </w:pPr>
                  </w:p>
                  <w:p>
                    <w:pPr>
                      <w:jc w:val="both"/>
                      <w:rPr>
                        <w:szCs w:val="24"/>
                      </w:rPr>
                    </w:pPr>
                    <w:r>
                      <w:rPr>
                        <w:szCs w:val="24"/>
                      </w:rPr>
                      <w:t>Šiam kriterijui nustatytas didžiausias kriterijaus vertinimo balas.</w:t>
                    </w:r>
                  </w:p>
                </w:tc>
                <w:tc>
                  <w:tcPr>
                    <w:tcW w:w="58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45</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w:t>
                    </w:r>
                  </w:p>
                </w:tc>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t>-“.</w:t>
                    </w:r>
                  </w:p>
                </w:tc>
              </w:tr>
            </w:tbl>
            <w:p/>
          </w:sdtContent>
        </w:sdt>
        <w:sdt>
          <w:sdtPr>
            <w:alias w:val="12 p."/>
            <w:tag w:val="part_8cc95ced054143edb295fd5c13456e16"/>
            <w:lock w:val="sdtLocked"/>
            <w:richText/>
          </w:sdtPr>
          <w:sdtContent>
            <w:p>
              <w:pPr>
                <w:ind w:left="720"/>
                <w:jc w:val="both"/>
                <w:rPr>
                  <w:szCs w:val="24"/>
                  <w:lang w:eastAsia="lt-LT"/>
                </w:rPr>
              </w:pPr>
              <w:sdt>
                <w:sdtPr>
                  <w:alias w:val="Numeris"/>
                  <w:tag w:val="nr_8cc95ced054143edb295fd5c13456e16"/>
                  <w:lock w:val="sdtLocked"/>
                  <w:richText/>
                </w:sdtPr>
                <w:sdtContent>
                  <w:r>
                    <w:rPr>
                      <w:szCs w:val="24"/>
                      <w:lang w:eastAsia="lt-LT"/>
                    </w:rPr>
                    <w:t>12</w:t>
                  </w:r>
                </w:sdtContent>
              </w:sdt>
              <w:r>
                <w:rPr>
                  <w:szCs w:val="24"/>
                  <w:lang w:eastAsia="lt-LT"/>
                </w:rPr>
                <w:t>. Pakeičiu 9 punkto lentelės 5 punktą ir jį išdėstau taip:</w:t>
              </w:r>
            </w:p>
            <w:tbl>
              <w:tblPr>
                <w:tblW w:w="9898" w:type="dxa"/>
                <w:tblInd w:w="-292" w:type="dxa"/>
                <w:tblLook w:val="00A0" w:firstRow="1" w:lastRow="0" w:firstColumn="1" w:lastColumn="0" w:noHBand="0" w:noVBand="0"/>
              </w:tblPr>
              <w:tblGrid>
                <w:gridCol w:w="856"/>
                <w:gridCol w:w="1356"/>
                <w:gridCol w:w="1935"/>
                <w:gridCol w:w="3603"/>
                <w:gridCol w:w="588"/>
                <w:gridCol w:w="567"/>
                <w:gridCol w:w="993"/>
              </w:tblGrid>
              <w:tr>
                <w:tc>
                  <w:tcPr>
                    <w:tcW w:w="85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t>„</w:t>
                    </w:r>
                    <w:r>
                      <w:rPr>
                        <w:szCs w:val="24"/>
                      </w:rPr>
                      <w:t>5.</w:t>
                    </w:r>
                  </w:p>
                </w:tc>
                <w:tc>
                  <w:tcPr>
                    <w:tcW w:w="135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Prioritetinis</w:t>
                    </w:r>
                  </w:p>
                </w:tc>
                <w:tc>
                  <w:tcPr>
                    <w:tcW w:w="193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pPr>
                    <w:r>
                      <w:t xml:space="preserve">Pareiškėjo prašomos projekto finansuojamosios dalies ir didžiausios pagal veiklą pareiškėjui galimos projekto finansuojamosios dalies santykis. </w:t>
                    </w:r>
                  </w:p>
                </w:tc>
                <w:tc>
                  <w:tcPr>
                    <w:tcW w:w="360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bCs/>
                        <w:szCs w:val="24"/>
                      </w:rPr>
                    </w:pPr>
                    <w:r>
                      <w:rPr>
                        <w:bCs/>
                        <w:szCs w:val="24"/>
                      </w:rPr>
                      <w:t>Vertinamas santykis tarp pareiškėjo nurodytos projekto finansuojamosios dalies (proc. nuo visų tinkamų finansuoti projekto išlaidų) ir didžiausios projekto finansuojamosios dalies (proc. nuo visų tinkamų finansuoti projekto išlaidų), kuri pagal veiklą gali būti nustatyta šiam pareiškėjui.</w:t>
                    </w:r>
                  </w:p>
                  <w:p>
                    <w:pPr>
                      <w:jc w:val="both"/>
                      <w:rPr>
                        <w:bCs/>
                        <w:szCs w:val="24"/>
                      </w:rPr>
                    </w:pPr>
                    <w:r>
                      <w:rPr>
                        <w:bCs/>
                        <w:szCs w:val="24"/>
                      </w:rPr>
                      <w:t>Kriterijus skaičiuojamas pareiškėjo prašomą projekto finansuojamąją dalį dalijant iš didžiausios pagal veiklą pareiškėjui galimos projekto finansuojamosios dalies pagal formulę:</w:t>
                    </w:r>
                  </w:p>
                  <w:p>
                    <w:pPr>
                      <w:jc w:val="both"/>
                      <w:rPr>
                        <w:bCs/>
                        <w:szCs w:val="24"/>
                      </w:rPr>
                    </w:pPr>
                    <m:oMath>
                      <m:r>
                        <m:rPr>
                          <m:sty m:val="p"/>
                        </m:rPr>
                        <w:rPr>
                          <w:rFonts w:ascii="Cambria Math" w:hAnsi="Cambria Math"/>
                          <w:szCs w:val="24"/>
                        </w:rPr>
                        <m:t>K =</m:t>
                      </m:r>
                      <m:f>
                        <m:fPr>
                          <m:ctrlPr>
                            <w:rPr>
                              <w:rFonts w:ascii="Cambria Math" w:hAnsi="Cambria Math"/>
                              <w:bCs/>
                              <w:szCs w:val="24"/>
                            </w:rPr>
                          </m:ctrlPr>
                        </m:fPr>
                        <m:num>
                          <m:r>
                            <m:rPr>
                              <m:sty m:val="p"/>
                            </m:rPr>
                            <w:rPr>
                              <w:rFonts w:ascii="Cambria Math" w:hAnsi="Cambria Math"/>
                              <w:szCs w:val="24"/>
                            </w:rPr>
                            <m:t>F</m:t>
                          </m:r>
                          <m:ctrlPr>
                            <w:rPr>
                              <w:rFonts w:ascii="Cambria Math" w:hAnsi="Cambria Math"/>
                              <w:szCs w:val="24"/>
                            </w:rPr>
                          </m:ctrlPr>
                        </m:num>
                        <m:den>
                          <m:r>
                            <m:rPr>
                              <m:sty m:val="p"/>
                            </m:rPr>
                            <w:rPr>
                              <w:rFonts w:ascii="Cambria Math" w:hAnsi="Cambria Math"/>
                              <w:szCs w:val="24"/>
                            </w:rPr>
                            <m:t>D</m:t>
                          </m:r>
                        </m:den>
                      </m:f>
                    </m:oMath>
                    <w:r>
                      <w:rPr>
                        <w:bCs/>
                        <w:szCs w:val="24"/>
                      </w:rPr>
                      <w:t>, kur</w:t>
                    </w:r>
                  </w:p>
                  <w:p>
                    <w:pPr>
                      <w:jc w:val="both"/>
                      <w:rPr>
                        <w:bCs/>
                        <w:szCs w:val="24"/>
                      </w:rPr>
                    </w:pPr>
                    <w:r>
                      <w:rPr>
                        <w:bCs/>
                        <w:szCs w:val="24"/>
                      </w:rPr>
                      <w:t>K – santykis tarp pareiškėjo nurodytos projekto finansuojamosios dalies (proc. nuo visų tinkamų finansuoti projekto išlaidų) ir didžiausios projekto finansuojamosios dalies (proc. nuo visų tinkamų finansuoti projekto išlaidų), kuri pagal veiklą gali būti nustatyta šiam pareiškėjui;</w:t>
                    </w:r>
                  </w:p>
                  <w:p>
                    <w:pPr>
                      <w:jc w:val="both"/>
                      <w:rPr>
                        <w:bCs/>
                        <w:szCs w:val="24"/>
                      </w:rPr>
                    </w:pPr>
                    <w:r>
                      <w:rPr>
                        <w:bCs/>
                        <w:szCs w:val="24"/>
                      </w:rPr>
                      <w:t>F – pareiškėjo prašoma finansuojamoji dalis (proc. nuo visų tinkamų finansuoti projekto išlaidų);</w:t>
                    </w:r>
                  </w:p>
                  <w:p>
                    <w:pPr>
                      <w:jc w:val="both"/>
                    </w:pPr>
                    <w:r>
                      <w:t>D – didžiausia galima projekto finansuojamoji dalis (proc. nuo visų tinkamų finansuoti projekto išlaidų), apskaičiuota vadovaujantis Aprašo 8.9 papunkčiu.</w:t>
                    </w:r>
                  </w:p>
                  <w:p>
                    <w:pPr>
                      <w:jc w:val="both"/>
                      <w:rPr>
                        <w:bCs/>
                        <w:szCs w:val="24"/>
                      </w:rPr>
                    </w:pPr>
                  </w:p>
                  <w:p>
                    <w:pPr>
                      <w:jc w:val="both"/>
                      <w:rPr>
                        <w:bCs/>
                        <w:szCs w:val="24"/>
                      </w:rPr>
                    </w:pPr>
                    <w:r>
                      <w:rPr>
                        <w:bCs/>
                        <w:szCs w:val="24"/>
                      </w:rPr>
                      <w:t>Kuo mažesnis pareiškėjo nurodytos prašomos projekto finansuojamosios dalies ir didžiausios projekto finansuojamosios dalies, kuri pagal veiklą gali būti nustatyta šiam pareiškėjui, santykis, tuo daugiau balų suteikiama pareiškėjui.</w:t>
                    </w:r>
                  </w:p>
                  <w:p>
                    <w:pPr>
                      <w:ind w:left="242" w:hanging="242"/>
                      <w:jc w:val="both"/>
                      <w:rPr>
                        <w:bCs/>
                        <w:szCs w:val="24"/>
                      </w:rPr>
                    </w:pPr>
                    <w:r>
                      <w:rPr>
                        <w:bCs/>
                        <w:szCs w:val="24"/>
                      </w:rPr>
                      <w:t>a)</w:t>
                      <w:tab/>
                      <w:t>K mažiau arba lygu 0,49 – 35 balai;</w:t>
                    </w:r>
                  </w:p>
                  <w:p>
                    <w:pPr>
                      <w:ind w:left="242" w:hanging="242"/>
                      <w:jc w:val="both"/>
                      <w:rPr>
                        <w:bCs/>
                        <w:szCs w:val="24"/>
                      </w:rPr>
                    </w:pPr>
                    <w:r>
                      <w:rPr>
                        <w:bCs/>
                        <w:szCs w:val="24"/>
                      </w:rPr>
                      <w:t>b)</w:t>
                      <w:tab/>
                      <w:t>K nuo 0,90 iki 0,50 – 20 balų;</w:t>
                    </w:r>
                  </w:p>
                  <w:p>
                    <w:pPr>
                      <w:ind w:left="242" w:hanging="242"/>
                      <w:jc w:val="both"/>
                      <w:rPr>
                        <w:bCs/>
                        <w:szCs w:val="24"/>
                      </w:rPr>
                    </w:pPr>
                    <w:r>
                      <w:rPr>
                        <w:bCs/>
                        <w:szCs w:val="24"/>
                      </w:rPr>
                      <w:t>c)</w:t>
                      <w:tab/>
                      <w:t>K nuo 1,00 iki 0,9</w:t>
                    </w:r>
                    <w:r>
                      <w:rPr>
                        <w:bCs/>
                        <w:szCs w:val="24"/>
                        <w:lang w:val="fi-FI"/>
                      </w:rPr>
                      <w:t>1</w:t>
                    </w:r>
                    <w:r>
                      <w:rPr>
                        <w:bCs/>
                        <w:szCs w:val="24"/>
                      </w:rPr>
                      <w:t xml:space="preserve"> – 10 balų.</w:t>
                    </w:r>
                  </w:p>
                  <w:p>
                    <w:pPr>
                      <w:jc w:val="both"/>
                      <w:rPr>
                        <w:bCs/>
                        <w:szCs w:val="24"/>
                      </w:rPr>
                    </w:pPr>
                  </w:p>
                  <w:p>
                    <w:pPr>
                      <w:jc w:val="both"/>
                      <w:rPr>
                        <w:szCs w:val="24"/>
                      </w:rPr>
                    </w:pPr>
                    <w:r>
                      <w:rPr>
                        <w:szCs w:val="24"/>
                      </w:rPr>
                      <w:t>Atitiktis kriterijui tikrinama projekto vertinimo metu.</w:t>
                    </w:r>
                  </w:p>
                </w:tc>
                <w:tc>
                  <w:tcPr>
                    <w:tcW w:w="58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35</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w:t>
                    </w:r>
                  </w:p>
                </w:tc>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w:t>
                    </w:r>
                  </w:p>
                </w:tc>
              </w:tr>
            </w:tbl>
            <w:p/>
          </w:sdtContent>
        </w:sdt>
        <w:sdt>
          <w:sdtPr>
            <w:alias w:val="13 p."/>
            <w:tag w:val="part_debea05f0c934b36b5ee2684a53063ec"/>
            <w:lock w:val="sdtLocked"/>
            <w:richText/>
          </w:sdtPr>
          <w:sdtContent>
            <w:p>
              <w:pPr>
                <w:ind w:left="720"/>
                <w:jc w:val="both"/>
                <w:rPr>
                  <w:szCs w:val="24"/>
                  <w:lang w:eastAsia="lt-LT"/>
                </w:rPr>
              </w:pPr>
              <w:sdt>
                <w:sdtPr>
                  <w:alias w:val="Numeris"/>
                  <w:tag w:val="nr_debea05f0c934b36b5ee2684a53063ec"/>
                  <w:lock w:val="sdtLocked"/>
                  <w:richText/>
                </w:sdtPr>
                <w:sdtContent>
                  <w:r>
                    <w:rPr>
                      <w:szCs w:val="24"/>
                      <w:lang w:eastAsia="lt-LT"/>
                    </w:rPr>
                    <w:t>13</w:t>
                  </w:r>
                </w:sdtContent>
              </w:sdt>
              <w:r>
                <w:rPr>
                  <w:szCs w:val="24"/>
                  <w:lang w:eastAsia="lt-LT"/>
                </w:rPr>
                <w:t xml:space="preserve">. Pakeičiu 12.2 papunktį ir jį išdėstau taip: </w:t>
              </w:r>
            </w:p>
            <w:sdt>
              <w:sdtPr>
                <w:alias w:val="citata"/>
                <w:tag w:val="part_de54c7b9a4ff4794a574b075877c9aee"/>
                <w:lock w:val="sdtLocked"/>
                <w:richText/>
              </w:sdtPr>
              <w:sdtContent>
                <w:sdt>
                  <w:sdtPr>
                    <w:alias w:val="12.2 pp."/>
                    <w:tag w:val="part_21c70ad155754d66a1def4abf561529c"/>
                    <w:lock w:val="sdtLocked"/>
                    <w:richText/>
                  </w:sdtPr>
                  <w:sdtContent>
                    <w:p>
                      <w:pPr>
                        <w:ind w:firstLine="744"/>
                        <w:jc w:val="both"/>
                        <w:rPr>
                          <w:szCs w:val="24"/>
                          <w:lang w:eastAsia="lt-LT"/>
                        </w:rPr>
                      </w:pPr>
                      <w:r>
                        <w:rPr>
                          <w:szCs w:val="24"/>
                          <w:lang w:eastAsia="lt-LT"/>
                        </w:rPr>
                        <w:t>„</w:t>
                      </w:r>
                      <w:sdt>
                        <w:sdtPr>
                          <w:alias w:val="Numeris"/>
                          <w:tag w:val="nr_21c70ad155754d66a1def4abf561529c"/>
                          <w:lock w:val="sdtLocked"/>
                          <w:richText/>
                        </w:sdtPr>
                        <w:sdtContent>
                          <w:r>
                            <w:rPr>
                              <w:szCs w:val="24"/>
                              <w:lang w:eastAsia="lt-LT"/>
                            </w:rPr>
                            <w:t>12.2</w:t>
                          </w:r>
                        </w:sdtContent>
                      </w:sdt>
                      <w:r>
                        <w:rPr>
                          <w:szCs w:val="24"/>
                          <w:lang w:eastAsia="lt-LT"/>
                        </w:rPr>
                        <w:t>. Jeigu projekto vertė viršija 10 000 000 (dešimt milijonų) eurų, projekto vykdytojas privalo surengti komunikacinį renginį ar veiklą, laiku įtraukiant Europos Komisiją</w:t>
                      </w:r>
                      <w:r>
                        <w:rPr>
                          <w:b/>
                          <w:bCs/>
                          <w:szCs w:val="24"/>
                          <w:lang w:eastAsia="lt-LT"/>
                        </w:rPr>
                        <w:t>,</w:t>
                      </w:r>
                      <w:r>
                        <w:rPr>
                          <w:szCs w:val="24"/>
                          <w:lang w:eastAsia="lt-LT"/>
                        </w:rPr>
                        <w:t xml:space="preserve"> vadovaujančiąją instituciją ir atitinkamos administruojančiosios institucijos atstovus.“ </w:t>
                      </w:r>
                    </w:p>
                  </w:sdtContent>
                </w:sdt>
              </w:sdtContent>
            </w:sdt>
          </w:sdtContent>
        </w:sdt>
        <w:sdt>
          <w:sdtPr>
            <w:alias w:val="14 p."/>
            <w:tag w:val="part_27c6704b6a384408ab258dfe866d6fb0"/>
            <w:lock w:val="sdtLocked"/>
            <w:richText/>
          </w:sdtPr>
          <w:sdtContent>
            <w:p>
              <w:pPr>
                <w:spacing w:line="276" w:lineRule="auto"/>
                <w:ind w:left="720" w:firstLine="62"/>
                <w:jc w:val="both"/>
                <w:textAlignment w:val="baseline"/>
                <w:rPr>
                  <w:color w:val="000000"/>
                </w:rPr>
              </w:pPr>
              <w:sdt>
                <w:sdtPr>
                  <w:alias w:val="Numeris"/>
                  <w:tag w:val="nr_27c6704b6a384408ab258dfe866d6fb0"/>
                  <w:lock w:val="sdtLocked"/>
                  <w:richText/>
                </w:sdtPr>
                <w:sdtContent>
                  <w:r>
                    <w:rPr>
                      <w:color w:val="000000"/>
                    </w:rPr>
                    <w:t>14</w:t>
                  </w:r>
                </w:sdtContent>
              </w:sdt>
              <w:r>
                <w:rPr>
                  <w:color w:val="000000"/>
                </w:rPr>
                <w:t>. Papildau 13.5.6 ir 13.5.7 papunkčiais:</w:t>
              </w:r>
            </w:p>
            <w:sdt>
              <w:sdtPr>
                <w:alias w:val="citata"/>
                <w:tag w:val="part_b235393998604607be2dae2bc750bbb5"/>
                <w:lock w:val="sdtLocked"/>
                <w:richText/>
              </w:sdtPr>
              <w:sdtContent>
                <w:sdt>
                  <w:sdtPr>
                    <w:alias w:val="13.5.6 pp."/>
                    <w:tag w:val="part_0c7a8e2a700141d49c82945f0f8a7ef1"/>
                    <w:lock w:val="sdtLocked"/>
                    <w:richText/>
                  </w:sdtPr>
                  <w:sdtContent>
                    <w:p>
                      <w:pPr>
                        <w:ind w:left="567" w:firstLine="186"/>
                        <w:jc w:val="both"/>
                        <w:textAlignment w:val="baseline"/>
                        <w:rPr>
                          <w:szCs w:val="24"/>
                          <w:lang w:eastAsia="lt-LT"/>
                        </w:rPr>
                      </w:pPr>
                      <w:r>
                        <w:rPr>
                          <w:szCs w:val="24"/>
                          <w:lang w:eastAsia="lt-LT"/>
                        </w:rPr>
                        <w:t>„</w:t>
                      </w:r>
                      <w:sdt>
                        <w:sdtPr>
                          <w:alias w:val="Numeris"/>
                          <w:tag w:val="nr_0c7a8e2a700141d49c82945f0f8a7ef1"/>
                          <w:lock w:val="sdtLocked"/>
                          <w:richText/>
                        </w:sdtPr>
                        <w:sdtContent>
                          <w:r>
                            <w:rPr>
                              <w:szCs w:val="24"/>
                              <w:lang w:eastAsia="lt-LT"/>
                            </w:rPr>
                            <w:t>13.5.6</w:t>
                          </w:r>
                        </w:sdtContent>
                      </w:sdt>
                      <w:r>
                        <w:rPr>
                          <w:szCs w:val="24"/>
                          <w:lang w:eastAsia="lt-LT"/>
                        </w:rPr>
                        <w:t>. statybos darbų ir rekonstrukcijos; </w:t>
                      </w:r>
                    </w:p>
                  </w:sdtContent>
                </w:sdt>
                <w:sdt>
                  <w:sdtPr>
                    <w:alias w:val="13.5.7 pp."/>
                    <w:tag w:val="part_de40f24819154697ad980023d706dbdd"/>
                    <w:lock w:val="sdtLocked"/>
                    <w:richText/>
                  </w:sdtPr>
                  <w:sdtContent>
                    <w:p>
                      <w:pPr>
                        <w:ind w:firstLine="806"/>
                        <w:jc w:val="both"/>
                        <w:textAlignment w:val="baseline"/>
                        <w:rPr>
                          <w:szCs w:val="24"/>
                          <w:lang w:eastAsia="lt-LT"/>
                        </w:rPr>
                      </w:pPr>
                      <w:sdt>
                        <w:sdtPr>
                          <w:alias w:val="Numeris"/>
                          <w:tag w:val="nr_de40f24819154697ad980023d706dbdd"/>
                          <w:lock w:val="sdtLocked"/>
                          <w:richText/>
                        </w:sdtPr>
                        <w:sdtContent>
                          <w:r>
                            <w:rPr>
                              <w:szCs w:val="24"/>
                              <w:lang w:eastAsia="lt-LT"/>
                            </w:rPr>
                            <w:t>13.5.7</w:t>
                          </w:r>
                        </w:sdtContent>
                      </w:sdt>
                      <w:r>
                        <w:rPr>
                          <w:szCs w:val="24"/>
                          <w:lang w:eastAsia="lt-LT"/>
                        </w:rPr>
                        <w:t>. žemės įsigijimo.“ </w:t>
                      </w:r>
                    </w:p>
                  </w:sdtContent>
                </w:sdt>
              </w:sdtContent>
            </w:sdt>
          </w:sdtContent>
        </w:sdt>
        <w:sdt>
          <w:sdtPr>
            <w:alias w:val="15 p."/>
            <w:tag w:val="part_9e211ea3c2f84559bad552c9ed541ad8"/>
            <w:lock w:val="sdtLocked"/>
            <w:richText/>
          </w:sdtPr>
          <w:sdtContent>
            <w:p>
              <w:pPr>
                <w:ind w:left="720" w:firstLine="62"/>
                <w:jc w:val="both"/>
                <w:rPr>
                  <w:szCs w:val="24"/>
                  <w:lang w:eastAsia="lt-LT"/>
                </w:rPr>
              </w:pPr>
              <w:sdt>
                <w:sdtPr>
                  <w:alias w:val="Numeris"/>
                  <w:tag w:val="nr_9e211ea3c2f84559bad552c9ed541ad8"/>
                  <w:lock w:val="sdtLocked"/>
                  <w:richText/>
                </w:sdtPr>
                <w:sdtContent>
                  <w:r>
                    <w:rPr>
                      <w:szCs w:val="24"/>
                      <w:lang w:eastAsia="lt-LT"/>
                    </w:rPr>
                    <w:t>15</w:t>
                  </w:r>
                </w:sdtContent>
              </w:sdt>
              <w:r>
                <w:rPr>
                  <w:szCs w:val="24"/>
                  <w:lang w:eastAsia="lt-LT"/>
                </w:rPr>
                <w:t>. Pakeičiu 1 priedo lentelę ir ją išdėstau taip:</w:t>
              </w:r>
            </w:p>
            <w:tbl>
              <w:tblPr>
                <w:tblW w:w="10073" w:type="dxa"/>
                <w:tblInd w:w="-3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96"/>
                <w:gridCol w:w="4404"/>
                <w:gridCol w:w="4073"/>
              </w:tblGrid>
              <w:tr>
                <w:trPr>
                  <w:trHeight w:val="300"/>
                </w:trPr>
                <w:tc>
                  <w:tcPr>
                    <w:tcW w:w="1596" w:type="dxa"/>
                    <w:tcBorders>
                      <w:top w:val="single" w:sz="6" w:space="0" w:color="auto"/>
                      <w:left w:val="single" w:sz="6" w:space="0" w:color="auto"/>
                      <w:bottom w:val="single" w:sz="6" w:space="0" w:color="auto"/>
                      <w:right w:val="single" w:sz="6" w:space="0" w:color="auto"/>
                    </w:tcBorders>
                    <w:hideMark/>
                  </w:tcPr>
                  <w:p>
                    <w:pPr>
                      <w:jc w:val="both"/>
                      <w:rPr>
                        <w:szCs w:val="24"/>
                        <w:lang w:val="en-US" w:eastAsia="lt-LT"/>
                      </w:rPr>
                    </w:pPr>
                    <w:r>
                      <w:rPr>
                        <w:szCs w:val="24"/>
                        <w:lang w:eastAsia="lt-LT"/>
                      </w:rPr>
                      <w:t>„</w:t>
                    </w:r>
                    <w:r>
                      <w:rPr>
                        <w:b/>
                        <w:bCs/>
                        <w:szCs w:val="24"/>
                        <w:lang w:eastAsia="lt-LT"/>
                      </w:rPr>
                      <w:t>Aplinkos tikslai</w:t>
                    </w:r>
                    <w:r>
                      <w:rPr>
                        <w:szCs w:val="24"/>
                        <w:lang w:val="en-US" w:eastAsia="lt-LT"/>
                      </w:rPr>
                      <w:t>  </w:t>
                    </w:r>
                  </w:p>
                </w:tc>
                <w:tc>
                  <w:tcPr>
                    <w:tcW w:w="4404" w:type="dxa"/>
                    <w:tcBorders>
                      <w:top w:val="single" w:sz="6" w:space="0" w:color="auto"/>
                      <w:left w:val="single" w:sz="6" w:space="0" w:color="auto"/>
                      <w:bottom w:val="single" w:sz="6" w:space="0" w:color="auto"/>
                      <w:right w:val="single" w:sz="6" w:space="0" w:color="auto"/>
                    </w:tcBorders>
                    <w:hideMark/>
                  </w:tcPr>
                  <w:p>
                    <w:pPr>
                      <w:jc w:val="both"/>
                      <w:rPr>
                        <w:szCs w:val="24"/>
                        <w:lang w:val="fi-FI" w:eastAsia="lt-LT"/>
                      </w:rPr>
                    </w:pPr>
                    <w:r>
                      <w:rPr>
                        <w:b/>
                        <w:bCs/>
                        <w:szCs w:val="24"/>
                        <w:lang w:eastAsia="lt-LT"/>
                      </w:rPr>
                      <w:t>Su Europos Komisija suderintas pagrindimas</w:t>
                    </w:r>
                    <w:r>
                      <w:rPr>
                        <w:szCs w:val="24"/>
                        <w:lang w:val="fi-FI" w:eastAsia="lt-LT"/>
                      </w:rPr>
                      <w:t> </w:t>
                    </w:r>
                  </w:p>
                </w:tc>
                <w:tc>
                  <w:tcPr>
                    <w:tcW w:w="4073" w:type="dxa"/>
                    <w:tcBorders>
                      <w:top w:val="single" w:sz="6" w:space="0" w:color="auto"/>
                      <w:left w:val="single" w:sz="6" w:space="0" w:color="auto"/>
                      <w:bottom w:val="single" w:sz="6" w:space="0" w:color="auto"/>
                      <w:right w:val="single" w:sz="6" w:space="0" w:color="auto"/>
                    </w:tcBorders>
                    <w:hideMark/>
                  </w:tcPr>
                  <w:p>
                    <w:pPr>
                      <w:ind w:firstLine="310"/>
                      <w:jc w:val="both"/>
                      <w:rPr>
                        <w:szCs w:val="24"/>
                        <w:lang w:val="en-US" w:eastAsia="lt-LT"/>
                      </w:rPr>
                    </w:pPr>
                    <w:r>
                      <w:rPr>
                        <w:b/>
                        <w:bCs/>
                        <w:szCs w:val="24"/>
                        <w:lang w:eastAsia="lt-LT"/>
                      </w:rPr>
                      <w:t>Pagrindimo dokumentai</w:t>
                    </w:r>
                    <w:r>
                      <w:rPr>
                        <w:szCs w:val="24"/>
                        <w:lang w:val="en-US" w:eastAsia="lt-LT"/>
                      </w:rPr>
                      <w:t> </w:t>
                    </w:r>
                  </w:p>
                  <w:p>
                    <w:pPr>
                      <w:ind w:firstLine="62"/>
                      <w:jc w:val="both"/>
                      <w:rPr>
                        <w:szCs w:val="24"/>
                        <w:lang w:val="en-US" w:eastAsia="lt-LT"/>
                      </w:rPr>
                    </w:pPr>
                  </w:p>
                </w:tc>
              </w:tr>
              <w:tr>
                <w:trPr>
                  <w:trHeight w:val="300"/>
                </w:trPr>
                <w:tc>
                  <w:tcPr>
                    <w:tcW w:w="1596" w:type="dxa"/>
                    <w:tcBorders>
                      <w:top w:val="single" w:sz="6" w:space="0" w:color="auto"/>
                      <w:left w:val="single" w:sz="6" w:space="0" w:color="auto"/>
                      <w:bottom w:val="single" w:sz="6" w:space="0" w:color="auto"/>
                      <w:right w:val="single" w:sz="6" w:space="0" w:color="auto"/>
                    </w:tcBorders>
                    <w:hideMark/>
                  </w:tcPr>
                  <w:p>
                    <w:pPr>
                      <w:jc w:val="both"/>
                      <w:rPr>
                        <w:szCs w:val="24"/>
                        <w:lang w:val="en-US" w:eastAsia="lt-LT"/>
                      </w:rPr>
                    </w:pPr>
                    <w:r>
                      <w:rPr>
                        <w:szCs w:val="24"/>
                        <w:lang w:eastAsia="lt-LT"/>
                      </w:rPr>
                      <w:t>1.</w:t>
                    </w:r>
                    <w:r>
                      <w:rPr>
                        <w:szCs w:val="24"/>
                        <w:lang w:val="en-US" w:eastAsia="lt-LT"/>
                      </w:rPr>
                      <w:tab/>
                    </w:r>
                    <w:r>
                      <w:rPr>
                        <w:szCs w:val="24"/>
                        <w:lang w:eastAsia="lt-LT"/>
                      </w:rPr>
                      <w:t>Klimato kaitos švelninimas</w:t>
                    </w:r>
                    <w:r>
                      <w:rPr>
                        <w:szCs w:val="24"/>
                        <w:lang w:val="en-US" w:eastAsia="lt-LT"/>
                      </w:rPr>
                      <w:t> </w:t>
                    </w:r>
                  </w:p>
                </w:tc>
                <w:tc>
                  <w:tcPr>
                    <w:tcW w:w="4404" w:type="dxa"/>
                    <w:tcBorders>
                      <w:top w:val="single" w:sz="6" w:space="0" w:color="auto"/>
                      <w:left w:val="single" w:sz="6" w:space="0" w:color="auto"/>
                      <w:bottom w:val="single" w:sz="6" w:space="0" w:color="auto"/>
                      <w:right w:val="single" w:sz="6" w:space="0" w:color="auto"/>
                    </w:tcBorders>
                    <w:hideMark/>
                  </w:tcPr>
                  <w:p>
                    <w:pPr>
                      <w:jc w:val="both"/>
                      <w:rPr>
                        <w:szCs w:val="24"/>
                        <w:lang w:val="en-US" w:eastAsia="lt-LT"/>
                      </w:rPr>
                    </w:pPr>
                    <w:r>
                      <w:rPr>
                        <w:szCs w:val="24"/>
                        <w:lang w:eastAsia="lt-LT"/>
                      </w:rPr>
                      <w:t>Kuriami ir rekonstruojami atliekų paruošimo perdirbti ir perdirbimo pajėgumai turės atitikti:</w:t>
                    </w:r>
                    <w:r>
                      <w:rPr>
                        <w:szCs w:val="24"/>
                        <w:lang w:val="en-US" w:eastAsia="lt-LT"/>
                      </w:rPr>
                      <w:t> </w:t>
                    </w:r>
                  </w:p>
                  <w:p>
                    <w:pPr>
                      <w:jc w:val="both"/>
                      <w:rPr>
                        <w:szCs w:val="24"/>
                        <w:lang w:val="en-US" w:eastAsia="lt-LT"/>
                      </w:rPr>
                    </w:pPr>
                    <w:r>
                      <w:rPr>
                        <w:szCs w:val="24"/>
                        <w:lang w:eastAsia="lt-LT"/>
                      </w:rPr>
                      <w:t>1.</w:t>
                    </w:r>
                    <w:r>
                      <w:rPr>
                        <w:szCs w:val="24"/>
                        <w:lang w:val="en-US" w:eastAsia="lt-LT"/>
                      </w:rPr>
                      <w:tab/>
                    </w:r>
                    <w:r>
                      <w:rPr>
                        <w:szCs w:val="24"/>
                        <w:lang w:eastAsia="lt-LT"/>
                      </w:rPr>
                      <w:t xml:space="preserve">2008 m. lapkričio 19 d. Europos Parlamento ir Tarybos direktyvą </w:t>
                    </w:r>
                    <w:fldSimple w:instr="HYPERLINK http://eur-lex.europa.eu/legal-content/LIT/TXT/?uri=CELEX:32008L0098&amp;locale=lt \t _blank">
                      <w:r>
                        <w:rPr>
                          <w:szCs w:val="24"/>
                          <w:lang w:eastAsia="lt-LT"/>
                          <w:u w:val="single"/>
                          <w:color w:val="0000FF" w:themeColor="hyperlink"/>
                        </w:rPr>
                        <w:t>2008/98/EB</w:t>
                      </w:r>
                    </w:fldSimple>
                    <w:r>
                      <w:rPr>
                        <w:szCs w:val="24"/>
                        <w:lang w:eastAsia="lt-LT"/>
                      </w:rPr>
                      <w:t xml:space="preserve"> dėl atliekų ir panaikinančią kai kurias direktyvas su paskutiniais pakeitimais, padarytais 2018 m. gegužės 30 d. Europos Parlamento ir Tarybos direktyva </w:t>
                    </w:r>
                    <w:fldSimple w:instr="HYPERLINK http://eur-lex.europa.eu/legal-content/LIT/TXT/?uri=CELEX:32018L0851&amp;locale=lt \t _blank">
                      <w:r>
                        <w:rPr>
                          <w:szCs w:val="24"/>
                          <w:lang w:eastAsia="lt-LT"/>
                          <w:u w:val="single"/>
                          <w:color w:val="0000FF" w:themeColor="hyperlink"/>
                        </w:rPr>
                        <w:t>(ES) 2018/851</w:t>
                      </w:r>
                    </w:fldSimple>
                    <w:r>
                      <w:rPr>
                        <w:szCs w:val="24"/>
                        <w:lang w:eastAsia="lt-LT"/>
                      </w:rPr>
                      <w:t>.</w:t>
                    </w:r>
                    <w:r>
                      <w:rPr>
                        <w:szCs w:val="24"/>
                        <w:lang w:val="en-US" w:eastAsia="lt-LT"/>
                      </w:rPr>
                      <w:t> </w:t>
                    </w:r>
                  </w:p>
                  <w:p>
                    <w:pPr>
                      <w:jc w:val="both"/>
                      <w:rPr>
                        <w:szCs w:val="24"/>
                        <w:lang w:val="en-US" w:eastAsia="lt-LT"/>
                      </w:rPr>
                    </w:pPr>
                    <w:r>
                      <w:rPr>
                        <w:szCs w:val="24"/>
                        <w:lang w:eastAsia="lt-LT"/>
                      </w:rPr>
                      <w:t>2.</w:t>
                    </w:r>
                    <w:r>
                      <w:rPr>
                        <w:szCs w:val="24"/>
                        <w:lang w:val="en-US" w:eastAsia="lt-LT"/>
                      </w:rPr>
                      <w:tab/>
                    </w:r>
                    <w:r>
                      <w:rPr>
                        <w:szCs w:val="24"/>
                        <w:lang w:eastAsia="lt-LT"/>
                      </w:rPr>
                      <w:t xml:space="preserve">1996 m. rugsėjo 24 d. Tarybos direktyvą </w:t>
                    </w:r>
                    <w:fldSimple w:instr="HYPERLINK http://eur-lex.europa.eu/legal-content/LIT/TXT/?uri=CELEX:31996L0061&amp;locale=lt \t _blank">
                      <w:r>
                        <w:rPr>
                          <w:szCs w:val="24"/>
                          <w:lang w:eastAsia="lt-LT"/>
                          <w:u w:val="single"/>
                          <w:color w:val="0000FF" w:themeColor="hyperlink"/>
                        </w:rPr>
                        <w:t>96/61/EB</w:t>
                      </w:r>
                    </w:fldSimple>
                    <w:r>
                      <w:rPr>
                        <w:szCs w:val="24"/>
                        <w:lang w:eastAsia="lt-LT"/>
                      </w:rPr>
                      <w:t xml:space="preserve"> dėl taršos integruotos prevencijos ir kontrolės su paskutiniais pakeitimais, padarytais 2006 m. sausio 18 d. Europos Parlamento ir Tarybos reglamentu </w:t>
                    </w:r>
                    <w:fldSimple w:instr="HYPERLINK http://eur-lex.europa.eu/legal-content/LIT/TXT/?uri=CELEX:32006R0166&amp;locale=lt \t _blank">
                      <w:r>
                        <w:rPr>
                          <w:szCs w:val="24"/>
                          <w:lang w:eastAsia="lt-LT"/>
                          <w:u w:val="single"/>
                          <w:color w:val="0000FF" w:themeColor="hyperlink"/>
                        </w:rPr>
                        <w:t>(EB) Nr. 166/2006</w:t>
                      </w:r>
                    </w:fldSimple>
                    <w:r>
                      <w:rPr>
                        <w:szCs w:val="24"/>
                        <w:lang w:eastAsia="lt-LT"/>
                      </w:rPr>
                      <w:t>.</w:t>
                    </w:r>
                    <w:r>
                      <w:rPr>
                        <w:szCs w:val="24"/>
                        <w:lang w:val="en-US" w:eastAsia="lt-LT"/>
                      </w:rPr>
                      <w:t> </w:t>
                    </w:r>
                  </w:p>
                  <w:p>
                    <w:pPr>
                      <w:jc w:val="both"/>
                      <w:rPr>
                        <w:szCs w:val="24"/>
                        <w:lang w:eastAsia="lt-LT"/>
                      </w:rPr>
                    </w:pPr>
                    <w:r>
                      <w:rPr>
                        <w:szCs w:val="24"/>
                        <w:lang w:eastAsia="lt-LT"/>
                      </w:rPr>
                      <w:t>3.</w:t>
                    </w:r>
                    <w:r>
                      <w:rPr>
                        <w:szCs w:val="24"/>
                        <w:lang w:val="en-US" w:eastAsia="lt-LT"/>
                      </w:rPr>
                      <w:tab/>
                    </w:r>
                    <w:r>
                      <w:rPr>
                        <w:szCs w:val="24"/>
                        <w:lang w:eastAsia="lt-LT"/>
                      </w:rPr>
                      <w:t xml:space="preserve">Kuriama infrastruktūra turi atitikti Statybos techninio reglamento ir Europos Parlamento ir Tarybos 2010 m. gegužės 19 d. direktyvos </w:t>
                    </w:r>
                    <w:fldSimple w:instr="HYPERLINK http://eur-lex.europa.eu/legal-content/LIT/TXT/?uri=CELEX:32010L0031&amp;locale=lt \t _blank">
                      <w:r>
                        <w:rPr>
                          <w:szCs w:val="24"/>
                          <w:lang w:eastAsia="lt-LT"/>
                          <w:u w:val="single"/>
                          <w:color w:val="0000FF" w:themeColor="hyperlink"/>
                        </w:rPr>
                        <w:t>2010/31/ES</w:t>
                      </w:r>
                    </w:fldSimple>
                    <w:r>
                      <w:rPr>
                        <w:szCs w:val="24"/>
                        <w:lang w:eastAsia="lt-LT"/>
                      </w:rPr>
                      <w:t xml:space="preserve"> dėl pastatų energinio naudingumo reikalavimus, susijusius su šiltnamio efektą sukeliančių dujų (toliau – ŠESD) emisija, ir beveik energijos nenaudojančių pastatų projektavimo, statybos ir eksploatacijos (angl. </w:t>
                    </w:r>
                    <w:r>
                      <w:rPr>
                        <w:i/>
                        <w:iCs/>
                        <w:szCs w:val="24"/>
                        <w:lang w:eastAsia="lt-LT"/>
                      </w:rPr>
                      <w:t>Nearly Zero Energy Building</w:t>
                    </w:r>
                    <w:r>
                      <w:rPr>
                        <w:szCs w:val="24"/>
                        <w:lang w:eastAsia="lt-LT"/>
                      </w:rPr>
                      <w:t>, NZEB) standartą. </w:t>
                    </w:r>
                  </w:p>
                  <w:p>
                    <w:pPr>
                      <w:jc w:val="both"/>
                      <w:rPr>
                        <w:szCs w:val="24"/>
                        <w:lang w:eastAsia="lt-LT"/>
                      </w:rPr>
                    </w:pPr>
                    <w:r>
                      <w:rPr>
                        <w:szCs w:val="24"/>
                        <w:lang w:eastAsia="lt-LT"/>
                      </w:rPr>
                      <w:t>Numatoma atlikti planuojamos ūkinės veiklos poveikio aplinkai vertinimą (toliau – PAV), kaip tai numatyta Lietuvos Respublikos planuojamos ūkinės veiklos poveikio aplinkai vertinimo įstatyme (toliau – PAV įstatymas). </w:t>
                    </w:r>
                  </w:p>
                  <w:p>
                    <w:pPr>
                      <w:jc w:val="both"/>
                      <w:rPr>
                        <w:szCs w:val="24"/>
                        <w:lang w:eastAsia="lt-LT"/>
                      </w:rPr>
                    </w:pPr>
                    <w:r>
                      <w:rPr>
                        <w:szCs w:val="24"/>
                        <w:lang w:eastAsia="lt-LT"/>
                      </w:rPr>
                      <w:t xml:space="preserve">PAV procedūros turi būti atliktos prieš statybos darbus vadovaujantis 2011 m. gruodžio 13 d. Europos Parlamento ir Tarybos direktyva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xml:space="preserve"> dėl tam tikrų valstybės ir privačių projektų poveikio aplinkai vertinimo (toliau – Direktyva </w:t>
                    </w:r>
                    <w:fldSimple w:instr="HYPERLINK http://eur-lex.europa.eu/legal-content/LIT/TXT/?uri=CELEX:32011L0092&amp;locale=lt \t _blank">
                      <w:r>
                        <w:rPr>
                          <w:szCs w:val="24"/>
                          <w:lang w:eastAsia="lt-LT"/>
                          <w:u w:val="single"/>
                          <w:color w:val="0000FF" w:themeColor="hyperlink"/>
                        </w:rPr>
                        <w:t>2011/92</w:t>
                      </w:r>
                    </w:fldSimple>
                    <w:r>
                      <w:rPr>
                        <w:szCs w:val="24"/>
                        <w:lang w:eastAsia="lt-LT"/>
                      </w:rPr>
                      <w:t>) nuostatomis ir numatyta, kaip bus įgyvendintos PAV ataskaitoje pateiktos švelninimo ir kompensacinės priemonės. </w:t>
                    </w:r>
                  </w:p>
                  <w:p>
                    <w:pPr>
                      <w:jc w:val="both"/>
                      <w:rPr>
                        <w:szCs w:val="24"/>
                        <w:lang w:eastAsia="lt-LT"/>
                      </w:rPr>
                    </w:pPr>
                    <w:r>
                      <w:rPr>
                        <w:szCs w:val="24"/>
                        <w:lang w:eastAsia="lt-LT"/>
                      </w:rPr>
                      <w:t>Įgyvendinamos veiklos leis išvengti: </w:t>
                    </w:r>
                  </w:p>
                  <w:p>
                    <w:pPr>
                      <w:jc w:val="both"/>
                      <w:rPr>
                        <w:szCs w:val="24"/>
                        <w:lang w:eastAsia="lt-LT"/>
                      </w:rPr>
                    </w:pPr>
                    <w:r>
                      <w:rPr>
                        <w:szCs w:val="24"/>
                        <w:lang w:eastAsia="lt-LT"/>
                      </w:rPr>
                      <w:t>1.</w:t>
                      <w:tab/>
                      <w:t>ŠESD patekimo į aplinką, nes komunalinės atliekos nebus šalinamos sąvartynuose. </w:t>
                    </w:r>
                  </w:p>
                  <w:p>
                    <w:pPr>
                      <w:jc w:val="both"/>
                      <w:rPr>
                        <w:szCs w:val="24"/>
                        <w:lang w:eastAsia="lt-LT"/>
                      </w:rPr>
                    </w:pPr>
                    <w:r>
                      <w:rPr>
                        <w:szCs w:val="24"/>
                        <w:lang w:eastAsia="lt-LT"/>
                      </w:rPr>
                      <w:t>2.</w:t>
                      <w:tab/>
                      <w:t>ŠESD (daugiausia CO</w:t>
                    </w:r>
                    <w:r>
                      <w:rPr>
                        <w:szCs w:val="24"/>
                        <w:vertAlign w:val="subscript"/>
                        <w:lang w:eastAsia="lt-LT"/>
                      </w:rPr>
                      <w:t>2</w:t>
                    </w:r>
                    <w:r>
                      <w:rPr>
                        <w:szCs w:val="24"/>
                        <w:lang w:eastAsia="lt-LT"/>
                      </w:rPr>
                      <w:t>) patekimo į aplinką, nes komunalinės atliekos nebus deginamos. </w:t>
                    </w:r>
                  </w:p>
                  <w:p>
                    <w:pPr>
                      <w:jc w:val="both"/>
                      <w:rPr>
                        <w:szCs w:val="24"/>
                        <w:lang w:eastAsia="lt-LT"/>
                      </w:rPr>
                    </w:pPr>
                    <w:r>
                      <w:rPr>
                        <w:szCs w:val="24"/>
                        <w:lang w:eastAsia="lt-LT"/>
                      </w:rPr>
                      <w:t>Perdirbant išrūšiuotas atliekas taupoma energija, gaminant produktus iš antrinių žaliavų perdirbus atliekas, netiesiogiai mažinamas CO</w:t>
                    </w:r>
                    <w:r>
                      <w:rPr>
                        <w:szCs w:val="24"/>
                        <w:vertAlign w:val="subscript"/>
                        <w:lang w:eastAsia="lt-LT"/>
                      </w:rPr>
                      <w:t>2</w:t>
                    </w:r>
                    <w:r>
                      <w:rPr>
                        <w:szCs w:val="24"/>
                        <w:lang w:eastAsia="lt-LT"/>
                      </w:rPr>
                      <w:t xml:space="preserve"> išskyrimas, kuris skirtųsi gaminant produktus iš pirminių žaliavų. Perdirbant išrūšiuotas atliekas sutaupoma iki 4 kartų daugiau energijos ir tiek pat išskiriama mažiau CO</w:t>
                    </w:r>
                    <w:r>
                      <w:rPr>
                        <w:szCs w:val="24"/>
                        <w:vertAlign w:val="subscript"/>
                        <w:lang w:eastAsia="lt-LT"/>
                      </w:rPr>
                      <w:t>2</w:t>
                    </w:r>
                    <w:r>
                      <w:rPr>
                        <w:szCs w:val="24"/>
                        <w:lang w:eastAsia="lt-LT"/>
                      </w:rPr>
                      <w:t>, nei deginant atliekas. </w:t>
                    </w:r>
                  </w:p>
                  <w:p>
                    <w:pPr>
                      <w:jc w:val="both"/>
                      <w:rPr>
                        <w:szCs w:val="24"/>
                        <w:lang w:eastAsia="lt-LT"/>
                      </w:rPr>
                    </w:pPr>
                    <w:r>
                      <w:rPr>
                        <w:szCs w:val="24"/>
                        <w:lang w:eastAsia="lt-LT"/>
                      </w:rPr>
                      <w:t>Apibendrinus tai, kas išdėstyta, daroma išvada, kad planuojamos įgyvendinti veiklos labai sumažins ŠESD išsiskyrimą, reikšmingai prisidės prie klimato kaitos švelninimo.  </w:t>
                    </w:r>
                  </w:p>
                </w:tc>
                <w:tc>
                  <w:tcPr>
                    <w:tcW w:w="4073"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szCs w:val="24"/>
                        <w:lang w:eastAsia="lt-LT"/>
                      </w:rPr>
                      <w:t>Jeigu vadovaujantis PAV įstatymu reikia atlikti planuojamos ūkinės veiklos PAV ar atrankos dėl planuojamos ūkinės veiklos PAV procedūras, pareiškėjas ne vėliau kaip per 2 mėnesius nuo projekto sutarties pasirašymo dienos administruojančiajai institucijai turi pateikti atsakingosios institucijos sprendimą dėl PAV, pagal kurį planuojama ūkinė veikla atitinka teisės aktų reikalavimus ir nedarys neigiamo reikšmingo poveikio aplinkai, ar atrankos išvadą, kad PAV neprivalomas.  </w:t>
                    </w:r>
                  </w:p>
                  <w:p>
                    <w:pPr>
                      <w:jc w:val="both"/>
                      <w:rPr>
                        <w:szCs w:val="24"/>
                        <w:lang w:eastAsia="lt-LT"/>
                      </w:rPr>
                    </w:pPr>
                    <w:r>
                      <w:rPr>
                        <w:szCs w:val="24"/>
                        <w:lang w:eastAsia="lt-LT"/>
                      </w:rPr>
                      <w:t xml:space="preserve">Jeigu vadovaujantis PAV įstatymu  planuojamos ūkinės veiklos PAV neatliekamas,  pareiškėjas su PĮP administruojančiajai institucijai turi pateikti deklaraciją su paaiškinimu, kaip įgyvendinant projektą sukurti pajėgumai padės švelninti  klimato kaitą. </w:t>
                    </w:r>
                  </w:p>
                  <w:p>
                    <w:pPr>
                      <w:ind w:firstLine="62"/>
                      <w:jc w:val="both"/>
                      <w:rPr>
                        <w:szCs w:val="24"/>
                        <w:lang w:eastAsia="lt-LT"/>
                      </w:rPr>
                    </w:pPr>
                  </w:p>
                </w:tc>
              </w:tr>
              <w:tr>
                <w:trPr>
                  <w:trHeight w:val="300"/>
                </w:trPr>
                <w:tc>
                  <w:tcPr>
                    <w:tcW w:w="1596" w:type="dxa"/>
                    <w:tcBorders>
                      <w:top w:val="single" w:sz="6" w:space="0" w:color="auto"/>
                      <w:left w:val="single" w:sz="6" w:space="0" w:color="auto"/>
                      <w:bottom w:val="single" w:sz="6" w:space="0" w:color="auto"/>
                      <w:right w:val="single" w:sz="6" w:space="0" w:color="auto"/>
                    </w:tcBorders>
                    <w:hideMark/>
                  </w:tcPr>
                  <w:p>
                    <w:pPr>
                      <w:jc w:val="both"/>
                      <w:rPr>
                        <w:szCs w:val="24"/>
                        <w:lang w:val="en-US" w:eastAsia="lt-LT"/>
                      </w:rPr>
                    </w:pPr>
                    <w:r>
                      <w:rPr>
                        <w:szCs w:val="24"/>
                        <w:lang w:eastAsia="lt-LT"/>
                      </w:rPr>
                      <w:t>2. Prisitaikymas prie klimato kaitos</w:t>
                    </w:r>
                    <w:r>
                      <w:rPr>
                        <w:szCs w:val="24"/>
                        <w:lang w:val="en-US" w:eastAsia="lt-LT"/>
                      </w:rPr>
                      <w:t> </w:t>
                    </w:r>
                  </w:p>
                </w:tc>
                <w:tc>
                  <w:tcPr>
                    <w:tcW w:w="4404" w:type="dxa"/>
                    <w:tcBorders>
                      <w:top w:val="single" w:sz="6" w:space="0" w:color="auto"/>
                      <w:left w:val="single" w:sz="6" w:space="0" w:color="auto"/>
                      <w:bottom w:val="single" w:sz="6" w:space="0" w:color="auto"/>
                      <w:right w:val="single" w:sz="6" w:space="0" w:color="auto"/>
                    </w:tcBorders>
                    <w:hideMark/>
                  </w:tcPr>
                  <w:p>
                    <w:pPr>
                      <w:jc w:val="both"/>
                      <w:rPr>
                        <w:szCs w:val="24"/>
                        <w:lang w:val="en-US" w:eastAsia="lt-LT"/>
                      </w:rPr>
                    </w:pPr>
                    <w:r>
                      <w:rPr>
                        <w:szCs w:val="24"/>
                        <w:lang w:eastAsia="lt-LT"/>
                      </w:rPr>
                      <w:t xml:space="preserve">Vadovaujantis Direktyva </w:t>
                    </w:r>
                    <w:fldSimple w:instr="HYPERLINK http://eur-lex.europa.eu/legal-content/LIT/TXT/?uri=CELEX:32011L0092&amp;locale=lt \t _blank">
                      <w:r>
                        <w:rPr>
                          <w:szCs w:val="24"/>
                          <w:lang w:eastAsia="lt-LT"/>
                          <w:u w:val="single"/>
                          <w:color w:val="0000FF" w:themeColor="hyperlink"/>
                        </w:rPr>
                        <w:t>2011/92</w:t>
                      </w:r>
                    </w:fldSimple>
                    <w:r>
                      <w:rPr>
                        <w:szCs w:val="24"/>
                        <w:lang w:eastAsia="lt-LT"/>
                      </w:rPr>
                      <w:t>, turi būti atliktas planuojamos ūkinės veiklos PAV arba atranka dėl poveikio aplinkai, kai tokios procedūros turi būti atliktos pagal PAV įstatymo reikalavimus.</w:t>
                    </w:r>
                    <w:r>
                      <w:rPr>
                        <w:szCs w:val="24"/>
                        <w:lang w:val="en-US" w:eastAsia="lt-LT"/>
                      </w:rPr>
                      <w:t> </w:t>
                    </w:r>
                  </w:p>
                  <w:p>
                    <w:pPr>
                      <w:jc w:val="both"/>
                      <w:rPr>
                        <w:szCs w:val="24"/>
                        <w:lang w:val="en-US" w:eastAsia="lt-LT"/>
                      </w:rPr>
                    </w:pPr>
                    <w:r>
                      <w:rPr>
                        <w:szCs w:val="24"/>
                        <w:lang w:eastAsia="lt-LT"/>
                      </w:rPr>
                      <w:t xml:space="preserve">Ruošiant perdirbti ir perdirbant atliekas, galima naudoti vandenį, todėl turi būti vadovaujamasi 2021 m. birželio 4 d. Komisijos deleguotuoju reglamentu </w:t>
                    </w:r>
                    <w:fldSimple w:instr="HYPERLINK http://eur-lex.europa.eu/legal-content/LIT/TXT/?uri=CELEX:32021R2139&amp;locale=lt \t _blank">
                      <w:r>
                        <w:rPr>
                          <w:szCs w:val="24"/>
                          <w:lang w:eastAsia="lt-LT"/>
                          <w:u w:val="single"/>
                          <w:color w:val="0000FF" w:themeColor="hyperlink"/>
                        </w:rPr>
                        <w:t>(ES) 2021/2139</w:t>
                      </w:r>
                    </w:fldSimple>
                    <w:r>
                      <w:rPr>
                        <w:szCs w:val="24"/>
                        <w:lang w:eastAsia="lt-LT"/>
                      </w:rPr>
                      <w:t xml:space="preserve">, kuriuo Europos Parlamento ir Tarybos reglamentas </w:t>
                    </w:r>
                    <w:fldSimple w:instr="HYPERLINK http://eur-lex.europa.eu/legal-content/LIT/TXT/?uri=CELEX:32020R0852&amp;locale=lt \t _blank">
                      <w:r>
                        <w:rPr>
                          <w:szCs w:val="24"/>
                          <w:lang w:eastAsia="lt-LT"/>
                          <w:u w:val="single"/>
                          <w:color w:val="0000FF" w:themeColor="hyperlink"/>
                        </w:rPr>
                        <w:t>(ES) 2020/852</w:t>
                      </w:r>
                    </w:fldSimple>
                    <w:r>
                      <w:rPr>
                        <w:szCs w:val="24"/>
                        <w:lang w:eastAsia="lt-LT"/>
                      </w:rPr>
                      <w:t xml:space="preserve"> papildomas nustatant techninės analizės kriterijus, pagal kuriuos nustatoma, kokiomis sąlygomis ekonominė veikla laikoma svariai prisidedančia prie klimato kaitos švelninimo arba prisitaikymo prie jos ir ar ta ekonominė veikla nedaro reikšmingos žalos kitiems aplinkos tikslams (toliau – Reglamentas </w:t>
                    </w:r>
                    <w:fldSimple w:instr="HYPERLINK http://eur-lex.europa.eu/legal-content/LIT/TXT/?uri=CELEX:32021R2139&amp;locale=lt \t _blank">
                      <w:r>
                        <w:rPr>
                          <w:szCs w:val="24"/>
                          <w:lang w:eastAsia="lt-LT"/>
                          <w:u w:val="single"/>
                          <w:color w:val="0000FF" w:themeColor="hyperlink"/>
                        </w:rPr>
                        <w:t>2021/2139</w:t>
                      </w:r>
                    </w:fldSimple>
                    <w:r>
                      <w:rPr>
                        <w:szCs w:val="24"/>
                        <w:lang w:eastAsia="lt-LT"/>
                      </w:rPr>
                      <w:t>).</w:t>
                    </w:r>
                    <w:r>
                      <w:rPr>
                        <w:szCs w:val="24"/>
                        <w:lang w:val="en-US" w:eastAsia="lt-LT"/>
                      </w:rPr>
                      <w:t> </w:t>
                    </w:r>
                  </w:p>
                </w:tc>
                <w:tc>
                  <w:tcPr>
                    <w:tcW w:w="4073" w:type="dxa"/>
                    <w:tcBorders>
                      <w:top w:val="single" w:sz="6" w:space="0" w:color="auto"/>
                      <w:left w:val="single" w:sz="6" w:space="0" w:color="auto"/>
                      <w:bottom w:val="single" w:sz="6" w:space="0" w:color="auto"/>
                      <w:right w:val="single" w:sz="6" w:space="0" w:color="auto"/>
                    </w:tcBorders>
                    <w:hideMark/>
                  </w:tcPr>
                  <w:p>
                    <w:pPr>
                      <w:jc w:val="both"/>
                      <w:rPr>
                        <w:szCs w:val="24"/>
                        <w:lang w:val="en-US" w:eastAsia="lt-LT"/>
                      </w:rPr>
                    </w:pPr>
                    <w:r>
                      <w:rPr>
                        <w:szCs w:val="24"/>
                        <w:lang w:eastAsia="lt-LT"/>
                      </w:rPr>
                      <w:t>Jeigu vadovaujantis PAV įstatymu reikia atlikti planuojamos ūkinės veiklos PAV ar atrankos dėl planuojamos ūkinės veiklos PAV procedūras, pareiškėjas ne vėliau kaip per 2 mėnesius nuo projekto sutarties pasirašymo dienos administruojančiajai institucijai turi pateikti atsakingosios institucijos sprendimą dėl PAV, pagal kurį planuojama ūkinė veikla atitinka teisės aktų reikalavimus ir nedarys neigiamo reikšmingo poveikio aplinkai, ar atrankos išvadą, kad PAV neprivalomas.</w:t>
                    </w:r>
                    <w:r>
                      <w:rPr>
                        <w:szCs w:val="24"/>
                        <w:lang w:val="en-US" w:eastAsia="lt-LT"/>
                      </w:rPr>
                      <w:t> </w:t>
                    </w:r>
                  </w:p>
                  <w:p>
                    <w:pPr>
                      <w:jc w:val="both"/>
                      <w:rPr>
                        <w:szCs w:val="24"/>
                        <w:lang w:val="en-US" w:eastAsia="lt-LT"/>
                      </w:rPr>
                    </w:pPr>
                    <w:r>
                      <w:rPr>
                        <w:szCs w:val="24"/>
                        <w:lang w:eastAsia="lt-LT"/>
                      </w:rPr>
                      <w:t xml:space="preserve">Jeigu vadovaujantis PAV įstatymu  planuojamos ūkinės veiklos PAV neatliekamas,  pareiškėjas su PĮP administruojančiajai institucijai turi pateikti deklaraciją su paaiškinimu, kaip įgyvendinant projektą sukurti pajėgumai padės prisitaikyti prie klimato kaitos. </w:t>
                    </w:r>
                  </w:p>
                </w:tc>
              </w:tr>
              <w:tr>
                <w:trPr>
                  <w:trHeight w:val="300"/>
                </w:trPr>
                <w:tc>
                  <w:tcPr>
                    <w:tcW w:w="1596"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szCs w:val="24"/>
                        <w:lang w:eastAsia="lt-LT"/>
                      </w:rPr>
                      <w:t>3.</w:t>
                      <w:tab/>
                      <w:t>Tausus vandens ir jūrų išteklių naudojimas ir apsauga </w:t>
                    </w:r>
                  </w:p>
                </w:tc>
                <w:tc>
                  <w:tcPr>
                    <w:tcW w:w="4404"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szCs w:val="24"/>
                        <w:lang w:eastAsia="lt-LT"/>
                      </w:rPr>
                      <w:t xml:space="preserve">Vadovaujantis Direktyva </w:t>
                    </w:r>
                    <w:fldSimple w:instr="HYPERLINK http://eur-lex.europa.eu/legal-content/LIT/TXT/?uri=CELEX:32011L0092&amp;locale=lt \t _blank">
                      <w:r>
                        <w:rPr>
                          <w:szCs w:val="24"/>
                          <w:lang w:eastAsia="lt-LT"/>
                          <w:u w:val="single"/>
                          <w:color w:val="0000FF" w:themeColor="hyperlink"/>
                        </w:rPr>
                        <w:t>2011/92</w:t>
                      </w:r>
                    </w:fldSimple>
                    <w:r>
                      <w:rPr>
                        <w:szCs w:val="24"/>
                        <w:lang w:eastAsia="lt-LT"/>
                      </w:rPr>
                      <w:t>, turi būti atliktas planuojamos ūkinės veiklos PAV arba atranka dėl poveikio aplinkai, kai tokios procedūros turi būti atliktos pagal PAV įstatymo reikalavimus. </w:t>
                    </w:r>
                  </w:p>
                  <w:p>
                    <w:pPr>
                      <w:jc w:val="both"/>
                      <w:rPr>
                        <w:szCs w:val="24"/>
                        <w:lang w:eastAsia="lt-LT"/>
                      </w:rPr>
                    </w:pPr>
                    <w:r>
                      <w:rPr>
                        <w:szCs w:val="24"/>
                        <w:lang w:eastAsia="lt-LT"/>
                      </w:rPr>
                      <w:t xml:space="preserve">Ruošiant perdirbti ir perdirbant atliekas, galima naudoti vandenį, todėl turi būti vadovaujamasi Deleguotuoju Reglamentu </w:t>
                    </w:r>
                    <w:fldSimple w:instr="HYPERLINK http://eur-lex.europa.eu/legal-content/LIT/TXT/?uri=CELEX:32021R2139&amp;locale=lt \t _blank">
                      <w:r>
                        <w:rPr>
                          <w:szCs w:val="24"/>
                          <w:lang w:eastAsia="lt-LT"/>
                          <w:u w:val="single"/>
                          <w:color w:val="0000FF" w:themeColor="hyperlink"/>
                        </w:rPr>
                        <w:t>2021/2139</w:t>
                      </w:r>
                    </w:fldSimple>
                    <w:r>
                      <w:rPr>
                        <w:szCs w:val="24"/>
                        <w:lang w:eastAsia="lt-LT"/>
                      </w:rPr>
                      <w:t>. </w:t>
                    </w:r>
                  </w:p>
                </w:tc>
                <w:tc>
                  <w:tcPr>
                    <w:tcW w:w="4073"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szCs w:val="24"/>
                        <w:lang w:eastAsia="lt-LT"/>
                      </w:rPr>
                      <w:t>Jeigu vadovaujantis PAV įstatymu reikia atlikti planuojamos ūkinės veiklos PAV ar atrankos dėl planuojamos ūkinės veiklos PAV procedūras, pareiškėjas ne vėliau kaip per 2 mėnesius nuo projekto sutarties pasirašymo dienos administruojančiajai institucijai turi pateikti atsakingosios institucijos sprendimą dėl PAV, pagal kurį planuojama ūkinė veikla atitinka teisės aktų reikalavimus ir nedarys neigiamo reikšmingo poveikio aplinkai, ar atrankos išvadą, kad PAV neprivalomas. </w:t>
                    </w:r>
                  </w:p>
                  <w:p>
                    <w:pPr>
                      <w:jc w:val="both"/>
                      <w:rPr>
                        <w:szCs w:val="24"/>
                        <w:lang w:eastAsia="lt-LT"/>
                      </w:rPr>
                    </w:pPr>
                    <w:r>
                      <w:rPr>
                        <w:szCs w:val="24"/>
                        <w:lang w:eastAsia="lt-LT"/>
                      </w:rPr>
                      <w:t>Jeigu vadovaujantis PAV įstatymu  planuojamos ūkinės veiklos PAV neatliekamas,  pareiškėjas su PĮP administruojančiajai institucijai turi pateikti deklaraciją su paaiškinimu, kaip įgyvendinant projektą sukurti pajėgumai prisidės prie tausaus vandens ir jūrų išteklių naudojimo ir apsaugos.</w:t>
                    </w:r>
                  </w:p>
                </w:tc>
              </w:tr>
              <w:tr>
                <w:trPr>
                  <w:trHeight w:val="300"/>
                </w:trPr>
                <w:tc>
                  <w:tcPr>
                    <w:tcW w:w="1596"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szCs w:val="24"/>
                        <w:lang w:eastAsia="lt-LT"/>
                      </w:rPr>
                      <w:t>4.</w:t>
                      <w:tab/>
                      <w:t>Perėjimas prie žiedinės ekonomikos, įskaitant atliekų prevenciją ir perdirbimą </w:t>
                    </w:r>
                  </w:p>
                </w:tc>
                <w:tc>
                  <w:tcPr>
                    <w:tcW w:w="4404"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lang w:eastAsia="lt-LT"/>
                      </w:rPr>
                      <w:t>Veiksmas skirtas plėtoti atliekų paruošimo perdirbti ir perdirbimo pajėgumus, t. y. tiesiogiai įgyvendina šį aplinkos tikslą, todėl vertintinas tik kaip teigiamą poveikį turintis veiksmas, nedarantis žalos. </w:t>
                    </w:r>
                  </w:p>
                  <w:p>
                    <w:pPr>
                      <w:jc w:val="both"/>
                      <w:rPr>
                        <w:szCs w:val="24"/>
                        <w:lang w:eastAsia="lt-LT"/>
                      </w:rPr>
                    </w:pPr>
                    <w:r>
                      <w:rPr>
                        <w:szCs w:val="24"/>
                        <w:lang w:eastAsia="lt-LT"/>
                      </w:rPr>
                      <w:t xml:space="preserve">Perdirbimo pajėgumų plėtra bus vykdoma atlikus PAV procedūras vadovaujantis Direktyva </w:t>
                    </w:r>
                    <w:fldSimple w:instr="HYPERLINK http://eur-lex.europa.eu/legal-content/LIT/TXT/?uri=CELEX:32011L0092&amp;locale=lt \t _blank">
                      <w:r>
                        <w:rPr>
                          <w:szCs w:val="24"/>
                          <w:lang w:eastAsia="lt-LT"/>
                          <w:u w:val="single"/>
                          <w:color w:val="0000FF" w:themeColor="hyperlink"/>
                        </w:rPr>
                        <w:t>2011/92</w:t>
                      </w:r>
                    </w:fldSimple>
                    <w:r>
                      <w:rPr>
                        <w:szCs w:val="24"/>
                        <w:lang w:eastAsia="lt-LT"/>
                      </w:rPr>
                      <w:t>. </w:t>
                    </w:r>
                  </w:p>
                  <w:p>
                    <w:pPr>
                      <w:jc w:val="both"/>
                      <w:rPr>
                        <w:szCs w:val="24"/>
                        <w:lang w:eastAsia="lt-LT"/>
                      </w:rPr>
                    </w:pPr>
                    <w:r>
                      <w:rPr>
                        <w:szCs w:val="24"/>
                        <w:lang w:eastAsia="lt-LT"/>
                      </w:rPr>
                      <w:t>Atliekų perdirbimo ar panaudojimo metu išsaugomi ištekliai pakeičia gamtinius išteklius, kurie turėtų būti išgaunami. </w:t>
                    </w:r>
                  </w:p>
                </w:tc>
                <w:tc>
                  <w:tcPr>
                    <w:tcW w:w="4073"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szCs w:val="24"/>
                        <w:lang w:eastAsia="lt-LT"/>
                      </w:rPr>
                      <w:t>Jeigu vadovaujantis PAV įstatymu reikia atlikti planuojamos ūkinės veiklos PAV ar atrankos dėl planuojamos ūkinės veiklos PAV procedūras, pareiškėjas ne vėliau kaip per 2 mėnesius nuo projekto sutarties pasirašymo dienos administruojančiajai institucijai turi pateikti atsakingosios institucijos sprendimą dėl PAV, pagal kurį planuojama ūkinė veikla atitinka teisės aktų reikalavimus ir nedarys neigiamo reikšmingo poveikio aplinkai, ar atrankos išvadą, kad PAV neprivalomas. </w:t>
                    </w:r>
                  </w:p>
                  <w:p>
                    <w:pPr>
                      <w:jc w:val="both"/>
                      <w:rPr>
                        <w:szCs w:val="24"/>
                        <w:lang w:eastAsia="lt-LT"/>
                      </w:rPr>
                    </w:pPr>
                    <w:r>
                      <w:rPr>
                        <w:szCs w:val="24"/>
                        <w:lang w:eastAsia="lt-LT"/>
                      </w:rPr>
                      <w:t>Jeigu vadovaujantis PAV įstatymu  planuojamos ūkinės veiklos PAV neatliekamas,  pareiškėjas su PĮP administruojančiajai institucijai turi pateikti deklaraciją su paaiškinimu, kaip įgyvendinant projektą sukurti pajėgumai padės pereiti prie žiedinės ekonomikos, įskaitant atliekų prevenciją ir perdirbimą.</w:t>
                    </w:r>
                  </w:p>
                </w:tc>
              </w:tr>
              <w:tr>
                <w:trPr>
                  <w:trHeight w:val="300"/>
                </w:trPr>
                <w:tc>
                  <w:tcPr>
                    <w:tcW w:w="1596" w:type="dxa"/>
                    <w:tcBorders>
                      <w:top w:val="single" w:sz="6" w:space="0" w:color="auto"/>
                      <w:left w:val="single" w:sz="6" w:space="0" w:color="auto"/>
                      <w:bottom w:val="single" w:sz="6" w:space="0" w:color="auto"/>
                      <w:right w:val="single" w:sz="6" w:space="0" w:color="auto"/>
                    </w:tcBorders>
                    <w:hideMark/>
                  </w:tcPr>
                  <w:p>
                    <w:pPr>
                      <w:jc w:val="both"/>
                      <w:rPr>
                        <w:szCs w:val="24"/>
                        <w:lang w:val="sv-SE" w:eastAsia="lt-LT"/>
                      </w:rPr>
                    </w:pPr>
                    <w:r>
                      <w:rPr>
                        <w:szCs w:val="24"/>
                        <w:lang w:eastAsia="lt-LT"/>
                      </w:rPr>
                      <w:t>5.</w:t>
                    </w:r>
                    <w:r>
                      <w:rPr>
                        <w:szCs w:val="24"/>
                        <w:lang w:val="sv-SE" w:eastAsia="lt-LT"/>
                      </w:rPr>
                      <w:tab/>
                    </w:r>
                    <w:r>
                      <w:rPr>
                        <w:szCs w:val="24"/>
                        <w:lang w:eastAsia="lt-LT"/>
                      </w:rPr>
                      <w:t>Oro, vandens ar žemės taršos prevencija ir kontrolė</w:t>
                    </w:r>
                    <w:r>
                      <w:rPr>
                        <w:szCs w:val="24"/>
                        <w:lang w:val="sv-SE" w:eastAsia="lt-LT"/>
                      </w:rPr>
                      <w:t> </w:t>
                    </w:r>
                  </w:p>
                </w:tc>
                <w:tc>
                  <w:tcPr>
                    <w:tcW w:w="4404" w:type="dxa"/>
                    <w:tcBorders>
                      <w:top w:val="single" w:sz="6" w:space="0" w:color="auto"/>
                      <w:left w:val="single" w:sz="6" w:space="0" w:color="auto"/>
                      <w:bottom w:val="single" w:sz="6" w:space="0" w:color="auto"/>
                      <w:right w:val="single" w:sz="6" w:space="0" w:color="auto"/>
                    </w:tcBorders>
                    <w:hideMark/>
                  </w:tcPr>
                  <w:p>
                    <w:pPr>
                      <w:jc w:val="both"/>
                      <w:rPr>
                        <w:lang w:val="sv-SE" w:eastAsia="lt-LT"/>
                      </w:rPr>
                    </w:pPr>
                    <w:r>
                      <w:rPr>
                        <w:lang w:eastAsia="lt-LT"/>
                      </w:rPr>
                      <w:t>Šiuolaikiniai atliekų paruošimo perdirbti ir perdirbimo pajėgumai užtikrina, kad oras, vanduo, žemė nebūtų teršiami arba tarša minimali (oro – dėl paruošimo perdirbti ir perdirbimo metu išsiskiriančių dujų, kurių visiškai išvengti neįmanoma), todėl neigiamo poveikio veikla nedarys arba jis bus nereikšmingas, palyginti su žala, kuri galėtų atsirasti be šios veiklos.</w:t>
                    </w:r>
                    <w:r>
                      <w:rPr>
                        <w:lang w:val="sv-SE" w:eastAsia="lt-LT"/>
                      </w:rPr>
                      <w:t> </w:t>
                    </w:r>
                  </w:p>
                  <w:p>
                    <w:pPr>
                      <w:jc w:val="both"/>
                      <w:rPr>
                        <w:szCs w:val="24"/>
                        <w:lang w:val="sv-SE" w:eastAsia="lt-LT"/>
                      </w:rPr>
                    </w:pPr>
                    <w:r>
                      <w:rPr>
                        <w:szCs w:val="24"/>
                        <w:lang w:eastAsia="lt-LT"/>
                      </w:rPr>
                      <w:t>Atliekų perdirbimas ir panaudojimas leidžia išvengti žalos, kuri galėtų atsirasti be šios veiklos – taršos filtratų ir juose esančių teršalų (įvairių metalų (Zn, Pb, Cu, As), druskų, organinių teršalų, įskaitant patvariuosius organinius teršalus (POT)), eutrofikacijos dėl maistinių medžiagų, degalų, tepalų ir pan. skysčių patekimo į žemę, paviršinius ir požeminius vandenis, oro tarša sąvartynų dujomis, transporto ir sąvartynuose veikiančių mechanizmų sukeliama oro tarša šalinant atliekas sąvartynuose, oro tarša saugant ir ruošiant atliekas deginti, deginimo metu galimos taršos SO</w:t>
                    </w:r>
                    <w:r>
                      <w:rPr>
                        <w:szCs w:val="24"/>
                        <w:vertAlign w:val="subscript"/>
                        <w:lang w:eastAsia="lt-LT"/>
                      </w:rPr>
                      <w:t>2</w:t>
                    </w:r>
                    <w:r>
                      <w:rPr>
                        <w:szCs w:val="24"/>
                        <w:lang w:eastAsia="lt-LT"/>
                      </w:rPr>
                      <w:t>, NOx, HF, HCl, LOJ, CO, N</w:t>
                    </w:r>
                    <w:r>
                      <w:rPr>
                        <w:szCs w:val="24"/>
                        <w:vertAlign w:val="subscript"/>
                        <w:lang w:eastAsia="lt-LT"/>
                      </w:rPr>
                      <w:t>2</w:t>
                    </w:r>
                    <w:r>
                      <w:rPr>
                        <w:szCs w:val="24"/>
                        <w:lang w:eastAsia="lt-LT"/>
                      </w:rPr>
                      <w:t>O medžiagomis, šių teršalų nusėdimo į žemę ir vandenį, vandens teršalų išsiplovimo iš šlako ir pelenų. </w:t>
                    </w:r>
                    <w:r>
                      <w:rPr>
                        <w:szCs w:val="24"/>
                        <w:lang w:val="sv-SE" w:eastAsia="lt-LT"/>
                      </w:rPr>
                      <w:t> </w:t>
                    </w:r>
                  </w:p>
                  <w:p>
                    <w:pPr>
                      <w:jc w:val="both"/>
                      <w:rPr>
                        <w:szCs w:val="24"/>
                        <w:lang w:val="sv-SE" w:eastAsia="lt-LT"/>
                      </w:rPr>
                    </w:pPr>
                    <w:r>
                      <w:rPr>
                        <w:szCs w:val="24"/>
                        <w:lang w:eastAsia="lt-LT"/>
                      </w:rPr>
                      <w:t>Perdirbus atliekas jos bus naudojamos kaip antrinė žaliava kitų produktų gamybai, todėl mažiau reikia pirminių žaliavų, kurių gavyba teršia aplinką, tai irgi teigiamai paveiks oro, vandens ir žemės švarą.</w:t>
                    </w:r>
                    <w:r>
                      <w:rPr>
                        <w:szCs w:val="24"/>
                        <w:lang w:val="sv-SE" w:eastAsia="lt-LT"/>
                      </w:rPr>
                      <w:t> </w:t>
                    </w:r>
                  </w:p>
                  <w:p>
                    <w:pPr>
                      <w:jc w:val="both"/>
                      <w:rPr>
                        <w:szCs w:val="24"/>
                        <w:lang w:val="sv-SE" w:eastAsia="lt-LT"/>
                      </w:rPr>
                    </w:pPr>
                    <w:r>
                      <w:rPr>
                        <w:szCs w:val="24"/>
                        <w:lang w:eastAsia="lt-LT"/>
                      </w:rPr>
                      <w:t>Apibendrinus tai, kas išdėstyta, daroma išvada, kad veikla tiesiogiai gerina oro, vandens ir žemės apsaugą, galima tarša dėl atliekų perdirbimo galima tik avarijų (techninis ir žmogiškasis faktoriai) ir (arba) nesilaikant atliekų paruošimo perdirbti ir perdirbimo proceso reikalavimų (žmogiškasis faktorius). </w:t>
                    </w:r>
                    <w:r>
                      <w:rPr>
                        <w:szCs w:val="24"/>
                        <w:lang w:val="sv-SE" w:eastAsia="lt-LT"/>
                      </w:rPr>
                      <w:t> </w:t>
                    </w:r>
                  </w:p>
                </w:tc>
                <w:tc>
                  <w:tcPr>
                    <w:tcW w:w="4073" w:type="dxa"/>
                    <w:tcBorders>
                      <w:top w:val="single" w:sz="6" w:space="0" w:color="auto"/>
                      <w:left w:val="single" w:sz="6" w:space="0" w:color="auto"/>
                      <w:bottom w:val="single" w:sz="6" w:space="0" w:color="auto"/>
                      <w:right w:val="single" w:sz="6" w:space="0" w:color="auto"/>
                    </w:tcBorders>
                    <w:hideMark/>
                  </w:tcPr>
                  <w:p>
                    <w:pPr>
                      <w:jc w:val="both"/>
                      <w:rPr>
                        <w:szCs w:val="24"/>
                        <w:lang w:val="en-US" w:eastAsia="lt-LT"/>
                      </w:rPr>
                    </w:pPr>
                    <w:r>
                      <w:rPr>
                        <w:szCs w:val="24"/>
                        <w:lang w:eastAsia="lt-LT"/>
                      </w:rPr>
                      <w:t>Pagrindimo dokumentai neteikiami.</w:t>
                    </w:r>
                    <w:r>
                      <w:rPr>
                        <w:szCs w:val="24"/>
                        <w:lang w:val="en-US" w:eastAsia="lt-LT"/>
                      </w:rPr>
                      <w:t> </w:t>
                    </w:r>
                  </w:p>
                  <w:p>
                    <w:pPr>
                      <w:ind w:firstLine="62"/>
                      <w:jc w:val="both"/>
                      <w:rPr>
                        <w:szCs w:val="24"/>
                        <w:lang w:val="en-US" w:eastAsia="lt-LT"/>
                      </w:rPr>
                    </w:pPr>
                  </w:p>
                </w:tc>
              </w:tr>
              <w:tr>
                <w:trPr>
                  <w:trHeight w:val="300"/>
                </w:trPr>
                <w:tc>
                  <w:tcPr>
                    <w:tcW w:w="1596" w:type="dxa"/>
                    <w:tcBorders>
                      <w:top w:val="single" w:sz="6" w:space="0" w:color="auto"/>
                      <w:left w:val="single" w:sz="6" w:space="0" w:color="auto"/>
                      <w:bottom w:val="single" w:sz="6" w:space="0" w:color="auto"/>
                      <w:right w:val="single" w:sz="6" w:space="0" w:color="auto"/>
                    </w:tcBorders>
                    <w:hideMark/>
                  </w:tcPr>
                  <w:p>
                    <w:pPr>
                      <w:jc w:val="both"/>
                      <w:rPr>
                        <w:szCs w:val="24"/>
                        <w:lang w:eastAsia="lt-LT"/>
                      </w:rPr>
                    </w:pPr>
                    <w:r>
                      <w:rPr>
                        <w:szCs w:val="24"/>
                        <w:lang w:eastAsia="lt-LT"/>
                      </w:rPr>
                      <w:t>6.</w:t>
                      <w:tab/>
                      <w:t>Biologinės įvairovės ir ekosistemų apsauga ir atkūrimas </w:t>
                    </w:r>
                  </w:p>
                </w:tc>
                <w:tc>
                  <w:tcPr>
                    <w:tcW w:w="4404" w:type="dxa"/>
                    <w:tcBorders>
                      <w:top w:val="single" w:sz="6" w:space="0" w:color="auto"/>
                      <w:left w:val="single" w:sz="6" w:space="0" w:color="auto"/>
                      <w:bottom w:val="single" w:sz="6" w:space="0" w:color="auto"/>
                      <w:right w:val="single" w:sz="6" w:space="0" w:color="auto"/>
                    </w:tcBorders>
                    <w:hideMark/>
                  </w:tcPr>
                  <w:p>
                    <w:pPr>
                      <w:jc w:val="both"/>
                      <w:rPr>
                        <w:lang w:eastAsia="lt-LT"/>
                      </w:rPr>
                    </w:pPr>
                    <w:r>
                      <w:rPr>
                        <w:lang w:eastAsia="lt-LT"/>
                      </w:rPr>
                      <w:t>Veikla tiesioginio neigiamo poveikio natūralioms buveinėms ir biologinei įvairovei (įskaitant pasekmes gyvūnijai ir augalijai) nekelia, nes saugomose, jautriose aplinkai teritorijose neleidžiama statyti atliekų tvarkymo įrenginių. </w:t>
                    </w:r>
                  </w:p>
                </w:tc>
                <w:tc>
                  <w:tcPr>
                    <w:tcW w:w="4073" w:type="dxa"/>
                    <w:tcBorders>
                      <w:top w:val="single" w:sz="6" w:space="0" w:color="auto"/>
                      <w:left w:val="single" w:sz="6" w:space="0" w:color="auto"/>
                      <w:bottom w:val="single" w:sz="6" w:space="0" w:color="auto"/>
                      <w:right w:val="single" w:sz="6" w:space="0" w:color="auto"/>
                    </w:tcBorders>
                    <w:hideMark/>
                  </w:tcPr>
                  <w:p>
                    <w:pPr>
                      <w:jc w:val="both"/>
                      <w:rPr>
                        <w:szCs w:val="24"/>
                        <w:lang w:val="en-US" w:eastAsia="lt-LT"/>
                      </w:rPr>
                    </w:pPr>
                    <w:r>
                      <w:rPr>
                        <w:szCs w:val="24"/>
                        <w:lang w:eastAsia="lt-LT"/>
                      </w:rPr>
                      <w:t>Pagrindimo dokumentai neteikiami.“</w:t>
                    </w:r>
                    <w:r>
                      <w:rPr>
                        <w:szCs w:val="24"/>
                        <w:lang w:val="en-US" w:eastAsia="lt-LT"/>
                      </w:rPr>
                      <w:t> </w:t>
                    </w:r>
                  </w:p>
                </w:tc>
              </w:tr>
            </w:tbl>
            <w:p>
              <w:pPr>
                <w:ind w:firstLine="450"/>
                <w:jc w:val="both"/>
                <w:rPr>
                  <w:szCs w:val="24"/>
                  <w:lang w:eastAsia="lt-LT"/>
                </w:rPr>
              </w:pPr>
            </w:p>
          </w:sdtContent>
        </w:sdt>
        <w:sdt>
          <w:sdtPr>
            <w:alias w:val="signatura"/>
            <w:tag w:val="part_4befd915ea3e400ab3a05ef95ea8a1b1"/>
            <w:lock w:val="sdtLocked"/>
            <w:richText/>
          </w:sdtPr>
          <w:sdtContent>
            <w:p>
              <w:pPr>
                <w:tabs>
                  <w:tab w:val="left" w:pos="7797"/>
                </w:tabs>
                <w:ind w:left="-426" w:right="30" w:firstLine="142"/>
                <w:textAlignment w:val="baseline"/>
                <w:rPr>
                  <w:szCs w:val="24"/>
                  <w:lang w:eastAsia="lt-LT"/>
                </w:rPr>
              </w:pPr>
              <w:r>
                <w:rPr>
                  <w:szCs w:val="24"/>
                  <w:lang w:eastAsia="lt-LT"/>
                </w:rPr>
                <w:t xml:space="preserve">Aplinkos ministras                                                  </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zh-CN"/>
        </w:rPr>
      </w:pPr>
      <w:r>
        <w:rPr>
          <w:lang w:eastAsia="zh-CN"/>
        </w:rPr>
        <w:separator/>
      </w:r>
    </w:p>
  </w:endnote>
  <w:endnote w:type="continuationSeparator" w:id="0">
    <w:p>
      <w:pPr>
        <w:suppressAutoHyphens/>
        <w:rPr>
          <w:lang w:eastAsia="zh-CN"/>
        </w:rPr>
      </w:pPr>
      <w:r>
        <w:rPr>
          <w:lang w:eastAsia="zh-CN"/>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5002EFF" w:usb1="C000E47F" w:usb2="00000029" w:usb3="00000000" w:csb0="000001FF" w:csb1="00000000"/>
  </w:font>
  <w:font w:name="Cambria Math">
    <w:panose1 w:val="02040503050406030204"/>
    <w:charset w:val="01"/>
    <w:family w:val="roman"/>
    <w:pitch w:val="variable"/>
    <w:sig w:usb0="E00002FF" w:usb1="420024FF" w:usb2="00000000"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zh-CN"/>
        </w:rPr>
      </w:pPr>
      <w:r>
        <w:rPr>
          <w:lang w:eastAsia="zh-CN"/>
        </w:rPr>
        <w:separator/>
      </w:r>
    </w:p>
  </w:footnote>
  <w:footnote w:type="continuationSeparator" w:id="0">
    <w:p>
      <w:pPr>
        <w:suppressAutoHyphens/>
        <w:rPr>
          <w:lang w:eastAsia="zh-CN"/>
        </w:rPr>
      </w:pPr>
      <w:r>
        <w:rPr>
          <w:lang w:eastAsia="zh-CN"/>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pPr>
    <w:r>
      <w:fldChar w:fldCharType="begin"/>
    </w:r>
    <w:r>
      <w:instrText>PAGE   \* MERGEFORMAT</w:instrText>
    </w:r>
    <w:r>
      <w:fldChar w:fldCharType="separate"/>
    </w:r>
    <w:r>
      <w:t>6</w:t>
    </w:r>
    <w:r>
      <w:fldChar w:fldCharType="end"/>
    </w:r>
  </w:p>
  <w:p>
    <w:pPr>
      <w:tabs>
        <w:tab w:val="center" w:pos="4513"/>
        <w:tab w:val="right" w:pos="9026"/>
      </w:tabs>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B85"/>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5:docId w15:val="{0F72DCC6-B00A-4BC0-BC7A-6444AD37305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194005989">
      <w:bodyDiv w:val="1"/>
      <w:marLeft w:val="0"/>
      <w:marRight w:val="0"/>
      <w:marTop w:val="0"/>
      <w:marBottom w:val="0"/>
      <w:divBdr>
        <w:top w:val="none" w:sz="0" w:space="0" w:color="auto"/>
        <w:left w:val="none" w:sz="0" w:space="0" w:color="auto"/>
        <w:bottom w:val="none" w:sz="0" w:space="0" w:color="auto"/>
        <w:right w:val="none" w:sz="0" w:space="0" w:color="auto"/>
      </w:divBdr>
    </w:div>
    <w:div w:id="394087856">
      <w:bodyDiv w:val="1"/>
      <w:marLeft w:val="0"/>
      <w:marRight w:val="0"/>
      <w:marTop w:val="0"/>
      <w:marBottom w:val="0"/>
      <w:divBdr>
        <w:top w:val="none" w:sz="0" w:space="0" w:color="auto"/>
        <w:left w:val="none" w:sz="0" w:space="0" w:color="auto"/>
        <w:bottom w:val="none" w:sz="0" w:space="0" w:color="auto"/>
        <w:right w:val="none" w:sz="0" w:space="0" w:color="auto"/>
      </w:divBdr>
    </w:div>
    <w:div w:id="451705604">
      <w:bodyDiv w:val="1"/>
      <w:marLeft w:val="0"/>
      <w:marRight w:val="0"/>
      <w:marTop w:val="0"/>
      <w:marBottom w:val="0"/>
      <w:divBdr>
        <w:top w:val="none" w:sz="0" w:space="0" w:color="auto"/>
        <w:left w:val="none" w:sz="0" w:space="0" w:color="auto"/>
        <w:bottom w:val="none" w:sz="0" w:space="0" w:color="auto"/>
        <w:right w:val="none" w:sz="0" w:space="0" w:color="auto"/>
      </w:divBdr>
    </w:div>
    <w:div w:id="557202043">
      <w:bodyDiv w:val="1"/>
      <w:marLeft w:val="0"/>
      <w:marRight w:val="0"/>
      <w:marTop w:val="0"/>
      <w:marBottom w:val="0"/>
      <w:divBdr>
        <w:top w:val="none" w:sz="0" w:space="0" w:color="auto"/>
        <w:left w:val="none" w:sz="0" w:space="0" w:color="auto"/>
        <w:bottom w:val="none" w:sz="0" w:space="0" w:color="auto"/>
        <w:right w:val="none" w:sz="0" w:space="0" w:color="auto"/>
      </w:divBdr>
    </w:div>
    <w:div w:id="755439242">
      <w:bodyDiv w:val="1"/>
      <w:marLeft w:val="0"/>
      <w:marRight w:val="0"/>
      <w:marTop w:val="0"/>
      <w:marBottom w:val="0"/>
      <w:divBdr>
        <w:top w:val="none" w:sz="0" w:space="0" w:color="auto"/>
        <w:left w:val="none" w:sz="0" w:space="0" w:color="auto"/>
        <w:bottom w:val="none" w:sz="0" w:space="0" w:color="auto"/>
        <w:right w:val="none" w:sz="0" w:space="0" w:color="auto"/>
      </w:divBdr>
      <w:divsChild>
        <w:div w:id="1166439059">
          <w:marLeft w:val="0"/>
          <w:marRight w:val="0"/>
          <w:marTop w:val="0"/>
          <w:marBottom w:val="0"/>
          <w:divBdr>
            <w:top w:val="none" w:sz="0" w:space="0" w:color="auto"/>
            <w:left w:val="none" w:sz="0" w:space="0" w:color="auto"/>
            <w:bottom w:val="none" w:sz="0" w:space="0" w:color="auto"/>
            <w:right w:val="none" w:sz="0" w:space="0" w:color="auto"/>
          </w:divBdr>
          <w:divsChild>
            <w:div w:id="2047026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926503357">
      <w:bodyDiv w:val="1"/>
      <w:marLeft w:val="0"/>
      <w:marRight w:val="0"/>
      <w:marTop w:val="0"/>
      <w:marBottom w:val="0"/>
      <w:divBdr>
        <w:top w:val="none" w:sz="0" w:space="0" w:color="auto"/>
        <w:left w:val="none" w:sz="0" w:space="0" w:color="auto"/>
        <w:bottom w:val="none" w:sz="0" w:space="0" w:color="auto"/>
        <w:right w:val="none" w:sz="0" w:space="0" w:color="auto"/>
      </w:divBdr>
    </w:div>
    <w:div w:id="931430054">
      <w:bodyDiv w:val="1"/>
      <w:marLeft w:val="0"/>
      <w:marRight w:val="0"/>
      <w:marTop w:val="0"/>
      <w:marBottom w:val="0"/>
      <w:divBdr>
        <w:top w:val="none" w:sz="0" w:space="0" w:color="auto"/>
        <w:left w:val="none" w:sz="0" w:space="0" w:color="auto"/>
        <w:bottom w:val="none" w:sz="0" w:space="0" w:color="auto"/>
        <w:right w:val="none" w:sz="0" w:space="0" w:color="auto"/>
      </w:divBdr>
      <w:divsChild>
        <w:div w:id="589196502">
          <w:marLeft w:val="0"/>
          <w:marRight w:val="0"/>
          <w:marTop w:val="0"/>
          <w:marBottom w:val="0"/>
          <w:divBdr>
            <w:top w:val="none" w:sz="0" w:space="0" w:color="auto"/>
            <w:left w:val="none" w:sz="0" w:space="0" w:color="auto"/>
            <w:bottom w:val="none" w:sz="0" w:space="0" w:color="auto"/>
            <w:right w:val="none" w:sz="0" w:space="0" w:color="auto"/>
          </w:divBdr>
          <w:divsChild>
            <w:div w:id="1467118685">
              <w:marLeft w:val="0"/>
              <w:marRight w:val="0"/>
              <w:marTop w:val="0"/>
              <w:marBottom w:val="0"/>
              <w:divBdr>
                <w:top w:val="none" w:sz="0" w:space="0" w:color="auto"/>
                <w:left w:val="none" w:sz="0" w:space="0" w:color="auto"/>
                <w:bottom w:val="none" w:sz="0" w:space="0" w:color="auto"/>
                <w:right w:val="none" w:sz="0" w:space="0" w:color="auto"/>
              </w:divBdr>
            </w:div>
            <w:div w:id="1199270682">
              <w:marLeft w:val="0"/>
              <w:marRight w:val="0"/>
              <w:marTop w:val="0"/>
              <w:marBottom w:val="0"/>
              <w:divBdr>
                <w:top w:val="none" w:sz="0" w:space="0" w:color="auto"/>
                <w:left w:val="none" w:sz="0" w:space="0" w:color="auto"/>
                <w:bottom w:val="none" w:sz="0" w:space="0" w:color="auto"/>
                <w:right w:val="none" w:sz="0" w:space="0" w:color="auto"/>
              </w:divBdr>
            </w:div>
            <w:div w:id="1497961843">
              <w:marLeft w:val="0"/>
              <w:marRight w:val="0"/>
              <w:marTop w:val="0"/>
              <w:marBottom w:val="0"/>
              <w:divBdr>
                <w:top w:val="none" w:sz="0" w:space="0" w:color="auto"/>
                <w:left w:val="none" w:sz="0" w:space="0" w:color="auto"/>
                <w:bottom w:val="none" w:sz="0" w:space="0" w:color="auto"/>
                <w:right w:val="none" w:sz="0" w:space="0" w:color="auto"/>
              </w:divBdr>
            </w:div>
            <w:div w:id="933978455">
              <w:marLeft w:val="0"/>
              <w:marRight w:val="0"/>
              <w:marTop w:val="0"/>
              <w:marBottom w:val="0"/>
              <w:divBdr>
                <w:top w:val="none" w:sz="0" w:space="0" w:color="auto"/>
                <w:left w:val="none" w:sz="0" w:space="0" w:color="auto"/>
                <w:bottom w:val="none" w:sz="0" w:space="0" w:color="auto"/>
                <w:right w:val="none" w:sz="0" w:space="0" w:color="auto"/>
              </w:divBdr>
            </w:div>
            <w:div w:id="1876690822">
              <w:marLeft w:val="0"/>
              <w:marRight w:val="0"/>
              <w:marTop w:val="0"/>
              <w:marBottom w:val="0"/>
              <w:divBdr>
                <w:top w:val="none" w:sz="0" w:space="0" w:color="auto"/>
                <w:left w:val="none" w:sz="0" w:space="0" w:color="auto"/>
                <w:bottom w:val="none" w:sz="0" w:space="0" w:color="auto"/>
                <w:right w:val="none" w:sz="0" w:space="0" w:color="auto"/>
              </w:divBdr>
            </w:div>
          </w:divsChild>
        </w:div>
        <w:div w:id="2079814640">
          <w:marLeft w:val="0"/>
          <w:marRight w:val="0"/>
          <w:marTop w:val="0"/>
          <w:marBottom w:val="0"/>
          <w:divBdr>
            <w:top w:val="none" w:sz="0" w:space="0" w:color="auto"/>
            <w:left w:val="none" w:sz="0" w:space="0" w:color="auto"/>
            <w:bottom w:val="none" w:sz="0" w:space="0" w:color="auto"/>
            <w:right w:val="none" w:sz="0" w:space="0" w:color="auto"/>
          </w:divBdr>
        </w:div>
        <w:div w:id="1472359254">
          <w:marLeft w:val="0"/>
          <w:marRight w:val="0"/>
          <w:marTop w:val="0"/>
          <w:marBottom w:val="0"/>
          <w:divBdr>
            <w:top w:val="none" w:sz="0" w:space="0" w:color="auto"/>
            <w:left w:val="none" w:sz="0" w:space="0" w:color="auto"/>
            <w:bottom w:val="none" w:sz="0" w:space="0" w:color="auto"/>
            <w:right w:val="none" w:sz="0" w:space="0" w:color="auto"/>
          </w:divBdr>
        </w:div>
        <w:div w:id="1962952981">
          <w:marLeft w:val="0"/>
          <w:marRight w:val="0"/>
          <w:marTop w:val="0"/>
          <w:marBottom w:val="0"/>
          <w:divBdr>
            <w:top w:val="none" w:sz="0" w:space="0" w:color="auto"/>
            <w:left w:val="none" w:sz="0" w:space="0" w:color="auto"/>
            <w:bottom w:val="none" w:sz="0" w:space="0" w:color="auto"/>
            <w:right w:val="none" w:sz="0" w:space="0" w:color="auto"/>
          </w:divBdr>
          <w:divsChild>
            <w:div w:id="1840004987">
              <w:marLeft w:val="0"/>
              <w:marRight w:val="0"/>
              <w:marTop w:val="30"/>
              <w:marBottom w:val="30"/>
              <w:divBdr>
                <w:top w:val="none" w:sz="0" w:space="0" w:color="auto"/>
                <w:left w:val="none" w:sz="0" w:space="0" w:color="auto"/>
                <w:bottom w:val="none" w:sz="0" w:space="0" w:color="auto"/>
                <w:right w:val="none" w:sz="0" w:space="0" w:color="auto"/>
              </w:divBdr>
              <w:divsChild>
                <w:div w:id="1033069308">
                  <w:marLeft w:val="0"/>
                  <w:marRight w:val="0"/>
                  <w:marTop w:val="0"/>
                  <w:marBottom w:val="0"/>
                  <w:divBdr>
                    <w:top w:val="none" w:sz="0" w:space="0" w:color="auto"/>
                    <w:left w:val="none" w:sz="0" w:space="0" w:color="auto"/>
                    <w:bottom w:val="none" w:sz="0" w:space="0" w:color="auto"/>
                    <w:right w:val="none" w:sz="0" w:space="0" w:color="auto"/>
                  </w:divBdr>
                  <w:divsChild>
                    <w:div w:id="1854297452">
                      <w:marLeft w:val="0"/>
                      <w:marRight w:val="0"/>
                      <w:marTop w:val="0"/>
                      <w:marBottom w:val="0"/>
                      <w:divBdr>
                        <w:top w:val="none" w:sz="0" w:space="0" w:color="auto"/>
                        <w:left w:val="none" w:sz="0" w:space="0" w:color="auto"/>
                        <w:bottom w:val="none" w:sz="0" w:space="0" w:color="auto"/>
                        <w:right w:val="none" w:sz="0" w:space="0" w:color="auto"/>
                      </w:divBdr>
                    </w:div>
                  </w:divsChild>
                </w:div>
                <w:div w:id="1699160362">
                  <w:marLeft w:val="0"/>
                  <w:marRight w:val="0"/>
                  <w:marTop w:val="0"/>
                  <w:marBottom w:val="0"/>
                  <w:divBdr>
                    <w:top w:val="none" w:sz="0" w:space="0" w:color="auto"/>
                    <w:left w:val="none" w:sz="0" w:space="0" w:color="auto"/>
                    <w:bottom w:val="none" w:sz="0" w:space="0" w:color="auto"/>
                    <w:right w:val="none" w:sz="0" w:space="0" w:color="auto"/>
                  </w:divBdr>
                  <w:divsChild>
                    <w:div w:id="161622478">
                      <w:marLeft w:val="0"/>
                      <w:marRight w:val="0"/>
                      <w:marTop w:val="0"/>
                      <w:marBottom w:val="0"/>
                      <w:divBdr>
                        <w:top w:val="none" w:sz="0" w:space="0" w:color="auto"/>
                        <w:left w:val="none" w:sz="0" w:space="0" w:color="auto"/>
                        <w:bottom w:val="none" w:sz="0" w:space="0" w:color="auto"/>
                        <w:right w:val="none" w:sz="0" w:space="0" w:color="auto"/>
                      </w:divBdr>
                    </w:div>
                  </w:divsChild>
                </w:div>
                <w:div w:id="2113164950">
                  <w:marLeft w:val="0"/>
                  <w:marRight w:val="0"/>
                  <w:marTop w:val="0"/>
                  <w:marBottom w:val="0"/>
                  <w:divBdr>
                    <w:top w:val="none" w:sz="0" w:space="0" w:color="auto"/>
                    <w:left w:val="none" w:sz="0" w:space="0" w:color="auto"/>
                    <w:bottom w:val="none" w:sz="0" w:space="0" w:color="auto"/>
                    <w:right w:val="none" w:sz="0" w:space="0" w:color="auto"/>
                  </w:divBdr>
                  <w:divsChild>
                    <w:div w:id="1772623053">
                      <w:marLeft w:val="0"/>
                      <w:marRight w:val="0"/>
                      <w:marTop w:val="0"/>
                      <w:marBottom w:val="0"/>
                      <w:divBdr>
                        <w:top w:val="none" w:sz="0" w:space="0" w:color="auto"/>
                        <w:left w:val="none" w:sz="0" w:space="0" w:color="auto"/>
                        <w:bottom w:val="none" w:sz="0" w:space="0" w:color="auto"/>
                        <w:right w:val="none" w:sz="0" w:space="0" w:color="auto"/>
                      </w:divBdr>
                    </w:div>
                  </w:divsChild>
                </w:div>
                <w:div w:id="1903982590">
                  <w:marLeft w:val="0"/>
                  <w:marRight w:val="0"/>
                  <w:marTop w:val="0"/>
                  <w:marBottom w:val="0"/>
                  <w:divBdr>
                    <w:top w:val="none" w:sz="0" w:space="0" w:color="auto"/>
                    <w:left w:val="none" w:sz="0" w:space="0" w:color="auto"/>
                    <w:bottom w:val="none" w:sz="0" w:space="0" w:color="auto"/>
                    <w:right w:val="none" w:sz="0" w:space="0" w:color="auto"/>
                  </w:divBdr>
                  <w:divsChild>
                    <w:div w:id="141027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463692081">
      <w:bodyDiv w:val="1"/>
      <w:marLeft w:val="0"/>
      <w:marRight w:val="0"/>
      <w:marTop w:val="0"/>
      <w:marBottom w:val="0"/>
      <w:divBdr>
        <w:top w:val="none" w:sz="0" w:space="0" w:color="auto"/>
        <w:left w:val="none" w:sz="0" w:space="0" w:color="auto"/>
        <w:bottom w:val="none" w:sz="0" w:space="0" w:color="auto"/>
        <w:right w:val="none" w:sz="0" w:space="0" w:color="auto"/>
      </w:divBdr>
      <w:divsChild>
        <w:div w:id="1010646508">
          <w:marLeft w:val="0"/>
          <w:marRight w:val="0"/>
          <w:marTop w:val="0"/>
          <w:marBottom w:val="0"/>
          <w:divBdr>
            <w:top w:val="none" w:sz="0" w:space="0" w:color="auto"/>
            <w:left w:val="none" w:sz="0" w:space="0" w:color="auto"/>
            <w:bottom w:val="none" w:sz="0" w:space="0" w:color="auto"/>
            <w:right w:val="none" w:sz="0" w:space="0" w:color="auto"/>
          </w:divBdr>
        </w:div>
        <w:div w:id="846871798">
          <w:marLeft w:val="0"/>
          <w:marRight w:val="0"/>
          <w:marTop w:val="0"/>
          <w:marBottom w:val="0"/>
          <w:divBdr>
            <w:top w:val="none" w:sz="0" w:space="0" w:color="auto"/>
            <w:left w:val="none" w:sz="0" w:space="0" w:color="auto"/>
            <w:bottom w:val="none" w:sz="0" w:space="0" w:color="auto"/>
            <w:right w:val="none" w:sz="0" w:space="0" w:color="auto"/>
          </w:divBdr>
        </w:div>
        <w:div w:id="1256405978">
          <w:marLeft w:val="0"/>
          <w:marRight w:val="0"/>
          <w:marTop w:val="0"/>
          <w:marBottom w:val="0"/>
          <w:divBdr>
            <w:top w:val="none" w:sz="0" w:space="0" w:color="auto"/>
            <w:left w:val="none" w:sz="0" w:space="0" w:color="auto"/>
            <w:bottom w:val="none" w:sz="0" w:space="0" w:color="auto"/>
            <w:right w:val="none" w:sz="0" w:space="0" w:color="auto"/>
          </w:divBdr>
        </w:div>
        <w:div w:id="1128234627">
          <w:marLeft w:val="0"/>
          <w:marRight w:val="0"/>
          <w:marTop w:val="0"/>
          <w:marBottom w:val="0"/>
          <w:divBdr>
            <w:top w:val="none" w:sz="0" w:space="0" w:color="auto"/>
            <w:left w:val="none" w:sz="0" w:space="0" w:color="auto"/>
            <w:bottom w:val="none" w:sz="0" w:space="0" w:color="auto"/>
            <w:right w:val="none" w:sz="0" w:space="0" w:color="auto"/>
          </w:divBdr>
        </w:div>
        <w:div w:id="546262541">
          <w:marLeft w:val="0"/>
          <w:marRight w:val="0"/>
          <w:marTop w:val="0"/>
          <w:marBottom w:val="0"/>
          <w:divBdr>
            <w:top w:val="none" w:sz="0" w:space="0" w:color="auto"/>
            <w:left w:val="none" w:sz="0" w:space="0" w:color="auto"/>
            <w:bottom w:val="none" w:sz="0" w:space="0" w:color="auto"/>
            <w:right w:val="none" w:sz="0" w:space="0" w:color="auto"/>
          </w:divBdr>
        </w:div>
      </w:divsChild>
    </w:div>
    <w:div w:id="182920203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documentManagement>
    <SharedWithUsers xmlns="0379a545-9986-45d7-9e6d-3845025712a0">
      <UserInfo>
        <DisplayName>SharingLinks.3b0cf5d2-a53d-4c08-bcae-5f8963a68053.OrganizationEdit.7742fb6b-1c11-408f-8e38-0178e2eb8d72</DisplayName>
        <AccountId>2347</AccountId>
        <AccountType/>
      </UserInfo>
      <UserInfo>
        <DisplayName>Sigita Alčauskienė</DisplayName>
        <AccountId>97</AccountId>
        <AccountType/>
      </UserInfo>
      <UserInfo>
        <DisplayName>Eglė Tolvaišienė</DisplayName>
        <AccountId>3089</AccountId>
        <AccountType/>
      </UserInfo>
      <UserInfo>
        <DisplayName>Raimonda Juknaitė</DisplayName>
        <AccountId>26</AccountId>
        <AccountType/>
      </UserInfo>
    </SharedWithUsers>
    <lcf76f155ced4ddcb4097134ff3c332f xmlns="47c1ea38-b788-4873-88f4-3b1f34597b9a">
      <Terms xmlns="http://schemas.microsoft.com/office/infopath/2007/PartnerControls"/>
    </lcf76f155ced4ddcb4097134ff3c332f>
    <TaxCatchAll xmlns="0379a545-9986-45d7-9e6d-3845025712a0" xmlns:xsi="http://www.w3.org/2001/XMLSchema-instanc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327b48872ff6932eeb09353cc3bbdb0c">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bb1461692a08ce2aec186f0540e30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SelectedStyle="\APA.XSL" StyleName="APA"/>
</file>

<file path=customXml/item5.xml><?xml version="1.0" encoding="utf-8"?>
<Parts xmlns="http://lrs.lt/TAIS/DocParts">
  <Part Type="pagrindine" DocPartId="e4cbcb1e9d854871820cacf3f4dac8ec" PartId="9d20064cec844345b17262e3838cdd19">
    <Part Type="preambule" DocPartId="c1685fce57bb43139874035cc97592ce" PartId="56387e9a78b842f8934ce11d562a1a0f"/>
    <Part Type="punktas" Nr="1" Abbr="1 p." DocPartId="b4898dbfba2c4d2b9209471be01fdd1c" PartId="1524ab96c9c24359b19080ba0179b555">
      <Part Type="citata" DocPartId="c18e84b098f64fcaa4756851501067d2" PartId="7999e8d59237480483abed7aa159cff8">
        <Part Type="papunktis" Nr="2.1" Abbr="2.1 pp." DocPartId="eb765c7c4c294610ab5c8b6ef5ad75fc" PartId="b9eec5168d2745d8a43350b0ddf0cdea">
          <Part Type="papunktis" Nr="2.1.1" Abbr="2.1.1 pp." DocPartId="224e8a1808664d448cafee236c3621bd" PartId="9a124d00f8404ba5bfa564ac7c9fdd14"/>
          <Part Type="papunktis" Nr="2.1.2" Abbr="2.1.2 pp." DocPartId="9e88d1b660ba4f7bad246d80812bb0da" PartId="fc56ecf2403d4c7ba69a47048d838abb"/>
        </Part>
      </Part>
    </Part>
    <Part Type="punktas" Nr="2" Abbr="2 p." DocPartId="0836424180d14d9093a3a0dd8ce4de98" PartId="777f80a9f4be48d583ffff8962834c94">
      <Part Type="citata" DocPartId="4b406bc2055c4750835b752851c1b1d4" PartId="b581840541cc4779808858aed77893e9">
        <Part Type="papunktis" Nr="2.6" Abbr="2.6 pp." DocPartId="bc11297069ae4637ab4a27c0410ba2a0" PartId="fee1d8163ffe4bc4a486cf8e2348c543"/>
      </Part>
    </Part>
    <Part Type="punktas" Nr="3" Abbr="3 p." DocPartId="4579608f4bce447ab493be3565f239c6" PartId="d2298b003d67464b97279220f0b028d1"/>
    <Part Type="punktas" Nr="4" Abbr="4 p." DocPartId="16ac65a2db234047a773343d7745dd28" PartId="f2f2f28ea6d94a22ac6017b94cb805c4">
      <Part Type="citata" DocPartId="6561b400186640edba42d32af775fc97" PartId="ba9ec75b22674558924494933e518c95">
        <Part Type="papunktis" Nr="2.13" Abbr="2.13 pp." DocPartId="39448c12f3564990b374d738cbd00582" PartId="0b4f6e5cba824285b383f5ff72ba38ab"/>
      </Part>
    </Part>
    <Part Type="punktas" Nr="5" Abbr="5 p." DocPartId="a0745cd85f4e481fbaa37cff1fbf4ac2" PartId="329149f629484e6ba38430d3ec15f9fc">
      <Part Type="citata" DocPartId="c3eedca7c7094ac28a2d0f4a7fe1d85b" PartId="387f5e8ebafc47f79ea5fdb771593f53">
        <Part Type="papunktis" Nr="2.17" Abbr="2.17 pp." DocPartId="630fe51e3c6a4658ace7e10043d0ca57" PartId="3aa4555765d0480aa3f597f796240759"/>
      </Part>
    </Part>
    <Part Type="punktas" Nr="6" Abbr="6 p." DocPartId="b4085dceaaf3456ca9d97228ab302433" PartId="e83d4182be6c4de2b33a37e90c786513">
      <Part Type="citata" DocPartId="a1e946448dae4b3a895a9b1962320c8a" PartId="222eeba224ea46e29509ce4c41e80b0d">
        <Part Type="papunktis" Nr="2.18" Abbr="2.18 pp." DocPartId="5e2f9ecb069e42ccbedca435774c9814" PartId="27282abce1004536a799e3a754a3be3f">
          <Part Type="papunktis" Nr="2.18.1" Abbr="2.18.1 pp." DocPartId="3253e703baae4c7daebd62d438d727fb" PartId="5d607db076444fc9be4021989f972f46"/>
          <Part Type="papunktis" Nr="2.18.2" Abbr="2.18.2 pp." DocPartId="ebb0a6a3211a4824b7e416a9ed621542" PartId="e5ae0928cd184755a7940815dd125e66"/>
          <Part Type="papunktis" Nr="2.18.3" Abbr="2.18.3 pp." DocPartId="790367058c924c5ca587f7340d5fae80" PartId="9edc39c19e084981a99892c5c3f6d878"/>
          <Part Type="papunktis" Nr="2.18.4" Abbr="2.18.4 pp." DocPartId="6353cbf08bc848468579367860d82d48" PartId="c36c0f59a0a342cb919414c3e2c8135b"/>
          <Part Type="papunktis" Nr="2.18.5" Abbr="2.18.5 pp." DocPartId="ade338a264364a008bcbd2c40f863c37" PartId="d1034cf2f95146208ee2e2fcc3209172"/>
          <Part Type="papunktis" Nr="2.18.6" Abbr="2.18.6 pp." DocPartId="203b3c520624429d9fb7bafe09bf5a34" PartId="c12d1e7519fa4118b5473faa724cc10d"/>
          <Part Type="papunktis" Nr="2.18.7" Abbr="2.18.7 pp." DocPartId="be6b20c2b45a48669ea08c619bc780f6" PartId="14e15417ed70460f8d8fbd602fcebd68"/>
          <Part Type="papunktis" Nr="2.18.8" Abbr="2.18.8 pp." DocPartId="4038ebe26bb742a4a63b39c518f9bd50" PartId="36128b187a7a4fa9a31b67aa542917c5"/>
          <Part Type="papunktis" Nr="2.18.9" Abbr="2.18.9 pp." DocPartId="1d4848c3c6314f34b7b2ff75d281123d" PartId="34bbb209071f4c43b7510abad0852a6b"/>
          <Part Type="papunktis" Nr="2.18.10" Abbr="2.18.10 pp." DocPartId="04d705fd783e4c6e834d075ab7538263" PartId="1c9815d2e438460c81e776c17d4bff26"/>
          <Part Type="papunktis" Nr="2.18.11" Abbr="2.18.11 pp." DocPartId="6fbf2d20e86b45638573e2bd3c9ca3bb" PartId="15223a46986249e4940b94e973312d0f"/>
          <Part Type="papunktis" Nr="2.18.12" Abbr="2.18.12 pp." DocPartId="6c783c6d11cb4adba59575efbb760857" PartId="d76e9dac07c747fbaf79951f0d89387d"/>
          <Part Type="papunktis" Nr="2.18.13" Abbr="2.18.13 pp." DocPartId="705b611a9a48449599e95d0d2d37805a" PartId="4081d38a10254e7e993de3ae2a159d7e"/>
          <Part Type="papunktis" Nr="2.18.14" Abbr="2.18.14 pp." DocPartId="8653e3634076435a88276085f3f539a8" PartId="f464d082c6184758802530dae0d44e32"/>
        </Part>
      </Part>
    </Part>
    <Part Type="punktas" Nr="7" Abbr="7 p." DocPartId="ef0059f1a49d40338d71709bc995e3d5" PartId="66518e2c8fc04225a8340e9570bedeb8">
      <Part Type="citata" DocPartId="5dd7d5358e7c41198dd18b19fca74503" PartId="f41ecbcf913c4fb1bdea63e24f426718">
        <Part Type="papunktis" Nr="2.19" Abbr="2.19 pp." DocPartId="fdac8e88641d40ad82d825ab87c5ea27" PartId="43bae66b79b64cb49c6c9944e6d6fbe1"/>
      </Part>
    </Part>
    <Part Type="punktas" Nr="8" Abbr="8 p." DocPartId="4b755a700f3e48418be488b22189bb2d" PartId="a0e17471a50645b88e286c11c3dd1f26">
      <Part Type="citata" DocPartId="86df6451deac4a4481e7919b09b8533b" PartId="45a733a7f84a43a883510ad217700951">
        <Part Type="papunktis" Nr="8.3.3" Abbr="8.3.3 pp." DocPartId="642565f70bef4b0d9872d62fb905b78d" PartId="2dcba2b0300040acbb9a469dbe354b3c"/>
      </Part>
    </Part>
    <Part Type="punktas" Nr="9" Abbr="9 p." DocPartId="36ad72ad14884b21b3b42ea5813a169c" PartId="aa2b16cedf29471085b58ebab638cc4c"/>
    <Part Type="punktas" Nr="10" Abbr="10 p." DocPartId="71c01ac657b2434ea06c7f3c19b7161b" PartId="adda99e3e8a84c55b71f26a33df24b48"/>
    <Part Type="punktas" Nr="11" Abbr="11 p." DocPartId="0473c4b9f99c4b24a76e18024f3ba937" PartId="bf0a032a6c5c453ba0b634859596a98d"/>
    <Part Type="punktas" Nr="12" Abbr="12 p." DocPartId="57d4382f748b4799855f8bc17de266cb" PartId="8cc95ced054143edb295fd5c13456e16"/>
    <Part Type="punktas" Nr="13" Abbr="13 p." DocPartId="9d2a886e80044ca1ab147b2c2d945fba" PartId="debea05f0c934b36b5ee2684a53063ec">
      <Part Type="citata" DocPartId="05a4f6d2e5b54fae8f3ddf8c04fda49f" PartId="de54c7b9a4ff4794a574b075877c9aee">
        <Part Type="papunktis" Nr="12.2" Abbr="12.2 pp." DocPartId="d1d326b33335412693b9b8680591e09e" PartId="21c70ad155754d66a1def4abf561529c"/>
      </Part>
    </Part>
    <Part Type="punktas" Nr="14" Abbr="14 p." DocPartId="e92df94a19994966854081c6348e5a4e" PartId="27c6704b6a384408ab258dfe866d6fb0">
      <Part Type="citata" DocPartId="a74ae8cf707b4483a615700176b4f77a" PartId="b235393998604607be2dae2bc750bbb5">
        <Part Type="papunktis" Nr="13.5.6" Abbr="13.5.6 pp." DocPartId="307c2004904a43ad82f617fe7c680b9d" PartId="0c7a8e2a700141d49c82945f0f8a7ef1"/>
        <Part Type="papunktis" Nr="13.5.7" Abbr="13.5.7 pp." DocPartId="a2c544bd13ed401394d9efc86061cc1b" PartId="de40f24819154697ad980023d706dbdd"/>
      </Part>
    </Part>
    <Part Type="punktas" Nr="15" Abbr="15 p." DocPartId="64885463ac21420097d47a22b3fb850f" PartId="9e211ea3c2f84559bad552c9ed541ad8"/>
    <Part Type="signatura" DocPartId="0b423a1f4ae940da846b582151e92f8e" PartId="4befd915ea3e400ab3a05ef95ea8a1b1"/>
  </Part>
</Parts>
</file>

<file path=customXml/itemProps1.xml><?xml version="1.0" encoding="utf-8"?>
<ds:datastoreItem xmlns:ds="http://schemas.openxmlformats.org/officeDocument/2006/customXml" ds:itemID="{B89A4210-33DF-4E32-94A9-A50B133317A3}">
  <ds:schemaRefs>
    <ds:schemaRef ds:uri="http://schemas.microsoft.com/office/2006/metadata/properties"/>
    <ds:schemaRef ds:uri="0379a545-9986-45d7-9e6d-3845025712a0"/>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47c1ea38-b788-4873-88f4-3b1f34597b9a"/>
    <ds:schemaRef ds:uri="http://purl.org/dc/elements/1.1/"/>
    <ds:schemaRef ds:uri="http://www.w3.org/XML/1998/namespace"/>
    <ds:schemaRef ds:uri="http://purl.org/dc/dcmitype/"/>
  </ds:schemaRefs>
</ds:datastoreItem>
</file>

<file path=customXml/itemProps2.xml><?xml version="1.0" encoding="utf-8"?>
<ds:datastoreItem xmlns:ds="http://schemas.openxmlformats.org/officeDocument/2006/customXml" ds:itemID="{544D9BED-7B83-4C4C-A2F8-D6B8F92A0E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3E57564-2EEC-4440-9762-678602FAEA3D}">
  <ds:schemaRefs>
    <ds:schemaRef ds:uri="http://schemas.microsoft.com/sharepoint/v3/contenttype/forms"/>
  </ds:schemaRefs>
</ds:datastoreItem>
</file>

<file path=customXml/itemProps4.xml><?xml version="1.0" encoding="utf-8"?>
<ds:datastoreItem xmlns:ds="http://schemas.openxmlformats.org/officeDocument/2006/customXml" ds:itemID="{9C476F3A-53D9-4BBC-8755-F8EA94E79C1F}">
  <ds:schemaRefs>
    <ds:schemaRef ds:uri="http://schemas.openxmlformats.org/officeDocument/2006/bibliography"/>
  </ds:schemaRefs>
</ds:datastoreItem>
</file>

<file path=customXml/itemProps5.xml><?xml version="1.0" encoding="utf-8"?>
<ds:datastoreItem xmlns:ds="http://schemas.openxmlformats.org/officeDocument/2006/customXml" ds:itemID="{8ABF66A9-2CC8-4740-A8FE-9B42BECAAB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3058</Words>
  <Characters>21413</Characters>
  <Application>Microsoft Office Word</Application>
  <DocSecurity>4</DocSecurity>
  <Lines>611</Lines>
  <Paragraphs>163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APLINKOS MINISTRO</vt:lpstr>
      <vt:lpstr>LIETUVOS RESPUBLIKOS APLINKOS MINISTRO</vt:lpstr>
    </vt:vector>
  </TitlesOfParts>
  <Company/>
  <LinksUpToDate>false</LinksUpToDate>
  <CharactersWithSpaces>24308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2025-09-16T09:57:00Z</dcterms:created>
  <dc:creator>Asta Petrauskytė</dc:creator>
  <lastModifiedBy>adlibuser</lastModifiedBy>
  <lastPrinted>2020-09-30T05:28:00Z</lastPrinted>
  <dcterms:modified xsi:type="dcterms:W3CDTF">2025-09-16T09:57:00Z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