
<file path=[Content_Types].xml><?xml version="1.0" encoding="utf-8"?>
<Types xmlns="http://schemas.openxmlformats.org/package/2006/content-types">
  <Default Extension="bin" ContentType="application/vnd.openxmlformats-officedocument.oleObject"/>
  <Default Extension="png" ContentType="image/png"/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fc6837417bf44bceb7c6a1bf83f0bb15"/>
        <w:lock w:val="sdtLocked"/>
        <w:richText/>
      </w:sdtPr>
      <w:sdtContent>
        <w:p w14:paraId="189FCFD4" w14:textId="77777777">
          <w:pPr>
            <w:tabs>
              <w:tab w:val="center" w:pos="4153"/>
              <w:tab w:val="right" w:pos="8306"/>
            </w:tabs>
            <w:rPr>
              <w:szCs w:val="24"/>
            </w:rPr>
          </w:pPr>
        </w:p>
        <w:p w14:paraId="42087221" w14:textId="77777777">
          <w:pPr>
            <w:tabs>
              <w:tab w:val="left" w:pos="1296"/>
              <w:tab w:val="center" w:pos="4153"/>
              <w:tab w:val="right" w:pos="8306"/>
            </w:tabs>
            <w:ind w:right="-44"/>
            <w:jc w:val="center"/>
            <w:rPr>
              <w:szCs w:val="24"/>
            </w:rPr>
          </w:pPr>
          <w:r>
            <w:rPr>
              <w:szCs w:val="24"/>
            </w:rPr>
            <w:object w:dxaOrig="696" w:dyaOrig="801" w14:anchorId="327703D1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1025" type="#_x0000_t75" style="width:38.25pt;height:42.75pt" o:ole="" fillcolor="window">
                <v:imagedata r:id="rId6" o:title=""/>
              </v:shape>
              <o:OLEObject Type="Embed" ProgID="CorelPhotoPaint.Image.9" ShapeID="_x0000_i1025" DrawAspect="Content" ObjectID="_1839672999" r:id="rId7"/>
            </w:object>
          </w:r>
        </w:p>
        <w:p w14:paraId="590F3839" w14:textId="77777777">
          <w:pPr>
            <w:jc w:val="center"/>
            <w:rPr>
              <w:b/>
              <w:szCs w:val="24"/>
              <w:lang w:eastAsia="lt-LT"/>
            </w:rPr>
          </w:pPr>
        </w:p>
        <w:p w14:paraId="37ECD38D" w14:textId="77777777">
          <w:pPr>
            <w:jc w:val="center"/>
            <w:rPr>
              <w:b/>
              <w:szCs w:val="28"/>
              <w:lang w:eastAsia="lt-LT"/>
            </w:rPr>
          </w:pPr>
          <w:r>
            <w:rPr>
              <w:b/>
              <w:szCs w:val="28"/>
              <w:lang w:eastAsia="lt-LT"/>
            </w:rPr>
            <w:t>VILNIAUS RAJONO SAVIVALDYBĖS TARYBA</w:t>
          </w:r>
        </w:p>
        <w:p w14:paraId="137C90D5" w14:textId="77777777">
          <w:pPr>
            <w:jc w:val="center"/>
            <w:rPr>
              <w:b/>
              <w:szCs w:val="24"/>
              <w:lang w:eastAsia="lt-LT"/>
            </w:rPr>
          </w:pPr>
        </w:p>
        <w:p w14:paraId="2CCCEF3B" w14:textId="77777777">
          <w:pPr>
            <w:jc w:val="center"/>
            <w:rPr>
              <w:b/>
              <w:szCs w:val="24"/>
              <w:lang w:eastAsia="lt-LT"/>
            </w:rPr>
          </w:pPr>
          <w:r>
            <w:rPr>
              <w:b/>
              <w:szCs w:val="24"/>
              <w:lang w:eastAsia="lt-LT"/>
            </w:rPr>
            <w:t>SPRENDIMAS</w:t>
          </w:r>
        </w:p>
        <w:p w14:paraId="19C1A16A" w14:textId="08AF29A5">
          <w:pPr>
            <w:jc w:val="center"/>
            <w:rPr>
              <w:b/>
              <w:szCs w:val="24"/>
              <w:lang w:eastAsia="lt-LT"/>
            </w:rPr>
          </w:pPr>
          <w:r>
            <w:rPr>
              <w:b/>
              <w:szCs w:val="24"/>
              <w:lang w:eastAsia="lt-LT"/>
            </w:rPr>
            <w:t xml:space="preserve">DĖL VILNIAUS RAJONO SAVIVALDYBĖS SPORTO CENTRO TEIKIAMŲ PASLAUGŲ SĄRAŠO  IR JŲ ĮKAINIŲ PATVIRTINIMO</w:t>
          </w:r>
        </w:p>
        <w:p w14:paraId="020BB0D3" w14:textId="77777777">
          <w:pPr>
            <w:jc w:val="center"/>
            <w:rPr>
              <w:szCs w:val="24"/>
              <w:lang w:eastAsia="lt-LT"/>
            </w:rPr>
          </w:pPr>
        </w:p>
        <w:p w14:paraId="345A1828" w14:textId="025C881B">
          <w:pPr>
            <w:jc w:val="center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 xml:space="preserve">2026 m.       d. Nr. T3-</w:t>
          </w:r>
        </w:p>
        <w:p w14:paraId="7F5D764B" w14:textId="77777777">
          <w:pPr>
            <w:jc w:val="center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Vilnius</w:t>
          </w:r>
        </w:p>
        <w:p w14:paraId="3F900B30" w14:textId="77777777">
          <w:pPr>
            <w:jc w:val="center"/>
            <w:rPr>
              <w:szCs w:val="24"/>
              <w:lang w:eastAsia="lt-LT"/>
            </w:rPr>
          </w:pPr>
        </w:p>
        <w:sdt>
          <w:sdtPr>
            <w:alias w:val="preambule"/>
            <w:tag w:val="part_5b7836d14a58488888a4028a1bc2b9ff"/>
            <w:lock w:val="sdtLocked"/>
            <w:richText/>
          </w:sdtPr>
          <w:sdtContent>
            <w:p w14:paraId="486675C3" w14:textId="2405A59C">
              <w:pPr>
                <w:spacing w:line="276" w:lineRule="auto"/>
                <w:ind w:firstLine="708"/>
                <w:jc w:val="both"/>
                <w:rPr>
                  <w:spacing w:val="2"/>
                  <w:szCs w:val="24"/>
                  <w:lang w:eastAsia="lt-LT"/>
                </w:rPr>
              </w:pPr>
              <w:r>
                <w:rPr>
                  <w:spacing w:val="2"/>
                  <w:szCs w:val="24"/>
                  <w:lang w:eastAsia="lt-LT"/>
                </w:rPr>
                <w:t xml:space="preserve">Vadovaudamasi Lietuvos Respublikos vietos savivaldos įstatymo 15 straipsnio 2 dalies 29 punktu, </w:t>
              </w:r>
              <w:r>
                <w:rPr>
                  <w:iCs/>
                  <w:color w:val="000000"/>
                  <w:szCs w:val="24"/>
                  <w:lang w:eastAsia="lt-LT"/>
                </w:rPr>
                <w:t xml:space="preserve">Vilniaus rajono sporto centro nuostatų, patvirtintų Vilniaus rajono savivaldybės tarybos </w:t>
              </w:r>
              <w:r>
                <w:rPr>
                  <w:rFonts w:eastAsia="Calibri"/>
                  <w:szCs w:val="24"/>
                  <w:lang w:eastAsia="lt-LT"/>
                </w:rPr>
                <w:t>2024 m. gruodžio 20 d. sprendimu Nr. T3-387 „Dėl Vilniaus rajono sporto centro nuostatų patvirtinimo“,</w:t>
              </w:r>
              <w:r>
                <w:rPr>
                  <w:iCs/>
                  <w:color w:val="000000"/>
                  <w:szCs w:val="24"/>
                  <w:lang w:eastAsia="lt-LT"/>
                </w:rPr>
                <w:t xml:space="preserve"> 6.5 papunkčiu </w:t>
              </w:r>
              <w:r>
                <w:rPr>
                  <w:spacing w:val="2"/>
                  <w:szCs w:val="24"/>
                  <w:lang w:eastAsia="lt-LT"/>
                </w:rPr>
                <w:t>bei atsižvelgdama į Vilniaus rajono sporto centro direktoriaus 2026 m. kovo 5 d. prašymą Nr. G-11047(4.29 Mr), Vilniaus rajono savivaldybės taryba n u s p r e n d ž i a:</w:t>
              </w:r>
            </w:p>
          </w:sdtContent>
        </w:sdt>
        <w:sdt>
          <w:sdtPr>
            <w:alias w:val="1 p."/>
            <w:tag w:val="part_68b5b4875cc2452db1699e1569dff6df"/>
            <w:lock w:val="sdtLocked"/>
            <w:richText/>
          </w:sdtPr>
          <w:sdtContent>
            <w:p w14:paraId="07FA6414" w14:textId="360D7C4F">
              <w:pPr>
                <w:tabs>
                  <w:tab w:val="left" w:pos="851"/>
                  <w:tab w:val="left" w:pos="993"/>
                  <w:tab w:val="left" w:pos="1560"/>
                </w:tabs>
                <w:spacing w:line="276" w:lineRule="auto"/>
                <w:ind w:firstLine="709"/>
                <w:jc w:val="both"/>
                <w:rPr>
                  <w:spacing w:val="2"/>
                  <w:szCs w:val="24"/>
                  <w:lang w:eastAsia="lt-LT"/>
                </w:rPr>
              </w:pPr>
              <w:sdt>
                <w:sdtPr>
                  <w:alias w:val="Numeris"/>
                  <w:tag w:val="nr_68b5b4875cc2452db1699e1569dff6df"/>
                  <w:lock w:val="sdtLocked"/>
                  <w:richText/>
                </w:sdtPr>
                <w:sdtContent>
                  <w:r>
                    <w:rPr>
                      <w:spacing w:val="2"/>
                      <w:szCs w:val="22"/>
                    </w:rPr>
                    <w:t>1</w:t>
                  </w:r>
                </w:sdtContent>
              </w:sdt>
              <w:r>
                <w:rPr>
                  <w:spacing w:val="2"/>
                  <w:szCs w:val="22"/>
                </w:rPr>
                <w:t>.</w:t>
                <w:tab/>
              </w:r>
              <w:r>
                <w:rPr>
                  <w:szCs w:val="24"/>
                  <w:lang w:eastAsia="lt-LT"/>
                </w:rPr>
                <w:t>Patvirtinti Vilniaus rajono sporto centro teikiamų paslaugų sąrašą ir jų įkainius (pridedama).</w:t>
              </w:r>
            </w:p>
          </w:sdtContent>
        </w:sdt>
        <w:sdt>
          <w:sdtPr>
            <w:alias w:val="2 p."/>
            <w:tag w:val="part_937579b68fd8474389f4aee6e0ff8dfd"/>
            <w:lock w:val="sdtLocked"/>
            <w:richText/>
          </w:sdtPr>
          <w:sdtContent>
            <w:p w14:paraId="0FBDB07E" w14:textId="0B77685E">
              <w:pPr>
                <w:tabs>
                  <w:tab w:val="left" w:pos="851"/>
                  <w:tab w:val="left" w:pos="993"/>
                  <w:tab w:val="left" w:pos="1560"/>
                </w:tabs>
                <w:spacing w:line="276" w:lineRule="auto"/>
                <w:ind w:firstLine="709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937579b68fd8474389f4aee6e0ff8dfd"/>
                  <w:lock w:val="sdtLocked"/>
                  <w:richText/>
                </w:sdtPr>
                <w:sdtContent>
                  <w:r>
                    <w:rPr>
                      <w:szCs w:val="22"/>
                    </w:rPr>
                    <w:t>2</w:t>
                  </w:r>
                </w:sdtContent>
              </w:sdt>
              <w:r>
                <w:rPr>
                  <w:szCs w:val="22"/>
                </w:rPr>
                <w:t>.</w:t>
                <w:tab/>
              </w:r>
              <w:r>
                <w:rPr>
                  <w:szCs w:val="24"/>
                  <w:lang w:eastAsia="lt-LT"/>
                </w:rPr>
                <w:t xml:space="preserve">Pripažinti netekusiu galios </w:t>
              </w:r>
              <w:r>
                <w:rPr>
                  <w:iCs/>
                  <w:szCs w:val="24"/>
                  <w:lang w:eastAsia="lt-LT"/>
                </w:rPr>
                <w:t>V</w:t>
              </w:r>
              <w:r>
                <w:rPr>
                  <w:iCs/>
                  <w:color w:val="000000"/>
                  <w:szCs w:val="24"/>
                  <w:lang w:eastAsia="lt-LT"/>
                </w:rPr>
                <w:t xml:space="preserve">ilniaus rajono savivaldybės tarybos </w:t>
              </w:r>
              <w:r>
                <w:rPr>
                  <w:szCs w:val="24"/>
                  <w:lang w:eastAsia="lt-LT"/>
                </w:rPr>
                <w:t xml:space="preserve">2024 m. gruodžio 20 d. </w:t>
              </w:r>
              <w:r>
                <w:rPr>
                  <w:iCs/>
                  <w:color w:val="000000"/>
                  <w:szCs w:val="24"/>
                  <w:lang w:eastAsia="lt-LT"/>
                </w:rPr>
                <w:t>sprendimą Nr. T3-379 „Dėl Vilniaus rajono savivaldybės sporto centro teikiamų paslaugų ir jų įkainių patvirtinimo“.</w:t>
              </w:r>
            </w:p>
          </w:sdtContent>
        </w:sdt>
        <w:sdt>
          <w:sdtPr>
            <w:alias w:val="3 p."/>
            <w:tag w:val="part_cff263cb1ebb49cca53b884a97a3b998"/>
            <w:lock w:val="sdtLocked"/>
            <w:richText/>
          </w:sdtPr>
          <w:sdtContent>
            <w:p w14:paraId="099256D9" w14:textId="421C5C0E">
              <w:pPr>
                <w:tabs>
                  <w:tab w:val="left" w:pos="851"/>
                  <w:tab w:val="left" w:pos="993"/>
                  <w:tab w:val="left" w:pos="1560"/>
                </w:tabs>
                <w:spacing w:line="276" w:lineRule="auto"/>
                <w:ind w:firstLine="709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cff263cb1ebb49cca53b884a97a3b998"/>
                  <w:lock w:val="sdtLocked"/>
                  <w:richText/>
                </w:sdtPr>
                <w:sdtContent>
                  <w:r>
                    <w:rPr>
                      <w:szCs w:val="22"/>
                    </w:rPr>
                    <w:t>3</w:t>
                  </w:r>
                </w:sdtContent>
              </w:sdt>
              <w:r>
                <w:rPr>
                  <w:szCs w:val="22"/>
                </w:rPr>
                <w:t>.</w:t>
                <w:tab/>
              </w:r>
              <w:r>
                <w:rPr>
                  <w:szCs w:val="24"/>
                  <w:lang w:eastAsia="lt-LT"/>
                </w:rPr>
                <w:t>Nustatyti, kad šis sprendimas įsigalioja 2026 m. birželio 1 d.</w:t>
              </w:r>
            </w:p>
          </w:sdtContent>
        </w:sdt>
        <w:sdt>
          <w:sdtPr>
            <w:alias w:val="4 p."/>
            <w:tag w:val="part_90d9f2e3329243f1a45d5728a537d7b8"/>
            <w:lock w:val="sdtLocked"/>
            <w:richText/>
          </w:sdtPr>
          <w:sdtContent>
            <w:p w14:paraId="1BF12930" w14:textId="1FB181B0">
              <w:pPr>
                <w:tabs>
                  <w:tab w:val="left" w:pos="851"/>
                  <w:tab w:val="left" w:pos="993"/>
                  <w:tab w:val="left" w:pos="1560"/>
                </w:tabs>
                <w:spacing w:line="276" w:lineRule="auto"/>
                <w:ind w:firstLine="709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90d9f2e3329243f1a45d5728a537d7b8"/>
                  <w:lock w:val="sdtLocked"/>
                  <w:richText/>
                </w:sdtPr>
                <w:sdtContent>
                  <w:r>
                    <w:rPr>
                      <w:szCs w:val="22"/>
                    </w:rPr>
                    <w:t>4</w:t>
                  </w:r>
                </w:sdtContent>
              </w:sdt>
              <w:r>
                <w:rPr>
                  <w:szCs w:val="22"/>
                </w:rPr>
                <w:t>.</w:t>
                <w:tab/>
              </w:r>
              <w:r>
                <w:rPr>
                  <w:rFonts w:ascii="TimesNewRomanPSMT" w:hAnsi="TimesNewRomanPSMT" w:cs="TimesNewRomanPSMT"/>
                  <w:szCs w:val="24"/>
                  <w:lang w:eastAsia="lt-LT"/>
                </w:rPr>
                <w:t>Skelbti šį sprendimą TAR ir Vilniaus rajono savivaldybės interneto svetainėje.</w:t>
              </w:r>
            </w:p>
            <w:p w14:paraId="039AD6D7" w14:textId="77777777">
              <w:pPr>
                <w:ind w:firstLine="720"/>
                <w:jc w:val="both"/>
                <w:rPr>
                  <w:szCs w:val="24"/>
                  <w:lang w:eastAsia="lt-LT"/>
                </w:rPr>
              </w:pPr>
            </w:p>
            <w:p w14:paraId="66309F77" w14:textId="77777777">
              <w:pPr>
                <w:ind w:firstLine="720"/>
                <w:jc w:val="both"/>
                <w:rPr>
                  <w:szCs w:val="24"/>
                  <w:lang w:eastAsia="lt-LT"/>
                </w:rPr>
              </w:pPr>
            </w:p>
            <w:p w14:paraId="1650FB9E" w14:textId="77777777">
              <w:pPr>
                <w:ind w:firstLine="720"/>
                <w:jc w:val="both"/>
                <w:rPr>
                  <w:szCs w:val="24"/>
                  <w:lang w:eastAsia="lt-LT"/>
                </w:rPr>
              </w:pPr>
            </w:p>
            <w:p w14:paraId="72627C42" w14:textId="77777777">
              <w:pPr>
                <w:ind w:firstLine="720"/>
                <w:jc w:val="both"/>
                <w:rPr>
                  <w:szCs w:val="24"/>
                  <w:lang w:eastAsia="lt-LT"/>
                </w:rPr>
              </w:pPr>
            </w:p>
          </w:sdtContent>
        </w:sdt>
        <w:sdt>
          <w:sdtPr>
            <w:alias w:val="signatura"/>
            <w:tag w:val="part_9f2fe7f98d104c2b9fc250078e13a032"/>
            <w:lock w:val="sdtLocked"/>
            <w:richText/>
          </w:sdtPr>
          <w:sdtContent>
            <w:p w14:paraId="407A1F70" w14:textId="77777777">
              <w:pPr>
                <w:jc w:val="both"/>
                <w:rPr>
                  <w:szCs w:val="22"/>
                </w:rPr>
              </w:pPr>
              <w:r>
                <w:rPr>
                  <w:szCs w:val="24"/>
                </w:rPr>
                <w:t>Savivaldybės meras</w:t>
                <w:tab/>
                <w:tab/>
                <w:tab/>
                <w:tab/>
                <w:tab/>
                <w:t>Robert Duchnevič</w:t>
              </w:r>
            </w:p>
            <w:p w14:paraId="2814E707" w14:textId="77777777">
              <w:pPr>
                <w:jc w:val="both"/>
                <w:rPr>
                  <w:szCs w:val="22"/>
                </w:rPr>
              </w:pPr>
            </w:p>
            <w:p w14:paraId="44EFBB21" w14:textId="77777777">
              <w:pPr>
                <w:jc w:val="both"/>
                <w:rPr>
                  <w:szCs w:val="22"/>
                </w:rPr>
              </w:pPr>
            </w:p>
            <w:p w14:paraId="3BEAB4AF" w14:textId="77777777">
              <w:pPr>
                <w:jc w:val="both"/>
                <w:rPr>
                  <w:szCs w:val="22"/>
                </w:rPr>
              </w:pPr>
            </w:p>
            <w:p w14:paraId="3622734B" w14:textId="77777777">
              <w:pPr>
                <w:jc w:val="both"/>
                <w:rPr>
                  <w:szCs w:val="22"/>
                </w:rPr>
              </w:pPr>
            </w:p>
            <w:p w14:paraId="62ADD64A" w14:textId="77777777">
              <w:pPr>
                <w:jc w:val="both"/>
                <w:rPr>
                  <w:szCs w:val="22"/>
                </w:rPr>
              </w:pPr>
            </w:p>
            <w:p w14:paraId="4202D11D" w14:textId="77777777">
              <w:pPr>
                <w:jc w:val="both"/>
                <w:rPr>
                  <w:szCs w:val="22"/>
                </w:rPr>
              </w:pPr>
            </w:p>
            <w:p w14:paraId="7DF7548A" w14:textId="77777777">
              <w:pPr>
                <w:jc w:val="both"/>
                <w:rPr>
                  <w:szCs w:val="22"/>
                </w:rPr>
              </w:pPr>
            </w:p>
            <w:p w14:paraId="1473387B" w14:textId="77777777">
              <w:pPr>
                <w:jc w:val="both"/>
                <w:rPr>
                  <w:szCs w:val="22"/>
                </w:rPr>
              </w:pPr>
            </w:p>
            <w:p w14:paraId="7F2B5B4C" w14:textId="77777777">
              <w:pPr>
                <w:jc w:val="both"/>
                <w:rPr>
                  <w:szCs w:val="22"/>
                </w:rPr>
              </w:pPr>
            </w:p>
            <w:p w14:paraId="3D5A81CC" w14:textId="77777777">
              <w:pPr>
                <w:jc w:val="both"/>
                <w:rPr>
                  <w:szCs w:val="22"/>
                </w:rPr>
              </w:pPr>
            </w:p>
            <w:p w14:paraId="54324D71" w14:textId="77777777">
              <w:pPr>
                <w:jc w:val="both"/>
                <w:rPr>
                  <w:szCs w:val="22"/>
                </w:rPr>
              </w:pPr>
            </w:p>
            <w:p w14:paraId="28D1DC31" w14:textId="77777777">
              <w:pPr>
                <w:jc w:val="both"/>
                <w:rPr>
                  <w:szCs w:val="22"/>
                </w:rPr>
              </w:pPr>
            </w:p>
            <w:p w14:paraId="15F90C1C" w14:textId="77777777">
              <w:pPr>
                <w:jc w:val="both"/>
                <w:rPr>
                  <w:szCs w:val="22"/>
                </w:rPr>
              </w:pPr>
            </w:p>
            <w:p w14:paraId="0E524C84" w14:textId="77777777">
              <w:pPr>
                <w:jc w:val="both"/>
                <w:rPr>
                  <w:szCs w:val="22"/>
                </w:rPr>
              </w:pPr>
            </w:p>
            <w:p w14:paraId="2B1CD373" w14:textId="77777777">
              <w:pPr>
                <w:jc w:val="both"/>
                <w:rPr>
                  <w:szCs w:val="22"/>
                </w:rPr>
              </w:pPr>
            </w:p>
            <w:p w14:paraId="7A091189" w14:textId="77777777">
              <w:pPr>
                <w:jc w:val="both"/>
                <w:rPr>
                  <w:szCs w:val="22"/>
                </w:rPr>
              </w:pPr>
            </w:p>
            <w:p w14:paraId="6A07F3D8" w14:textId="77777777">
              <w:pPr>
                <w:jc w:val="both"/>
                <w:rPr>
                  <w:szCs w:val="22"/>
                </w:rPr>
              </w:pPr>
            </w:p>
            <w:p w14:paraId="1B81CF45" w14:textId="77777777">
              <w:pPr>
                <w:jc w:val="both"/>
                <w:rPr>
                  <w:szCs w:val="22"/>
                </w:rPr>
              </w:pPr>
            </w:p>
            <w:p w14:paraId="4738E95C" w14:textId="77777777">
              <w:pPr>
                <w:jc w:val="both"/>
                <w:rPr>
                  <w:szCs w:val="22"/>
                </w:rPr>
              </w:pPr>
            </w:p>
            <w:p w14:paraId="3E4D2196" w14:textId="77777777">
              <w:pPr>
                <w:jc w:val="both"/>
                <w:rPr>
                  <w:szCs w:val="22"/>
                </w:rPr>
              </w:pPr>
            </w:p>
          </w:sdtContent>
        </w:sdt>
      </w:sdtContent>
    </w:sdt>
    <w:sectPr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7" w:h="16839"/>
      <w:pgMar w:top="1134" w:right="567" w:bottom="567" w:left="1701" w:header="562" w:footer="562" w:gutter="0"/>
      <w:cols w:space="1296"/>
      <w:titlePg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0A0A731" w14:textId="77777777">
      <w:pPr>
        <w:rPr>
          <w:szCs w:val="24"/>
          <w:lang w:eastAsia="lt-LT"/>
        </w:rPr>
      </w:pPr>
      <w:r>
        <w:rPr>
          <w:szCs w:val="24"/>
          <w:lang w:eastAsia="lt-LT"/>
        </w:rPr>
        <w:separator/>
      </w:r>
    </w:p>
  </w:endnote>
  <w:endnote w:type="continuationSeparator" w:id="0">
    <w:p w14:paraId="1C530046" w14:textId="77777777">
      <w:pPr>
        <w:rPr>
          <w:szCs w:val="24"/>
          <w:lang w:eastAsia="lt-LT"/>
        </w:rPr>
      </w:pPr>
      <w:r>
        <w:rPr>
          <w:szCs w:val="24"/>
          <w:lang w:eastAsia="lt-LT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TimesNewRomanPSMT">
    <w:altName w:val="Times New Roman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libri Light">
    <w:panose1 w:val="020F0302020204030204"/>
    <w:charset w:val="BA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4FA3BB7" w14:textId="77777777">
    <w:pPr>
      <w:tabs>
        <w:tab w:val="center" w:pos="4819"/>
        <w:tab w:val="right" w:pos="9638"/>
      </w:tabs>
      <w:rPr>
        <w:szCs w:val="24"/>
        <w:lang w:eastAsia="lt-LT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98E315C" w14:textId="77777777">
    <w:pPr>
      <w:tabs>
        <w:tab w:val="center" w:pos="4819"/>
        <w:tab w:val="right" w:pos="9638"/>
      </w:tabs>
      <w:rPr>
        <w:szCs w:val="24"/>
        <w:lang w:eastAsia="lt-LT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B070520" w14:textId="77777777">
    <w:pPr>
      <w:tabs>
        <w:tab w:val="center" w:pos="4819"/>
        <w:tab w:val="right" w:pos="9638"/>
      </w:tabs>
      <w:rPr>
        <w:szCs w:val="24"/>
        <w:lang w:eastAsia="lt-LT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03F0B91" w14:textId="77777777">
      <w:pPr>
        <w:rPr>
          <w:szCs w:val="24"/>
          <w:lang w:eastAsia="lt-LT"/>
        </w:rPr>
      </w:pPr>
      <w:r>
        <w:rPr>
          <w:szCs w:val="24"/>
          <w:lang w:eastAsia="lt-LT"/>
        </w:rPr>
        <w:separator/>
      </w:r>
    </w:p>
  </w:footnote>
  <w:footnote w:type="continuationSeparator" w:id="0">
    <w:p w14:paraId="14A121AE" w14:textId="77777777">
      <w:pPr>
        <w:rPr>
          <w:szCs w:val="24"/>
          <w:lang w:eastAsia="lt-LT"/>
        </w:rPr>
      </w:pPr>
      <w:r>
        <w:rPr>
          <w:szCs w:val="24"/>
          <w:lang w:eastAsia="lt-LT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BCA4D63" w14:textId="77777777">
    <w:pPr>
      <w:framePr w:wrap="auto" w:vAnchor="text" w:hAnchor="margin" w:xAlign="center" w:y="1"/>
      <w:tabs>
        <w:tab w:val="center" w:pos="4153"/>
        <w:tab w:val="right" w:pos="8306"/>
      </w:tabs>
      <w:rPr>
        <w:szCs w:val="24"/>
      </w:rPr>
    </w:pPr>
    <w:r>
      <w:rPr>
        <w:szCs w:val="24"/>
      </w:rPr>
      <w:fldChar w:fldCharType="begin"/>
    </w:r>
    <w:r>
      <w:rPr>
        <w:szCs w:val="24"/>
      </w:rPr>
      <w:instrText xml:space="preserve">PAGE  </w:instrText>
    </w:r>
    <w:r>
      <w:rPr>
        <w:szCs w:val="24"/>
      </w:rPr>
      <w:fldChar w:fldCharType="end"/>
    </w:r>
  </w:p>
  <w:p w14:paraId="6B077FBE" w14:textId="77777777">
    <w:pPr>
      <w:tabs>
        <w:tab w:val="center" w:pos="4153"/>
        <w:tab w:val="right" w:pos="8306"/>
      </w:tabs>
      <w:rPr>
        <w:szCs w:val="24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F6F80AE" w14:textId="77777777">
    <w:pPr>
      <w:framePr w:wrap="auto" w:vAnchor="text" w:hAnchor="margin" w:xAlign="center" w:y="1"/>
      <w:tabs>
        <w:tab w:val="center" w:pos="4153"/>
        <w:tab w:val="right" w:pos="8306"/>
      </w:tabs>
      <w:rPr>
        <w:szCs w:val="24"/>
      </w:rPr>
    </w:pPr>
    <w:r>
      <w:rPr>
        <w:szCs w:val="24"/>
      </w:rPr>
      <w:fldChar w:fldCharType="begin"/>
    </w:r>
    <w:r>
      <w:rPr>
        <w:szCs w:val="24"/>
      </w:rPr>
      <w:instrText xml:space="preserve">PAGE  </w:instrText>
    </w:r>
    <w:r>
      <w:rPr>
        <w:szCs w:val="24"/>
      </w:rPr>
      <w:fldChar w:fldCharType="separate"/>
    </w:r>
    <w:r>
      <w:rPr>
        <w:szCs w:val="24"/>
      </w:rPr>
      <w:t>2</w:t>
    </w:r>
    <w:r>
      <w:rPr>
        <w:szCs w:val="24"/>
      </w:rPr>
      <w:fldChar w:fldCharType="end"/>
    </w:r>
  </w:p>
  <w:p w14:paraId="23A88840" w14:textId="77777777">
    <w:pPr>
      <w:tabs>
        <w:tab w:val="center" w:pos="4153"/>
        <w:tab w:val="right" w:pos="8306"/>
      </w:tabs>
      <w:rPr>
        <w:szCs w:val="24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B97B344" w14:textId="77777777">
    <w:pPr>
      <w:tabs>
        <w:tab w:val="center" w:pos="4153"/>
        <w:tab w:val="right" w:pos="8306"/>
      </w:tabs>
      <w:rPr>
        <w:szCs w:val="24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revisionView w:inkAnnotations="0"/>
  <w:defaultTabStop w:val="1296"/>
  <w:hyphenationZone w:val="396"/>
  <w:doNotHyphenateCaps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620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7"/>
    <o:shapelayout v:ext="edit">
      <o:idmap v:ext="edit" data="1"/>
    </o:shapelayout>
  </w:shapeDefaults>
  <w:decimalSymbol w:val="."/>
  <w:listSeparator w:val=","/>
  <w14:docId w14:val="4D7F94A9"/>
  <w15:chartTrackingRefBased/>
  <w15:docId w15:val="{202D977F-28E8-49CD-8F93-47C476A401E4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88088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08080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6512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055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523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10" Type="http://schemas.openxmlformats.org/officeDocument/2006/relationships/footer" Target="footer1.xml"/>
  <Relationship Id="rId11" Type="http://schemas.openxmlformats.org/officeDocument/2006/relationships/footer" Target="footer2.xml"/>
  <Relationship Id="rId12" Type="http://schemas.openxmlformats.org/officeDocument/2006/relationships/header" Target="header3.xml"/>
  <Relationship Id="rId13" Type="http://schemas.openxmlformats.org/officeDocument/2006/relationships/footer" Target="footer3.xml"/>
  <Relationship Id="rId14" Type="http://schemas.openxmlformats.org/officeDocument/2006/relationships/fontTable" Target="fontTable.xml"/>
  <Relationship Id="rId15" Type="http://schemas.openxmlformats.org/officeDocument/2006/relationships/theme" Target="theme/theme1.xml"/>
  <Relationship Id="rId16" Type="http://schemas.openxmlformats.org/officeDocument/2006/relationships/customXml" Target="../customXml/item1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otnotes" Target="footnotes.xml"/>
  <Relationship Id="rId5" Type="http://schemas.openxmlformats.org/officeDocument/2006/relationships/endnotes" Target="endnotes.xml"/>
  <Relationship Id="rId6" Type="http://schemas.openxmlformats.org/officeDocument/2006/relationships/image" Target="media/image1.png"/>
  <Relationship Id="rId7" Type="http://schemas.openxmlformats.org/officeDocument/2006/relationships/oleObject" Target="embeddings/oleObject1.bin"/>
  <Relationship Id="rId8" Type="http://schemas.openxmlformats.org/officeDocument/2006/relationships/header" Target="header1.xml"/>
  <Relationship Id="rId9" Type="http://schemas.openxmlformats.org/officeDocument/2006/relationships/header" Target="header2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435234c87c7a44d088cbe335aa226031" PartId="fc6837417bf44bceb7c6a1bf83f0bb15">
    <Part Type="preambule" DocPartId="235abe12eb02484e806806e2c6043866" PartId="5b7836d14a58488888a4028a1bc2b9ff"/>
    <Part Type="punktas" Nr="1" Abbr="1 p." DocPartId="d0c1f7806204463b9b6abc1d0c21eff6" PartId="68b5b4875cc2452db1699e1569dff6df"/>
    <Part Type="punktas" Nr="2" Abbr="2 p." DocPartId="25c5f8a1a01d47b0a61e0864bb86604d" PartId="937579b68fd8474389f4aee6e0ff8dfd"/>
    <Part Type="punktas" Nr="3" Abbr="3 p." DocPartId="be7ccf5ae49543aba4f45d6f2bf3b9f8" PartId="cff263cb1ebb49cca53b884a97a3b998"/>
    <Part Type="punktas" Nr="4" Abbr="4 p." DocPartId="5f91fcce76854e8f970af30705e7267f" PartId="90d9f2e3329243f1a45d5728a537d7b8"/>
    <Part Type="signatura" DocPartId="d600c747b1b845e8addf3b64936fd11d" PartId="9f2fe7f98d104c2b9fc250078e13a032"/>
  </Part>
</Parts>
</file>

<file path=customXml/itemProps1.xml><?xml version="1.0" encoding="utf-8"?>
<ds:datastoreItem xmlns:ds="http://schemas.openxmlformats.org/officeDocument/2006/customXml" ds:itemID="{863C1696-6625-4413-B848-112866956123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172</Words>
  <Characters>1038</Characters>
  <Application>Microsoft Office Word</Application>
  <DocSecurity>4</DocSecurity>
  <Lines>51</Lines>
  <Paragraphs>13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DĖL DIDŽIAUSIO LEISTINO DARBUOTOJŲ SKAIČIAUS VILNIAUS KRAŠTO ETNOGRAFINIAME MUZIEJUJE IR MUZIEJAUS DIREKTORIAUS TARNYBINIO ATLYGINIMO KOEFICIENTO NUSTATYMO PATVIRTINIMO</vt:lpstr>
      <vt:lpstr> </vt:lpstr>
    </vt:vector>
  </TitlesOfParts>
  <Manager>2011-11-24</Manager>
  <Company>biblioteka</Company>
  <LinksUpToDate>false</LinksUpToDate>
  <CharactersWithSpaces>1197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category>SPRENDIMAS</category>
  <dcterms:created xsi:type="dcterms:W3CDTF">2026-05-07T12:30:00Z</dcterms:created>
  <dc:creator>VILNIAUS RAJONO SAVIVALDYBĖS TARYBA</dc:creator>
  <lastModifiedBy>adlibuser</lastModifiedBy>
  <lastPrinted>2015-07-21T11:48:00Z</lastPrinted>
  <dcterms:modified xsi:type="dcterms:W3CDTF">2026-05-07T12:30:00Z</dcterms:modified>
  <revision>2</revision>
  <dc:subject>T3-440</dc:subject>
  <dc:title>DĖL DIDŽIAUSIO LEISTINO DARBUOTOJŲ SKAIČIAUS VILNIAUS KRAŠTO ETNOGRAFINIAME MUZIEJUJE IR MUZIEJAUS DIREKTORIAUS TARNYBINIO ATLYGINIMO KOEFICIENTO NUSTATYMO PATVIRTINIMO</dc:title>
</coreProperties>
</file>