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f97450602915400191c8c843e5eddbc3"/>
        <w:lock w:val="sdtLocked"/>
        <w:richText/>
      </w:sdtPr>
      <w:sdtContent>
        <w:p w14:paraId="3BBEC0B6" w14:textId="77777777">
          <w:pPr>
            <w:keepNext/>
            <w:jc w:val="center"/>
            <w:outlineLvl w:val="1"/>
            <w:rPr>
              <w:b/>
              <w:szCs w:val="24"/>
            </w:rPr>
          </w:pPr>
          <w:r>
            <w:rPr>
              <w:b/>
              <w:szCs w:val="24"/>
            </w:rPr>
            <w:t>ŠIAULIŲ MIESTO SAVIVALDYBĖS TARYBA</w:t>
          </w:r>
        </w:p>
        <w:p w14:paraId="3BBEC0B7" w14:textId="77777777">
          <w:pPr>
            <w:rPr>
              <w:szCs w:val="24"/>
            </w:rPr>
          </w:pPr>
        </w:p>
        <w:p w14:paraId="3BBEC0B8" w14:textId="77777777">
          <w:pPr>
            <w:keepNext/>
            <w:jc w:val="center"/>
            <w:outlineLvl w:val="2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 xml:space="preserve">SPRENDIMAS  </w:t>
          </w:r>
        </w:p>
        <w:p w14:paraId="3BBEC0B9" w14:textId="428D8AB6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DĖL PRITARIMO / NEPRITARIMO ŠIAULIŲ MIESTO SAVIVALDYBĖS KONTROLĖS IR AUDITO TARNYBOS 2023 METŲ METINIŲ ATASKAITŲ RINKINIUI</w:t>
          </w:r>
        </w:p>
        <w:p w14:paraId="3BBEC0BA" w14:textId="77777777">
          <w:pPr>
            <w:tabs>
              <w:tab w:val="left" w:pos="1296"/>
              <w:tab w:val="center" w:pos="4153"/>
              <w:tab w:val="right" w:pos="8306"/>
            </w:tabs>
            <w:rPr>
              <w:szCs w:val="24"/>
            </w:rPr>
          </w:pPr>
        </w:p>
        <w:p w14:paraId="3BBEC0BB" w14:textId="4CCC3A7E">
          <w:pPr>
            <w:jc w:val="center"/>
            <w:rPr>
              <w:rFonts w:eastAsia="Arial Unicode MS"/>
              <w:szCs w:val="24"/>
            </w:rPr>
          </w:pPr>
          <w:r>
            <w:rPr>
              <w:rFonts w:eastAsia="Arial Unicode MS"/>
              <w:szCs w:val="24"/>
            </w:rPr>
            <w:t xml:space="preserve">2024 m.                    d. Nr.</w:t>
          </w:r>
        </w:p>
        <w:p w14:paraId="3BBEC0BC" w14:textId="77777777">
          <w:pPr>
            <w:jc w:val="center"/>
            <w:rPr>
              <w:rFonts w:eastAsia="Arial Unicode MS"/>
              <w:szCs w:val="24"/>
            </w:rPr>
          </w:pPr>
          <w:r>
            <w:rPr>
              <w:rFonts w:eastAsia="Arial Unicode MS"/>
              <w:szCs w:val="24"/>
            </w:rPr>
            <w:t>Šiauliai</w:t>
          </w:r>
        </w:p>
        <w:p w14:paraId="3BBEC0BD" w14:textId="77777777">
          <w:pPr>
            <w:rPr>
              <w:szCs w:val="24"/>
            </w:rPr>
          </w:pPr>
        </w:p>
        <w:p w14:paraId="3BBEC0BE" w14:textId="77777777">
          <w:pPr>
            <w:ind w:firstLine="62"/>
            <w:jc w:val="center"/>
            <w:rPr>
              <w:color w:val="000000"/>
              <w:szCs w:val="24"/>
            </w:rPr>
          </w:pPr>
        </w:p>
        <w:sdt>
          <w:sdtPr>
            <w:alias w:val="preambule"/>
            <w:tag w:val="part_a59f19a8ee134f56913be34b2da1531f"/>
            <w:lock w:val="sdtLocked"/>
            <w:richText/>
          </w:sdtPr>
          <w:sdtContent>
            <w:p w14:paraId="3BBEC0BF" w14:textId="45F7A39E">
              <w:pPr>
                <w:ind w:firstLine="709"/>
                <w:jc w:val="both"/>
                <w:rPr>
                  <w:spacing w:val="80"/>
                  <w:szCs w:val="24"/>
                </w:rPr>
              </w:pPr>
              <w:r>
                <w:rPr>
                  <w:szCs w:val="24"/>
                </w:rPr>
                <w:t xml:space="preserve">Vadovaudamasi Lietuvos Respublikos vietos savivaldos įstatymo 15 straipsnio 2 dalies 7  punktu, Lietuvos Respublikos viešojo sektoriaus atskaitomybės įstatymo 17 straipsnio 10 dalimi ir Šiaulių miesto savivaldybės tarybos veiklos reglamento, patvirtinto Šiaulių miesto savivaldybės tarybos 2023 m. vasario 2 d. sprendimu Nr. T-30 „Dėl Šiaulių miesto savivaldybės tarybos veiklos reglamento patvirtinimo“, 203 punktu, Šiaulių miesto savivaldybės taryba </w:t>
              </w:r>
              <w:r>
                <w:rPr>
                  <w:spacing w:val="80"/>
                  <w:szCs w:val="24"/>
                </w:rPr>
                <w:t>nusprendži</w:t>
              </w:r>
              <w:r>
                <w:rPr>
                  <w:szCs w:val="24"/>
                </w:rPr>
                <w:t>a :</w:t>
              </w:r>
            </w:p>
          </w:sdtContent>
        </w:sdt>
        <w:sdt>
          <w:sdtPr>
            <w:alias w:val="pastraipa"/>
            <w:tag w:val="part_8992103e334e44fd9778fbeba2dada11"/>
            <w:lock w:val="sdtLocked"/>
            <w:richText/>
          </w:sdtPr>
          <w:sdtContent>
            <w:p w14:paraId="36FAE0A9" w14:textId="4E1F026D">
              <w:pPr>
                <w:tabs>
                  <w:tab w:val="left" w:pos="10992"/>
                  <w:tab w:val="left" w:pos="11908"/>
                  <w:tab w:val="left" w:pos="12824"/>
                  <w:tab w:val="left" w:pos="13740"/>
                  <w:tab w:val="left" w:pos="14656"/>
                </w:tabs>
                <w:ind w:firstLine="709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 xml:space="preserve">Pritarti / Nepritarti Šiaulių miesto savivaldybės kontrolės ir audito tarnybos 2023 metų metinių ataskaitų rinkiniui (pridedama). </w:t>
              </w:r>
            </w:p>
            <w:p w14:paraId="3BBEC0C2" w14:textId="05CFD837">
              <w:pPr>
                <w:tabs>
                  <w:tab w:val="left" w:pos="10992"/>
                  <w:tab w:val="left" w:pos="11908"/>
                  <w:tab w:val="left" w:pos="12824"/>
                  <w:tab w:val="left" w:pos="13740"/>
                  <w:tab w:val="left" w:pos="14656"/>
                </w:tabs>
                <w:ind w:firstLine="709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>Šis sprendimas ne vėliau kaip per vieną mėnesį nuo jo įteikimo dienos gali būti skundžiamas paduodant skundą Lietuvos administracinių ginčų komisijos Šiaulių apygardos skyriui adresu: Dvaro g. 81, Šiauliai, arba Regionų administraciniam teismui bet kuriuose šio teismo rūmuose.</w:t>
              </w:r>
            </w:p>
            <w:p w14:paraId="3BBEC0C3" w14:textId="77777777">
              <w:pPr>
                <w:jc w:val="both"/>
                <w:rPr>
                  <w:szCs w:val="24"/>
                </w:rPr>
              </w:pPr>
            </w:p>
            <w:p w14:paraId="3BBEC0C4" w14:textId="77777777">
              <w:pPr>
                <w:jc w:val="both"/>
                <w:rPr>
                  <w:szCs w:val="24"/>
                </w:rPr>
              </w:pPr>
            </w:p>
          </w:sdtContent>
        </w:sdt>
        <w:sdt>
          <w:sdtPr>
            <w:alias w:val="signatura"/>
            <w:tag w:val="part_1024efb135424c14b450f1cdfc90ff36"/>
            <w:lock w:val="sdtLocked"/>
            <w:richText/>
          </w:sdtPr>
          <w:sdtContent>
            <w:p w14:paraId="3BBEC0C5" w14:textId="6D0D54EB">
              <w:pPr>
                <w:jc w:val="both"/>
                <w:rPr>
                  <w:strike/>
                  <w:szCs w:val="24"/>
                </w:rPr>
              </w:pPr>
              <w:r>
                <w:rPr>
                  <w:szCs w:val="24"/>
                </w:rPr>
                <w:t>Savivaldybės meras</w:t>
                <w:tab/>
                <w:tab/>
                <w:tab/>
                <w:tab/>
                <w:tab/>
                <w:tab/>
                <w:tab/>
                <w:tab/>
                <w:tab/>
              </w:r>
            </w:p>
            <w:p w14:paraId="3BBEC0C6" w14:textId="77777777">
              <w:pPr>
                <w:spacing w:line="360" w:lineRule="auto"/>
                <w:jc w:val="both"/>
                <w:rPr>
                  <w:szCs w:val="24"/>
                </w:rPr>
              </w:pPr>
            </w:p>
            <w:p w14:paraId="3BBEC0C7" w14:textId="77777777">
              <w:pPr>
                <w:rPr>
                  <w:szCs w:val="24"/>
                </w:rPr>
              </w:pPr>
            </w:p>
            <w:p w14:paraId="3BBEC0C8" w14:textId="77777777">
              <w:pPr>
                <w:rPr>
                  <w:szCs w:val="24"/>
                </w:rPr>
              </w:pPr>
            </w:p>
            <w:p w14:paraId="3BBEC0C9" w14:textId="77777777">
              <w:pPr>
                <w:jc w:val="both"/>
                <w:rPr>
                  <w:szCs w:val="24"/>
                </w:rPr>
              </w:pPr>
            </w:p>
            <w:p w14:paraId="3BBEC0CA" w14:textId="77777777">
              <w:pPr>
                <w:jc w:val="both"/>
                <w:rPr>
                  <w:szCs w:val="24"/>
                </w:rPr>
              </w:pPr>
            </w:p>
            <w:p w14:paraId="3BBEC0CB" w14:textId="77777777">
              <w:pPr>
                <w:jc w:val="both"/>
                <w:rPr>
                  <w:szCs w:val="24"/>
                </w:rPr>
              </w:pPr>
            </w:p>
            <w:p w14:paraId="3BBEC0CC" w14:textId="77777777">
              <w:pPr>
                <w:jc w:val="both"/>
                <w:rPr>
                  <w:szCs w:val="24"/>
                </w:rPr>
              </w:pPr>
            </w:p>
            <w:p w14:paraId="3BBEC0CD" w14:textId="77777777">
              <w:pPr>
                <w:jc w:val="both"/>
                <w:rPr>
                  <w:szCs w:val="24"/>
                </w:rPr>
              </w:pPr>
            </w:p>
            <w:p w14:paraId="3BBEC0CE" w14:textId="77777777"/>
            <w:p w14:paraId="3BBEC0CF" w14:textId="77777777">
              <w:pPr>
                <w:spacing w:after="160" w:line="259" w:lineRule="auto"/>
                <w:rPr>
                  <w:sz w:val="22"/>
                  <w:szCs w:val="22"/>
                </w:rPr>
              </w:pPr>
            </w:p>
            <w:p w14:paraId="3BBEC0D0" w14:textId="77777777">
              <w:pPr>
                <w:spacing w:after="160" w:line="259" w:lineRule="auto"/>
                <w:rPr>
                  <w:sz w:val="22"/>
                  <w:szCs w:val="22"/>
                </w:rPr>
              </w:pPr>
            </w:p>
            <w:p w14:paraId="3BBEC0D1" w14:textId="77777777">
              <w:pPr>
                <w:spacing w:after="160" w:line="259" w:lineRule="auto"/>
                <w:rPr>
                  <w:sz w:val="22"/>
                  <w:szCs w:val="22"/>
                </w:rPr>
              </w:pPr>
            </w:p>
            <w:p w14:paraId="3BBEC0D2" w14:textId="77777777">
              <w:pPr>
                <w:spacing w:after="160" w:line="259" w:lineRule="auto"/>
                <w:rPr>
                  <w:sz w:val="22"/>
                  <w:szCs w:val="22"/>
                </w:rPr>
              </w:pPr>
            </w:p>
            <w:p w14:paraId="3BBEC0D3" w14:textId="77777777">
              <w:pPr>
                <w:spacing w:after="160" w:line="259" w:lineRule="auto"/>
                <w:rPr>
                  <w:sz w:val="22"/>
                  <w:szCs w:val="22"/>
                </w:rPr>
              </w:pPr>
            </w:p>
          </w:sdtContent>
        </w:sdt>
      </w:sdtContent>
    </w:sdt>
    <w:sectPr>
      <w:headerReference w:type="default" r:id="rId6"/>
      <w:pgSz w:w="11906" w:h="16838"/>
      <w:pgMar w:top="1701" w:right="567" w:bottom="1134" w:left="1701" w:header="567" w:footer="567" w:gutter="0"/>
      <w:cols w:space="1296"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2A66F59" w14:textId="77777777">
      <w:pPr>
        <w:rPr>
          <w:sz w:val="22"/>
          <w:szCs w:val="22"/>
        </w:rPr>
      </w:pPr>
      <w:r>
        <w:rPr>
          <w:sz w:val="22"/>
          <w:szCs w:val="22"/>
        </w:rPr>
        <w:separator/>
      </w:r>
    </w:p>
  </w:endnote>
  <w:endnote w:type="continuationSeparator" w:id="0">
    <w:p w14:paraId="6E006D83" w14:textId="77777777">
      <w:pPr>
        <w:rPr>
          <w:sz w:val="22"/>
          <w:szCs w:val="22"/>
        </w:rPr>
      </w:pPr>
      <w:r>
        <w:rPr>
          <w:sz w:val="22"/>
          <w:szCs w:val="22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9276E14" w14:textId="77777777">
      <w:pPr>
        <w:rPr>
          <w:sz w:val="22"/>
          <w:szCs w:val="22"/>
        </w:rPr>
      </w:pPr>
      <w:r>
        <w:rPr>
          <w:sz w:val="22"/>
          <w:szCs w:val="22"/>
        </w:rPr>
        <w:separator/>
      </w:r>
    </w:p>
  </w:footnote>
  <w:footnote w:type="continuationSeparator" w:id="0">
    <w:p w14:paraId="691A0622" w14:textId="77777777">
      <w:pPr>
        <w:rPr>
          <w:sz w:val="22"/>
          <w:szCs w:val="22"/>
        </w:rPr>
      </w:pPr>
      <w:r>
        <w:rPr>
          <w:sz w:val="22"/>
          <w:szCs w:val="22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BBEC0DC" w14:textId="77777777">
    <w:pPr>
      <w:tabs>
        <w:tab w:val="center" w:pos="4153"/>
        <w:tab w:val="right" w:pos="8306"/>
      </w:tabs>
      <w:jc w:val="right"/>
      <w:rPr>
        <w:b/>
        <w:szCs w:val="24"/>
        <w:highlight w:val="yellow"/>
      </w:rPr>
    </w:pPr>
  </w:p>
  <w:p w14:paraId="3BBEC0DD" w14:textId="77777777">
    <w:pPr>
      <w:tabs>
        <w:tab w:val="center" w:pos="4153"/>
        <w:tab w:val="right" w:pos="8306"/>
      </w:tabs>
      <w:jc w:val="right"/>
      <w:rPr>
        <w:b/>
        <w:szCs w:val="24"/>
        <w:highlight w:val="yellow"/>
      </w:rPr>
    </w:pPr>
  </w:p>
  <w:p w14:paraId="3BBEC0DE" w14:textId="77777777">
    <w:pPr>
      <w:tabs>
        <w:tab w:val="center" w:pos="4153"/>
        <w:tab w:val="right" w:pos="8306"/>
      </w:tabs>
      <w:jc w:val="right"/>
      <w:rPr>
        <w:b/>
        <w:szCs w:val="24"/>
      </w:rPr>
    </w:pPr>
    <w:r>
      <w:rPr>
        <w:b/>
        <w:szCs w:val="24"/>
      </w:rPr>
      <w:t>Projektas</w:t>
    </w: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806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BBEC0B6"/>
  <w15:docId w15:val="{9DA8AA55-C4D6-4084-A41F-AA9CB8DF5827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1390617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otnotes" Target="footnotes.xml"/>
  <Relationship Id="rId5" Type="http://schemas.openxmlformats.org/officeDocument/2006/relationships/endnotes" Target="endnotes.xml"/>
  <Relationship Id="rId6" Type="http://schemas.openxmlformats.org/officeDocument/2006/relationships/header" Target="header1.xml"/>
  <Relationship Id="rId7" Type="http://schemas.openxmlformats.org/officeDocument/2006/relationships/fontTable" Target="fontTable.xml"/>
  <Relationship Id="rId8" Type="http://schemas.openxmlformats.org/officeDocument/2006/relationships/theme" Target="theme/theme1.xml"/>
  <Relationship Id="rId9" Type="http://schemas.openxmlformats.org/officeDocument/2006/relationships/customXml" Target="../customXml/item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5dc4e6dcbc8f448a83d21ab8d9b3c279" PartId="f97450602915400191c8c843e5eddbc3">
    <Part Type="preambule" DocPartId="6cbb960aa38c42f69c69ca2bc9f45bcf" PartId="a59f19a8ee134f56913be34b2da1531f"/>
    <Part Type="pastraipa" DocPartId="16108a155f7a4acab76c3b7be1e2aed8" PartId="8992103e334e44fd9778fbeba2dada11"/>
    <Part Type="signatura" DocPartId="5201e6f029a0415f86f30c3fd69528d9" PartId="1024efb135424c14b450f1cdfc90ff36"/>
  </Part>
</Parts>
</file>

<file path=customXml/itemProps1.xml><?xml version="1.0" encoding="utf-8"?>
<ds:datastoreItem xmlns:ds="http://schemas.openxmlformats.org/officeDocument/2006/customXml" ds:itemID="{CEA6F188-8536-40DA-8DC1-5DCB17DE44F7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146</Words>
  <Characters>991</Characters>
  <Application>Microsoft Office Word</Application>
  <DocSecurity>4</DocSecurity>
  <Lines>39</Lines>
  <Paragraphs>10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1127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2024-03-12T15:08:00Z</dcterms:created>
  <dc:creator>Irena Bilkštienė</dc:creator>
  <lastModifiedBy>adlibuser</lastModifiedBy>
  <lastPrinted>2019-04-09T07:23:00Z</lastPrinted>
  <dcterms:modified xsi:type="dcterms:W3CDTF">2024-03-12T15:08:00Z</dcterms:modified>
  <revision>2</revision>
</coreProperties>
</file>