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a4a16d046424135b63da591e2657999"/>
        <w:lock w:val="sdtLocked"/>
        <w:richText/>
      </w:sdtPr>
      <w:sdtContent>
        <w:p w14:paraId="70D95C72" w14:textId="77777777">
          <w:pPr>
            <w:tabs>
              <w:tab w:val="center" w:pos="4153"/>
              <w:tab w:val="right" w:pos="9100"/>
            </w:tabs>
            <w:suppressAutoHyphens/>
            <w:rPr>
              <w:rFonts w:ascii="Tahoma" w:hAnsi="Tahoma"/>
              <w:spacing w:val="10"/>
              <w:sz w:val="20"/>
              <w:lang w:eastAsia="lt-LT"/>
            </w:rPr>
          </w:pPr>
        </w:p>
        <w:p w14:paraId="3D05AA57" w14:textId="77777777">
          <w:pPr>
            <w:suppressAutoHyphens/>
            <w:jc w:val="right"/>
            <w:rPr>
              <w:b/>
              <w:bCs/>
              <w:lang w:eastAsia="lt-LT"/>
            </w:rPr>
          </w:pPr>
        </w:p>
        <w:p w14:paraId="206BC0D3" w14:textId="68631ABD">
          <w:pPr>
            <w:suppressAutoHyphens/>
            <w:jc w:val="right"/>
            <w:rPr>
              <w:b/>
              <w:bCs/>
              <w:lang w:eastAsia="lt-LT"/>
            </w:rPr>
          </w:pPr>
          <w:r>
            <w:rPr>
              <w:b/>
              <w:bCs/>
              <w:lang w:eastAsia="lt-LT"/>
            </w:rPr>
            <w:t>Projektas</w:t>
          </w:r>
        </w:p>
        <w:p w14:paraId="4276F35D" w14:textId="77777777">
          <w:pPr>
            <w:suppressAutoHyphens/>
            <w:jc w:val="center"/>
            <w:rPr>
              <w:b/>
              <w:bCs/>
              <w:lang w:eastAsia="lt-LT"/>
            </w:rPr>
          </w:pPr>
        </w:p>
        <w:p w14:paraId="3637DA19" w14:textId="77777777">
          <w:pPr>
            <w:suppressAutoHyphens/>
            <w:jc w:val="center"/>
            <w:rPr>
              <w:b/>
              <w:bCs/>
              <w:lang w:eastAsia="lt-LT"/>
            </w:rPr>
          </w:pPr>
        </w:p>
        <w:p w14:paraId="229ACF5B" w14:textId="4EECCA39">
          <w:pPr>
            <w:suppressAutoHyphens/>
            <w:jc w:val="center"/>
            <w:rPr>
              <w:b/>
              <w:bCs/>
              <w:lang w:eastAsia="lt-LT"/>
            </w:rPr>
          </w:pPr>
          <w:r>
            <w:rPr>
              <w:b/>
              <w:bCs/>
              <w:lang w:eastAsia="lt-LT"/>
            </w:rPr>
            <w:t>LIETUVOS RESPUBLIKOS APLINKOS MINISTRAS</w:t>
          </w:r>
        </w:p>
        <w:p w14:paraId="64E5520D" w14:textId="1F3C842A">
          <w:pPr>
            <w:suppressAutoHyphens/>
            <w:jc w:val="center"/>
            <w:rPr>
              <w:b/>
              <w:bCs/>
              <w:lang w:eastAsia="lt-LT"/>
            </w:rPr>
          </w:pPr>
        </w:p>
        <w:p w14:paraId="5BF5217F" w14:textId="77777777">
          <w:pPr>
            <w:suppressAutoHyphens/>
            <w:jc w:val="center"/>
            <w:rPr>
              <w:b/>
              <w:bCs/>
              <w:lang w:eastAsia="lt-LT"/>
            </w:rPr>
          </w:pPr>
        </w:p>
        <w:p w14:paraId="1CF7AD21" w14:textId="70F82CA2">
          <w:pPr>
            <w:suppressAutoHyphens/>
            <w:jc w:val="center"/>
            <w:rPr>
              <w:b/>
              <w:bCs/>
              <w:lang w:eastAsia="lt-LT"/>
            </w:rPr>
          </w:pPr>
          <w:r>
            <w:rPr>
              <w:b/>
              <w:bCs/>
              <w:lang w:eastAsia="lt-LT"/>
            </w:rPr>
            <w:t>ĮSAKYMAS</w:t>
          </w:r>
        </w:p>
        <w:p w14:paraId="6D72CD16" w14:textId="7139AA11">
          <w:pPr>
            <w:suppressAutoHyphens/>
            <w:jc w:val="center"/>
            <w:rPr>
              <w:b/>
              <w:bCs/>
              <w:lang w:eastAsia="lt-LT"/>
            </w:rPr>
          </w:pPr>
          <w:r>
            <w:rPr>
              <w:b/>
              <w:bCs/>
              <w:lang w:eastAsia="lt-LT"/>
            </w:rPr>
            <w:t>DĖL TEISĖKŪROS POVEIKIO APLINKAI IR KLIMATO KAITAI (</w:t>
          </w:r>
          <w:r>
            <w:rPr>
              <w:b/>
              <w:bCs/>
              <w:i/>
              <w:iCs/>
              <w:lang w:eastAsia="lt-LT"/>
            </w:rPr>
            <w:t>EX ANTE</w:t>
          </w:r>
          <w:r>
            <w:rPr>
              <w:b/>
              <w:bCs/>
              <w:lang w:eastAsia="lt-LT"/>
            </w:rPr>
            <w:t>) VERTINIMO TVARKOS APRAŠO PATVIRTINIMO</w:t>
          </w:r>
        </w:p>
        <w:p w14:paraId="68DC8A0D" w14:textId="685564ED">
          <w:pPr>
            <w:suppressAutoHyphens/>
            <w:jc w:val="center"/>
            <w:rPr>
              <w:lang w:eastAsia="lt-LT"/>
            </w:rPr>
          </w:pPr>
          <w:r>
            <w:rPr>
              <w:lang w:eastAsia="lt-LT"/>
            </w:rPr>
            <w:t xml:space="preserve">2024 m.                                 d. Nr. </w:t>
          </w:r>
        </w:p>
        <w:p w14:paraId="6FA905B6" w14:textId="77777777">
          <w:pPr>
            <w:suppressAutoHyphens/>
            <w:jc w:val="center"/>
            <w:rPr>
              <w:lang w:eastAsia="lt-LT"/>
            </w:rPr>
          </w:pPr>
          <w:r>
            <w:rPr>
              <w:lang w:eastAsia="lt-LT"/>
            </w:rPr>
            <w:t>Vilnius</w:t>
          </w:r>
        </w:p>
        <w:p w14:paraId="424D1406" w14:textId="77777777">
          <w:pPr>
            <w:suppressAutoHyphens/>
            <w:jc w:val="center"/>
            <w:rPr>
              <w:lang w:eastAsia="lt-LT"/>
            </w:rPr>
          </w:pPr>
        </w:p>
        <w:p w14:paraId="071E6A33" w14:textId="77777777">
          <w:pPr>
            <w:suppressAutoHyphens/>
            <w:jc w:val="center"/>
            <w:rPr>
              <w:lang w:eastAsia="lt-LT"/>
            </w:rPr>
          </w:pPr>
        </w:p>
        <w:sdt>
          <w:sdtPr>
            <w:alias w:val="preambule"/>
            <w:tag w:val="part_079d97838c774ab5bee2aff9f6a01544"/>
            <w:lock w:val="sdtLocked"/>
            <w:richText/>
          </w:sdtPr>
          <w:sdtContent>
            <w:p w14:paraId="347A7209" w14:textId="01705AB1">
              <w:pPr>
                <w:suppressAutoHyphens/>
                <w:ind w:firstLine="709"/>
                <w:jc w:val="both"/>
                <w:textAlignment w:val="center"/>
                <w:rPr>
                  <w:szCs w:val="24"/>
                </w:rPr>
              </w:pPr>
              <w:r>
                <w:rPr>
                  <w:color w:val="000000"/>
                  <w:szCs w:val="24"/>
                </w:rPr>
                <w:t xml:space="preserve">Vadovaudamasis Lietuvos Respublikos </w:t>
              </w:r>
              <w:r>
                <w:rPr>
                  <w:szCs w:val="24"/>
                </w:rPr>
                <w:t xml:space="preserve">teisėkūros pagrindų įstatymo Nr. XI-2220 15 straipsnio pakeitimo įstatymo 2 straipsnio 2 dalimi, Lietuvos Respublikos Vyriausybės 2024 m. sausio 17 d. nutarimo Nr. 63 „Dėl Lietuvos Respublikos Vyriausybės 2003 m. vasario 26 d. nutarimo Nr. 276 „Dėl Numatomo teisinio reguliavimo poveikio vertinimo metodikos patvirtinimo“ pakeitimo“ 3 punktu, </w:t>
              </w:r>
              <w:r>
                <w:rPr>
                  <w:color w:val="000000"/>
                  <w:szCs w:val="24"/>
                </w:rPr>
                <w:t>įgyvendindamas Aštuonioliktosios Lietuvos Respublikos Vyriausybės programos, kuriai pritarta Lietuvos Respublikos Seimo 2020 m. gruodžio 11 d. nutarimu Nr. XIV-72 „Dėl Aštuonioliktosios Lietuvos Respublikos Vyriausybės programos“, 169.2 papunktį</w:t>
              </w:r>
              <w:r>
                <w:rPr>
                  <w:szCs w:val="24"/>
                </w:rPr>
                <w:t>:</w:t>
              </w:r>
            </w:p>
          </w:sdtContent>
        </w:sdt>
        <w:sdt>
          <w:sdtPr>
            <w:alias w:val="1 p."/>
            <w:tag w:val="part_42778aac498f4972a5241aa0fc375323"/>
            <w:lock w:val="sdtLocked"/>
            <w:richText/>
          </w:sdtPr>
          <w:sdtContent>
            <w:p w14:paraId="5AAA12F0" w14:textId="088369B1">
              <w:pPr>
                <w:suppressAutoHyphens/>
                <w:ind w:firstLine="709"/>
                <w:jc w:val="both"/>
                <w:textAlignment w:val="center"/>
                <w:rPr>
                  <w:szCs w:val="24"/>
                </w:rPr>
              </w:pPr>
              <w:sdt>
                <w:sdtPr>
                  <w:alias w:val="Numeris"/>
                  <w:tag w:val="nr_42778aac498f4972a5241aa0fc375323"/>
                  <w:lock w:val="sdtLocked"/>
                  <w:richText/>
                </w:sdtPr>
                <w:sdtContent>
                  <w:r>
                    <w:rPr>
                      <w:szCs w:val="24"/>
                    </w:rPr>
                    <w:t>1</w:t>
                  </w:r>
                </w:sdtContent>
              </w:sdt>
              <w:r>
                <w:rPr>
                  <w:szCs w:val="24"/>
                </w:rPr>
                <w:t xml:space="preserve">. T v i r t i n u  Teisėkūros poveikio aplinkai ir klimato kaitai (</w:t>
              </w:r>
              <w:r>
                <w:rPr>
                  <w:i/>
                  <w:iCs/>
                  <w:szCs w:val="24"/>
                </w:rPr>
                <w:t>ex ante</w:t>
              </w:r>
              <w:r>
                <w:rPr>
                  <w:szCs w:val="24"/>
                </w:rPr>
                <w:t>) vertinimo tvarkos aprašą (pridedama).</w:t>
              </w:r>
            </w:p>
          </w:sdtContent>
        </w:sdt>
        <w:sdt>
          <w:sdtPr>
            <w:alias w:val="2 p."/>
            <w:tag w:val="part_4c0aa0b88a1e4b459c3891b2a91ca617"/>
            <w:lock w:val="sdtLocked"/>
            <w:richText/>
          </w:sdtPr>
          <w:sdtContent>
            <w:p w14:paraId="17CB1AEA" w14:textId="0FEAEB89">
              <w:pPr>
                <w:suppressAutoHyphens/>
                <w:ind w:firstLine="709"/>
                <w:jc w:val="both"/>
                <w:textAlignment w:val="center"/>
                <w:rPr>
                  <w:szCs w:val="24"/>
                </w:rPr>
              </w:pPr>
              <w:sdt>
                <w:sdtPr>
                  <w:alias w:val="Numeris"/>
                  <w:tag w:val="nr_4c0aa0b88a1e4b459c3891b2a91ca617"/>
                  <w:lock w:val="sdtLocked"/>
                  <w:richText/>
                </w:sdtPr>
                <w:sdtContent>
                  <w:r>
                    <w:rPr>
                      <w:szCs w:val="24"/>
                    </w:rPr>
                    <w:t>2</w:t>
                  </w:r>
                </w:sdtContent>
              </w:sdt>
              <w:r>
                <w:rPr>
                  <w:szCs w:val="24"/>
                </w:rPr>
                <w:t>. Įgalioju Aplinkos apsaugos agentūrą (toliau – Agentūra):</w:t>
              </w:r>
            </w:p>
            <w:sdt>
              <w:sdtPr>
                <w:alias w:val="2.1 pp."/>
                <w:tag w:val="part_6b9db24e46904491b7063718b8aa5ba8"/>
                <w:lock w:val="sdtLocked"/>
                <w:richText/>
              </w:sdtPr>
              <w:sdtContent>
                <w:p w14:paraId="0EC30998" w14:textId="5B05E120">
                  <w:pPr>
                    <w:suppressAutoHyphens/>
                    <w:ind w:firstLine="709"/>
                    <w:jc w:val="both"/>
                    <w:textAlignment w:val="center"/>
                    <w:rPr>
                      <w:szCs w:val="24"/>
                    </w:rPr>
                  </w:pPr>
                  <w:sdt>
                    <w:sdtPr>
                      <w:alias w:val="Numeris"/>
                      <w:tag w:val="nr_6b9db24e46904491b7063718b8aa5ba8"/>
                      <w:lock w:val="sdtLocked"/>
                      <w:richText/>
                    </w:sdtPr>
                    <w:sdtContent>
                      <w:r>
                        <w:rPr>
                          <w:szCs w:val="24"/>
                        </w:rPr>
                        <w:t>2.1</w:t>
                      </w:r>
                    </w:sdtContent>
                  </w:sdt>
                  <w:r>
                    <w:rPr>
                      <w:szCs w:val="24"/>
                    </w:rPr>
                    <w:t>. iki 2024 m. kovo 1 d. parengti ir institucijos vadovo įsakymu patvirtinti teisėkūros poveikio aplinkai ir klimato kaitai kiekybinio (</w:t>
                  </w:r>
                  <w:r>
                    <w:rPr>
                      <w:i/>
                      <w:iCs/>
                      <w:szCs w:val="24"/>
                    </w:rPr>
                    <w:t>ex ante</w:t>
                  </w:r>
                  <w:r>
                    <w:rPr>
                      <w:szCs w:val="24"/>
                    </w:rPr>
                    <w:t xml:space="preserve">) vertinimo (toliau </w:t>
                  </w:r>
                  <w:r>
                    <w:rPr>
                      <w:color w:val="000000"/>
                      <w:sz w:val="20"/>
                    </w:rPr>
                    <w:t>–</w:t>
                  </w:r>
                  <w:r>
                    <w:rPr>
                      <w:szCs w:val="24"/>
                    </w:rPr>
                    <w:t xml:space="preserve"> poveikio kiekybinis vertinimas) metodines rekomendacijas (toliau – metodinės rekomendacijos) šioms aplinkos ir klimato kaitos sritims:</w:t>
                  </w:r>
                </w:p>
                <w:sdt>
                  <w:sdtPr>
                    <w:alias w:val="2.1.1 pp."/>
                    <w:tag w:val="part_2b42551b96a94207b347d31cf72ab4be"/>
                    <w:lock w:val="sdtLocked"/>
                    <w:richText/>
                  </w:sdtPr>
                  <w:sdtContent>
                    <w:p w14:paraId="5E661DEB" w14:textId="2D75755D">
                      <w:pPr>
                        <w:suppressAutoHyphens/>
                        <w:ind w:firstLine="709"/>
                        <w:jc w:val="both"/>
                        <w:textAlignment w:val="center"/>
                        <w:rPr>
                          <w:szCs w:val="24"/>
                        </w:rPr>
                      </w:pPr>
                      <w:sdt>
                        <w:sdtPr>
                          <w:alias w:val="Numeris"/>
                          <w:tag w:val="nr_2b42551b96a94207b347d31cf72ab4be"/>
                          <w:lock w:val="sdtLocked"/>
                          <w:richText/>
                        </w:sdtPr>
                        <w:sdtContent>
                          <w:r>
                            <w:rPr>
                              <w:szCs w:val="24"/>
                            </w:rPr>
                            <w:t>2.1.1</w:t>
                          </w:r>
                        </w:sdtContent>
                      </w:sdt>
                      <w:r>
                        <w:rPr>
                          <w:szCs w:val="24"/>
                        </w:rPr>
                        <w:t>. klimato kaitos švelninimas – atliekų, pramonės, transporto, žemės ūkio sektoriai;</w:t>
                      </w:r>
                    </w:p>
                  </w:sdtContent>
                </w:sdt>
                <w:sdt>
                  <w:sdtPr>
                    <w:alias w:val="2.1.2 pp."/>
                    <w:tag w:val="part_80722d361d5c489a8f5de154c908e339"/>
                    <w:lock w:val="sdtLocked"/>
                    <w:richText/>
                  </w:sdtPr>
                  <w:sdtContent>
                    <w:p w14:paraId="05C2A897" w14:textId="2B8E2606">
                      <w:pPr>
                        <w:suppressAutoHyphens/>
                        <w:ind w:firstLine="709"/>
                        <w:jc w:val="both"/>
                        <w:textAlignment w:val="center"/>
                        <w:rPr>
                          <w:szCs w:val="24"/>
                        </w:rPr>
                      </w:pPr>
                      <w:sdt>
                        <w:sdtPr>
                          <w:alias w:val="Numeris"/>
                          <w:tag w:val="nr_80722d361d5c489a8f5de154c908e339"/>
                          <w:lock w:val="sdtLocked"/>
                          <w:richText/>
                        </w:sdtPr>
                        <w:sdtContent>
                          <w:r>
                            <w:rPr>
                              <w:szCs w:val="24"/>
                            </w:rPr>
                            <w:t>2.1.2</w:t>
                          </w:r>
                        </w:sdtContent>
                      </w:sdt>
                      <w:r>
                        <w:rPr>
                          <w:szCs w:val="24"/>
                        </w:rPr>
                        <w:t>. aplinkos oro kokybė;</w:t>
                      </w:r>
                    </w:p>
                  </w:sdtContent>
                </w:sdt>
              </w:sdtContent>
            </w:sdt>
            <w:sdt>
              <w:sdtPr>
                <w:alias w:val="2.2 pp."/>
                <w:tag w:val="part_60b663b929ca4de18901a089faad5da3"/>
                <w:lock w:val="sdtLocked"/>
                <w:richText/>
              </w:sdtPr>
              <w:sdtContent>
                <w:p w14:paraId="49A28411" w14:textId="475C2323">
                  <w:pPr>
                    <w:suppressAutoHyphens/>
                    <w:ind w:firstLine="709"/>
                    <w:jc w:val="both"/>
                    <w:textAlignment w:val="center"/>
                    <w:rPr>
                      <w:szCs w:val="24"/>
                    </w:rPr>
                  </w:pPr>
                  <w:sdt>
                    <w:sdtPr>
                      <w:alias w:val="Numeris"/>
                      <w:tag w:val="nr_60b663b929ca4de18901a089faad5da3"/>
                      <w:lock w:val="sdtLocked"/>
                      <w:richText/>
                    </w:sdtPr>
                    <w:sdtContent>
                      <w:r>
                        <w:rPr>
                          <w:szCs w:val="24"/>
                        </w:rPr>
                        <w:t>2.2</w:t>
                      </w:r>
                    </w:sdtContent>
                  </w:sdt>
                  <w:r>
                    <w:rPr>
                      <w:szCs w:val="24"/>
                    </w:rPr>
                    <w:t>. iki 2024 m. spalio 31 d. Aplinkos ministerijai pasiūlyti poveikio kiekybinio vertinimo rodiklius ir jų ribines reikšmes, iki 2024 m. gruodžio 31 d. parengti ir institucijos vadovo įsakymu patvirtinti metodines rekomendacijas šioms aplinkos ir klimato kaitos sritims:</w:t>
                  </w:r>
                </w:p>
                <w:sdt>
                  <w:sdtPr>
                    <w:alias w:val="2.2.1 pp."/>
                    <w:tag w:val="part_3541d9c39e10461792423df32eaa7179"/>
                    <w:lock w:val="sdtLocked"/>
                    <w:richText/>
                  </w:sdtPr>
                  <w:sdtContent>
                    <w:p w14:paraId="7673A050" w14:textId="0CB3BD2F">
                      <w:pPr>
                        <w:suppressAutoHyphens/>
                        <w:ind w:firstLine="709"/>
                        <w:jc w:val="both"/>
                        <w:textAlignment w:val="center"/>
                        <w:rPr>
                          <w:color w:val="000000"/>
                          <w:szCs w:val="24"/>
                        </w:rPr>
                      </w:pPr>
                      <w:sdt>
                        <w:sdtPr>
                          <w:alias w:val="Numeris"/>
                          <w:tag w:val="nr_3541d9c39e10461792423df32eaa7179"/>
                          <w:lock w:val="sdtLocked"/>
                          <w:richText/>
                        </w:sdtPr>
                        <w:sdtContent>
                          <w:r>
                            <w:rPr>
                              <w:szCs w:val="24"/>
                            </w:rPr>
                            <w:t>2.2.1</w:t>
                          </w:r>
                        </w:sdtContent>
                      </w:sdt>
                      <w:r>
                        <w:rPr>
                          <w:szCs w:val="24"/>
                        </w:rPr>
                        <w:t xml:space="preserve">. klimato kaitos švelninimas </w:t>
                      </w:r>
                      <w:r>
                        <w:rPr>
                          <w:color w:val="000000"/>
                          <w:szCs w:val="24"/>
                        </w:rPr>
                        <w:t>– energetikos sektorius;</w:t>
                      </w:r>
                    </w:p>
                  </w:sdtContent>
                </w:sdt>
                <w:sdt>
                  <w:sdtPr>
                    <w:alias w:val="2.2.2 pp."/>
                    <w:tag w:val="part_32cee645f6204c6696eb4775f0cee61f"/>
                    <w:lock w:val="sdtLocked"/>
                    <w:richText/>
                  </w:sdtPr>
                  <w:sdtContent>
                    <w:p w14:paraId="1D60F4EA" w14:textId="622B039F">
                      <w:pPr>
                        <w:suppressAutoHyphens/>
                        <w:ind w:firstLine="709"/>
                        <w:jc w:val="both"/>
                        <w:textAlignment w:val="center"/>
                        <w:rPr>
                          <w:color w:val="000000"/>
                          <w:szCs w:val="24"/>
                        </w:rPr>
                      </w:pPr>
                      <w:sdt>
                        <w:sdtPr>
                          <w:alias w:val="Numeris"/>
                          <w:tag w:val="nr_32cee645f6204c6696eb4775f0cee61f"/>
                          <w:lock w:val="sdtLocked"/>
                          <w:richText/>
                        </w:sdtPr>
                        <w:sdtContent>
                          <w:r>
                            <w:rPr>
                              <w:color w:val="000000"/>
                              <w:szCs w:val="24"/>
                            </w:rPr>
                            <w:t>2.2.2</w:t>
                          </w:r>
                        </w:sdtContent>
                      </w:sdt>
                      <w:r>
                        <w:rPr>
                          <w:color w:val="000000"/>
                          <w:szCs w:val="24"/>
                        </w:rPr>
                        <w:t>. vandenų būklė;</w:t>
                      </w:r>
                    </w:p>
                  </w:sdtContent>
                </w:sdt>
                <w:sdt>
                  <w:sdtPr>
                    <w:alias w:val="2.2.3 pp."/>
                    <w:tag w:val="part_38f3f42519cc4859a0e301009fc5fd8e"/>
                    <w:lock w:val="sdtLocked"/>
                    <w:richText/>
                  </w:sdtPr>
                  <w:sdtContent>
                    <w:p w14:paraId="0B152A41" w14:textId="07557585">
                      <w:pPr>
                        <w:suppressAutoHyphens/>
                        <w:ind w:firstLine="709"/>
                        <w:jc w:val="both"/>
                        <w:textAlignment w:val="center"/>
                        <w:rPr>
                          <w:color w:val="000000"/>
                          <w:szCs w:val="24"/>
                        </w:rPr>
                      </w:pPr>
                      <w:sdt>
                        <w:sdtPr>
                          <w:alias w:val="Numeris"/>
                          <w:tag w:val="nr_38f3f42519cc4859a0e301009fc5fd8e"/>
                          <w:lock w:val="sdtLocked"/>
                          <w:richText/>
                        </w:sdtPr>
                        <w:sdtContent>
                          <w:r>
                            <w:rPr>
                              <w:color w:val="000000"/>
                              <w:szCs w:val="24"/>
                            </w:rPr>
                            <w:t>2.2.3</w:t>
                          </w:r>
                        </w:sdtContent>
                      </w:sdt>
                      <w:r>
                        <w:rPr>
                          <w:color w:val="000000"/>
                          <w:szCs w:val="24"/>
                        </w:rPr>
                        <w:t>. išteklių naudojimo efektyvumas;</w:t>
                      </w:r>
                    </w:p>
                  </w:sdtContent>
                </w:sdt>
              </w:sdtContent>
            </w:sdt>
            <w:sdt>
              <w:sdtPr>
                <w:alias w:val="2.3 pp."/>
                <w:tag w:val="part_b849da6e4ef64e6b9f5989e0faa564ed"/>
                <w:lock w:val="sdtLocked"/>
                <w:richText/>
              </w:sdtPr>
              <w:sdtContent>
                <w:p w14:paraId="74CAE618" w14:textId="0A7E6D7D">
                  <w:pPr>
                    <w:suppressAutoHyphens/>
                    <w:ind w:firstLine="709"/>
                    <w:jc w:val="both"/>
                    <w:textAlignment w:val="center"/>
                    <w:rPr>
                      <w:szCs w:val="24"/>
                    </w:rPr>
                  </w:pPr>
                  <w:sdt>
                    <w:sdtPr>
                      <w:alias w:val="Numeris"/>
                      <w:tag w:val="nr_b849da6e4ef64e6b9f5989e0faa564ed"/>
                      <w:lock w:val="sdtLocked"/>
                      <w:richText/>
                    </w:sdtPr>
                    <w:sdtContent>
                      <w:r>
                        <w:rPr>
                          <w:szCs w:val="24"/>
                        </w:rPr>
                        <w:t>2.3</w:t>
                      </w:r>
                    </w:sdtContent>
                  </w:sdt>
                  <w:r>
                    <w:rPr>
                      <w:szCs w:val="24"/>
                    </w:rPr>
                    <w:t>. kiekvienais kalendoriniais metais peržiūrėti ir, jei reikia, atnaujinti metodines rekomendacijas.</w:t>
                  </w:r>
                </w:p>
              </w:sdtContent>
            </w:sdt>
            <w:sdt>
              <w:sdtPr>
                <w:alias w:val="2.4 pp."/>
                <w:tag w:val="part_544970b6daa6409592e1b998f123c7c7"/>
                <w:lock w:val="sdtLocked"/>
                <w:richText/>
              </w:sdtPr>
              <w:sdtContent>
                <w:p w14:paraId="793A1F6D" w14:textId="6BC64BC5">
                  <w:pPr>
                    <w:suppressAutoHyphens/>
                    <w:ind w:firstLine="709"/>
                    <w:jc w:val="both"/>
                    <w:textAlignment w:val="center"/>
                    <w:rPr>
                      <w:szCs w:val="24"/>
                    </w:rPr>
                  </w:pPr>
                  <w:sdt>
                    <w:sdtPr>
                      <w:alias w:val="Numeris"/>
                      <w:tag w:val="nr_544970b6daa6409592e1b998f123c7c7"/>
                      <w:lock w:val="sdtLocked"/>
                      <w:richText/>
                    </w:sdtPr>
                    <w:sdtContent>
                      <w:r>
                        <w:rPr>
                          <w:szCs w:val="24"/>
                        </w:rPr>
                        <w:t>2.4</w:t>
                      </w:r>
                    </w:sdtContent>
                  </w:sdt>
                  <w:r>
                    <w:rPr>
                      <w:szCs w:val="24"/>
                    </w:rPr>
                    <w:t>. Agentūros interneto svetainėje skelbti savo ir šio įsakymo 3.1 papunktyje išvardytų institucijų parengtas ir jų vadovų įsakymais patvirtintas metodines rekomendacijas, konsultuoti metodinių rekomendacijų taikymo klausimais.</w:t>
                  </w:r>
                </w:p>
              </w:sdtContent>
            </w:sdt>
          </w:sdtContent>
        </w:sdt>
        <w:sdt>
          <w:sdtPr>
            <w:alias w:val="3 p."/>
            <w:tag w:val="part_47d611940e314f7f889216f87282f9f1"/>
            <w:lock w:val="sdtLocked"/>
            <w:richText/>
          </w:sdtPr>
          <w:sdtContent>
            <w:p w14:paraId="611D8D74" w14:textId="15F0657E">
              <w:pPr>
                <w:suppressAutoHyphens/>
                <w:ind w:firstLine="709"/>
                <w:jc w:val="both"/>
                <w:textAlignment w:val="center"/>
                <w:rPr>
                  <w:szCs w:val="24"/>
                </w:rPr>
              </w:pPr>
              <w:sdt>
                <w:sdtPr>
                  <w:alias w:val="Numeris"/>
                  <w:tag w:val="nr_47d611940e314f7f889216f87282f9f1"/>
                  <w:lock w:val="sdtLocked"/>
                  <w:richText/>
                </w:sdtPr>
                <w:sdtContent>
                  <w:r>
                    <w:rPr>
                      <w:szCs w:val="24"/>
                    </w:rPr>
                    <w:t>3</w:t>
                  </w:r>
                </w:sdtContent>
              </w:sdt>
              <w:r>
                <w:rPr>
                  <w:szCs w:val="24"/>
                </w:rPr>
                <w:t>. Įgalioju Valstybinę miškų tarnybą, Lietuvos geologijos tarnybą ir Valstybinę saugomų teritorijų tarnybą prie Aplinkos ministerijos:</w:t>
              </w:r>
            </w:p>
            <w:sdt>
              <w:sdtPr>
                <w:alias w:val="3.1 pp."/>
                <w:tag w:val="part_3f8df44debba4ffdb85538fb9838b04e"/>
                <w:lock w:val="sdtLocked"/>
                <w:richText/>
              </w:sdtPr>
              <w:sdtContent>
                <w:p w14:paraId="74014DF6" w14:textId="61E9EF34">
                  <w:pPr>
                    <w:suppressAutoHyphens/>
                    <w:ind w:firstLine="709"/>
                    <w:jc w:val="both"/>
                    <w:textAlignment w:val="center"/>
                    <w:rPr>
                      <w:szCs w:val="24"/>
                    </w:rPr>
                  </w:pPr>
                  <w:sdt>
                    <w:sdtPr>
                      <w:alias w:val="Numeris"/>
                      <w:tag w:val="nr_3f8df44debba4ffdb85538fb9838b04e"/>
                      <w:lock w:val="sdtLocked"/>
                      <w:richText/>
                    </w:sdtPr>
                    <w:sdtContent>
                      <w:r>
                        <w:rPr>
                          <w:szCs w:val="24"/>
                        </w:rPr>
                        <w:t>3.1</w:t>
                      </w:r>
                    </w:sdtContent>
                  </w:sdt>
                  <w:r>
                    <w:rPr>
                      <w:szCs w:val="24"/>
                    </w:rPr>
                    <w:t>. pagal kompetenciją iki 2024 m. spalio 31 d. Aplinkos ministerijai pasiūlyti poveikio kiekybinio vertinimo rodiklius ir jų ribines reikšmes, iki 2024 m. gruodžio 31 d., vadovaujantis 2.1 papunktyje nurodytų Agentūros parengtų metodinių rekomendacijų principais, parengti ir institucijų vadovų įsakymais patvirtinti metodines rekomendacijas šioms aplinkos ir klimato kaitos sritims:</w:t>
                  </w:r>
                </w:p>
                <w:sdt>
                  <w:sdtPr>
                    <w:alias w:val="3.1.1 pp."/>
                    <w:tag w:val="part_f8472f35898b461a85c0a8a8ab4d0a0a"/>
                    <w:lock w:val="sdtLocked"/>
                    <w:richText/>
                  </w:sdtPr>
                  <w:sdtContent>
                    <w:p w14:paraId="0E847F99" w14:textId="0E658A34">
                      <w:pPr>
                        <w:suppressAutoHyphens/>
                        <w:ind w:firstLine="709"/>
                        <w:jc w:val="both"/>
                        <w:textAlignment w:val="center"/>
                        <w:rPr>
                          <w:szCs w:val="24"/>
                        </w:rPr>
                      </w:pPr>
                      <w:sdt>
                        <w:sdtPr>
                          <w:alias w:val="Numeris"/>
                          <w:tag w:val="nr_f8472f35898b461a85c0a8a8ab4d0a0a"/>
                          <w:lock w:val="sdtLocked"/>
                          <w:richText/>
                        </w:sdtPr>
                        <w:sdtContent>
                          <w:r>
                            <w:rPr>
                              <w:szCs w:val="24"/>
                            </w:rPr>
                            <w:t>3.1.1</w:t>
                          </w:r>
                        </w:sdtContent>
                      </w:sdt>
                      <w:r>
                        <w:rPr>
                          <w:szCs w:val="24"/>
                        </w:rPr>
                        <w:t>. gamtos ištekliai – miškai;</w:t>
                      </w:r>
                    </w:p>
                  </w:sdtContent>
                </w:sdt>
                <w:sdt>
                  <w:sdtPr>
                    <w:alias w:val="3.1.2 pp."/>
                    <w:tag w:val="part_19455860967c42d18c6dff0001fa862a"/>
                    <w:lock w:val="sdtLocked"/>
                    <w:richText/>
                  </w:sdtPr>
                  <w:sdtContent>
                    <w:p w14:paraId="5CDF1F11" w14:textId="0678987B">
                      <w:pPr>
                        <w:suppressAutoHyphens/>
                        <w:ind w:firstLine="709"/>
                        <w:jc w:val="both"/>
                        <w:textAlignment w:val="center"/>
                        <w:rPr>
                          <w:szCs w:val="24"/>
                        </w:rPr>
                      </w:pPr>
                      <w:sdt>
                        <w:sdtPr>
                          <w:alias w:val="Numeris"/>
                          <w:tag w:val="nr_19455860967c42d18c6dff0001fa862a"/>
                          <w:lock w:val="sdtLocked"/>
                          <w:richText/>
                        </w:sdtPr>
                        <w:sdtContent>
                          <w:r>
                            <w:rPr>
                              <w:szCs w:val="24"/>
                            </w:rPr>
                            <w:t>3.1.2</w:t>
                          </w:r>
                        </w:sdtContent>
                      </w:sdt>
                      <w:r>
                        <w:rPr>
                          <w:szCs w:val="24"/>
                        </w:rPr>
                        <w:t>. gamtos ištekliai – žemės gelmės;</w:t>
                      </w:r>
                    </w:p>
                  </w:sdtContent>
                </w:sdt>
                <w:sdt>
                  <w:sdtPr>
                    <w:alias w:val="3.1.3 pp."/>
                    <w:tag w:val="part_7588a34775d640c78a7e19055e5afc43"/>
                    <w:lock w:val="sdtLocked"/>
                    <w:richText/>
                  </w:sdtPr>
                  <w:sdtContent>
                    <w:p w14:paraId="34BFD266" w14:textId="748A31C6">
                      <w:pPr>
                        <w:suppressAutoHyphens/>
                        <w:ind w:firstLine="709"/>
                        <w:jc w:val="both"/>
                        <w:textAlignment w:val="center"/>
                        <w:rPr>
                          <w:szCs w:val="24"/>
                        </w:rPr>
                      </w:pPr>
                      <w:sdt>
                        <w:sdtPr>
                          <w:alias w:val="Numeris"/>
                          <w:tag w:val="nr_7588a34775d640c78a7e19055e5afc43"/>
                          <w:lock w:val="sdtLocked"/>
                          <w:richText/>
                        </w:sdtPr>
                        <w:sdtContent>
                          <w:r>
                            <w:rPr>
                              <w:szCs w:val="24"/>
                            </w:rPr>
                            <w:t>3.1.3</w:t>
                          </w:r>
                        </w:sdtContent>
                      </w:sdt>
                      <w:r>
                        <w:rPr>
                          <w:szCs w:val="24"/>
                        </w:rPr>
                        <w:t>. kraštovaizdis ir biologinė įvairovė;</w:t>
                      </w:r>
                    </w:p>
                  </w:sdtContent>
                </w:sdt>
              </w:sdtContent>
            </w:sdt>
            <w:sdt>
              <w:sdtPr>
                <w:alias w:val="3.2 pp."/>
                <w:tag w:val="part_571f591658874a489759af6cf245b492"/>
                <w:lock w:val="sdtLocked"/>
                <w:richText/>
              </w:sdtPr>
              <w:sdtContent>
                <w:p w14:paraId="0FF7E7AF" w14:textId="35B7D196">
                  <w:pPr>
                    <w:suppressAutoHyphens/>
                    <w:ind w:firstLine="709"/>
                    <w:jc w:val="both"/>
                    <w:textAlignment w:val="center"/>
                    <w:rPr>
                      <w:szCs w:val="24"/>
                    </w:rPr>
                  </w:pPr>
                  <w:sdt>
                    <w:sdtPr>
                      <w:alias w:val="Numeris"/>
                      <w:tag w:val="nr_571f591658874a489759af6cf245b492"/>
                      <w:lock w:val="sdtLocked"/>
                      <w:richText/>
                    </w:sdtPr>
                    <w:sdtContent>
                      <w:r>
                        <w:rPr>
                          <w:szCs w:val="24"/>
                        </w:rPr>
                        <w:t>3.2</w:t>
                      </w:r>
                    </w:sdtContent>
                  </w:sdt>
                  <w:r>
                    <w:rPr>
                      <w:szCs w:val="24"/>
                    </w:rPr>
                    <w:t>. kiekvienais kalendoriniais metais peržiūrėti ir, jei reikia, atnaujinti metodines rekomendacijas.</w:t>
                  </w:r>
                </w:p>
              </w:sdtContent>
            </w:sdt>
          </w:sdtContent>
        </w:sdt>
        <w:sdt>
          <w:sdtPr>
            <w:alias w:val="4 p."/>
            <w:tag w:val="part_b57d6549a47445e880f82da32c6af5ae"/>
            <w:lock w:val="sdtLocked"/>
            <w:richText/>
          </w:sdtPr>
          <w:sdtContent>
            <w:p w14:paraId="4DD72362" w14:textId="22A59409">
              <w:pPr>
                <w:suppressAutoHyphens/>
                <w:ind w:firstLine="709"/>
                <w:jc w:val="both"/>
                <w:textAlignment w:val="center"/>
                <w:rPr>
                  <w:szCs w:val="24"/>
                </w:rPr>
              </w:pPr>
              <w:sdt>
                <w:sdtPr>
                  <w:alias w:val="Numeris"/>
                  <w:tag w:val="nr_b57d6549a47445e880f82da32c6af5ae"/>
                  <w:lock w:val="sdtLocked"/>
                  <w:richText/>
                </w:sdtPr>
                <w:sdtContent>
                  <w:r>
                    <w:rPr>
                      <w:szCs w:val="24"/>
                    </w:rPr>
                    <w:t>4</w:t>
                  </w:r>
                </w:sdtContent>
              </w:sdt>
              <w:r>
                <w:rPr>
                  <w:szCs w:val="24"/>
                </w:rPr>
                <w:t>. Nustatau, kad šis įsakymas, išskyrus 2.1 papunktį, įsigalioja 2024 m. kovo 1 d.</w:t>
              </w:r>
            </w:p>
            <w:p w14:paraId="29C71BBC" w14:textId="77777777">
              <w:pPr>
                <w:tabs>
                  <w:tab w:val="left" w:pos="571"/>
                </w:tabs>
                <w:suppressAutoHyphens/>
                <w:jc w:val="both"/>
                <w:rPr>
                  <w:color w:val="000000"/>
                </w:rPr>
              </w:pPr>
            </w:p>
            <w:p w14:paraId="0921215C" w14:textId="77777777">
              <w:pPr>
                <w:tabs>
                  <w:tab w:val="left" w:pos="571"/>
                </w:tabs>
                <w:suppressAutoHyphens/>
                <w:jc w:val="both"/>
                <w:rPr>
                  <w:color w:val="000000"/>
                </w:rPr>
              </w:pPr>
            </w:p>
            <w:p w14:paraId="242B607C" w14:textId="77777777">
              <w:pPr>
                <w:tabs>
                  <w:tab w:val="left" w:pos="571"/>
                </w:tabs>
                <w:suppressAutoHyphens/>
                <w:jc w:val="both"/>
                <w:rPr>
                  <w:color w:val="000000"/>
                </w:rPr>
              </w:pPr>
            </w:p>
          </w:sdtContent>
        </w:sdt>
        <w:sdt>
          <w:sdtPr>
            <w:alias w:val="signatura"/>
            <w:tag w:val="part_3ce91c7f44744b639edd5b59c53d1535"/>
            <w:lock w:val="sdtLocked"/>
            <w:richText/>
          </w:sdtPr>
          <w:sdtContent>
            <w:p w14:paraId="1DFA926F" w14:textId="77777777">
              <w:pPr>
                <w:tabs>
                  <w:tab w:val="left" w:pos="571"/>
                </w:tabs>
                <w:suppressAutoHyphens/>
                <w:jc w:val="both"/>
                <w:rPr>
                  <w:lang w:eastAsia="lt-LT"/>
                </w:rPr>
              </w:pPr>
              <w:r>
                <w:rPr>
                  <w:color w:val="000000"/>
                </w:rPr>
                <w:t>Aplinkos ministras</w:t>
              </w:r>
              <w:r>
                <w:rPr>
                  <w:lang w:eastAsia="lt-LT"/>
                </w:rPr>
                <w:tab/>
                <w:tab/>
                <w:tab/>
                <w:tab/>
                <w:tab/>
                <w:tab/>
                <w:tab/>
              </w:r>
            </w:p>
            <w:p w14:paraId="1C40D77A" w14:textId="77777777">
              <w:pPr>
                <w:tabs>
                  <w:tab w:val="left" w:pos="571"/>
                </w:tabs>
                <w:suppressAutoHyphens/>
                <w:jc w:val="both"/>
                <w:rPr>
                  <w:lang w:eastAsia="lt-LT"/>
                </w:rPr>
                <w:sectPr>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5" w:h="16837" w:code="9"/>
                  <w:pgMar w:top="1134" w:right="709" w:bottom="1134" w:left="1701" w:header="567" w:footer="567" w:gutter="0"/>
                  <w:pgNumType w:start="1"/>
                  <w:cols w:space="1296"/>
                  <w:titlePg/>
                  <w:docGrid w:linePitch="360"/>
                </w:sectPr>
              </w:pPr>
            </w:p>
            <w:p w14:paraId="24779421" w14:textId="77777777">
              <w:pPr>
                <w:tabs>
                  <w:tab w:val="center" w:pos="4153"/>
                  <w:tab w:val="right" w:pos="9100"/>
                </w:tabs>
                <w:suppressAutoHyphens/>
                <w:rPr>
                  <w:rFonts w:ascii="Tahoma" w:hAnsi="Tahoma"/>
                  <w:spacing w:val="10"/>
                  <w:sz w:val="20"/>
                  <w:lang w:eastAsia="lt-LT"/>
                </w:rPr>
              </w:pPr>
            </w:p>
            <w:p w14:paraId="50CDCCD0" w14:textId="522ACC95">
              <w:pPr>
                <w:tabs>
                  <w:tab w:val="left" w:pos="571"/>
                </w:tabs>
                <w:suppressAutoHyphens/>
                <w:jc w:val="both"/>
                <w:rPr>
                  <w:color w:val="000000"/>
                </w:rPr>
              </w:pPr>
            </w:p>
          </w:sdtContent>
        </w:sdt>
      </w:sdtContent>
    </w:sdt>
    <w:sdt>
      <w:sdtPr>
        <w:alias w:val="patvirtinta"/>
        <w:tag w:val="part_463e265a52f74eb9b0feb5255619f594"/>
        <w:lock w:val="sdtLocked"/>
        <w:richText/>
      </w:sdtPr>
      <w:sdtContent>
        <w:p w14:paraId="10078741" w14:textId="63B659F7">
          <w:pPr>
            <w:suppressAutoHyphens/>
            <w:ind w:left="5670"/>
            <w:textAlignment w:val="center"/>
            <w:rPr>
              <w:szCs w:val="24"/>
              <w:lang w:eastAsia="lt-LT"/>
            </w:rPr>
          </w:pPr>
          <w:r>
            <w:rPr>
              <w:color w:val="000000"/>
              <w:szCs w:val="24"/>
              <w:lang w:eastAsia="lt-LT"/>
            </w:rPr>
            <w:t>PATVIRTINTA</w:t>
          </w:r>
        </w:p>
        <w:p w14:paraId="0BDC8515" w14:textId="77777777">
          <w:pPr>
            <w:suppressAutoHyphens/>
            <w:ind w:left="5670"/>
            <w:textAlignment w:val="center"/>
            <w:rPr>
              <w:szCs w:val="24"/>
              <w:lang w:eastAsia="lt-LT"/>
            </w:rPr>
          </w:pPr>
          <w:r>
            <w:rPr>
              <w:color w:val="000000"/>
              <w:szCs w:val="24"/>
              <w:lang w:eastAsia="lt-LT"/>
            </w:rPr>
            <w:t xml:space="preserve">Lietuvos Respublikos aplinkos ministro </w:t>
          </w:r>
        </w:p>
        <w:p w14:paraId="25EA4083" w14:textId="4BE6C6A1">
          <w:pPr>
            <w:suppressAutoHyphens/>
            <w:ind w:left="5670"/>
            <w:textAlignment w:val="center"/>
            <w:rPr>
              <w:szCs w:val="24"/>
              <w:lang w:eastAsia="lt-LT"/>
            </w:rPr>
          </w:pPr>
          <w:r>
            <w:rPr>
              <w:color w:val="000000"/>
              <w:szCs w:val="24"/>
              <w:lang w:eastAsia="lt-LT"/>
            </w:rPr>
            <w:t xml:space="preserve">2024 m.               įsakymu Nr. D1-</w:t>
          </w:r>
        </w:p>
        <w:p w14:paraId="26B998D0" w14:textId="77777777">
          <w:pPr>
            <w:suppressAutoHyphens/>
            <w:jc w:val="both"/>
            <w:rPr>
              <w:szCs w:val="24"/>
              <w:lang w:eastAsia="lt-LT"/>
            </w:rPr>
          </w:pPr>
        </w:p>
        <w:p w14:paraId="39283862" w14:textId="41452A76">
          <w:pPr>
            <w:suppressAutoHyphens/>
            <w:jc w:val="center"/>
            <w:rPr>
              <w:b/>
              <w:bCs/>
              <w:lang w:eastAsia="lt-LT"/>
            </w:rPr>
          </w:pPr>
          <w:sdt>
            <w:sdtPr>
              <w:alias w:val="Pavadinimas"/>
              <w:tag w:val="title_463e265a52f74eb9b0feb5255619f594"/>
              <w:lock w:val="sdtLocked"/>
              <w:richText/>
            </w:sdtPr>
            <w:sdtContent>
              <w:r>
                <w:rPr>
                  <w:b/>
                  <w:bCs/>
                  <w:lang w:eastAsia="lt-LT"/>
                </w:rPr>
                <w:t>TEISĖKŪROS POVEIKIO APLINKAI IR KLIMATO KAITAI (</w:t>
              </w:r>
              <w:r>
                <w:rPr>
                  <w:b/>
                  <w:bCs/>
                  <w:i/>
                  <w:iCs/>
                  <w:lang w:eastAsia="lt-LT"/>
                </w:rPr>
                <w:t>EX ANTE</w:t>
              </w:r>
              <w:r>
                <w:rPr>
                  <w:b/>
                  <w:bCs/>
                  <w:lang w:eastAsia="lt-LT"/>
                </w:rPr>
                <w:t>) VERTINIMO</w:t>
              </w:r>
              <w:r>
                <w:rPr>
                  <w:b/>
                  <w:bCs/>
                  <w:caps/>
                  <w:color w:val="000000"/>
                  <w:lang w:eastAsia="lt-LT"/>
                </w:rPr>
                <w:t xml:space="preserve"> Tvarkos aprašas </w:t>
              </w:r>
            </w:sdtContent>
          </w:sdt>
        </w:p>
        <w:p w14:paraId="5707D2C1" w14:textId="77777777">
          <w:pPr>
            <w:suppressAutoHyphens/>
            <w:jc w:val="both"/>
            <w:rPr>
              <w:color w:val="000000"/>
              <w:lang w:eastAsia="lt-LT"/>
            </w:rPr>
          </w:pPr>
        </w:p>
        <w:sdt>
          <w:sdtPr>
            <w:alias w:val="skyrius"/>
            <w:tag w:val="part_f72239018dae44bfbba1f651d6b56ffb"/>
            <w:lock w:val="sdtLocked"/>
            <w:richText/>
          </w:sdtPr>
          <w:sdtContent>
            <w:p w14:paraId="622D1712" w14:textId="77777777">
              <w:pPr>
                <w:suppressAutoHyphens/>
                <w:ind w:firstLine="602"/>
                <w:jc w:val="center"/>
                <w:rPr>
                  <w:b/>
                  <w:bCs/>
                  <w:caps/>
                  <w:color w:val="000000"/>
                  <w:lang w:eastAsia="lt-LT"/>
                </w:rPr>
              </w:pPr>
              <w:sdt>
                <w:sdtPr>
                  <w:alias w:val="Numeris"/>
                  <w:tag w:val="nr_f72239018dae44bfbba1f651d6b56ffb"/>
                  <w:lock w:val="sdtLocked"/>
                  <w:richText/>
                </w:sdtPr>
                <w:sdtContent>
                  <w:r>
                    <w:rPr>
                      <w:b/>
                      <w:bCs/>
                      <w:caps/>
                      <w:color w:val="000000"/>
                      <w:lang w:eastAsia="lt-LT"/>
                    </w:rPr>
                    <w:t>I</w:t>
                  </w:r>
                </w:sdtContent>
              </w:sdt>
              <w:r>
                <w:rPr>
                  <w:b/>
                  <w:bCs/>
                  <w:caps/>
                  <w:color w:val="000000"/>
                  <w:lang w:eastAsia="lt-LT"/>
                </w:rPr>
                <w:t xml:space="preserve"> Skyrius</w:t>
              </w:r>
            </w:p>
            <w:p w14:paraId="76DAE906" w14:textId="77777777">
              <w:pPr>
                <w:suppressAutoHyphens/>
                <w:ind w:firstLine="540"/>
                <w:jc w:val="center"/>
                <w:rPr>
                  <w:lang w:eastAsia="lt-LT"/>
                </w:rPr>
              </w:pPr>
              <w:sdt>
                <w:sdtPr>
                  <w:alias w:val="Pavadinimas"/>
                  <w:tag w:val="title_f72239018dae44bfbba1f651d6b56ffb"/>
                  <w:lock w:val="sdtLocked"/>
                  <w:richText/>
                </w:sdtPr>
                <w:sdtContent>
                  <w:r>
                    <w:rPr>
                      <w:b/>
                      <w:bCs/>
                      <w:caps/>
                      <w:color w:val="000000"/>
                      <w:lang w:eastAsia="lt-LT"/>
                    </w:rPr>
                    <w:t>BENDROSIOS NUOSTATOS</w:t>
                  </w:r>
                </w:sdtContent>
              </w:sdt>
            </w:p>
            <w:p w14:paraId="472A8311" w14:textId="77777777"/>
            <w:sdt>
              <w:sdtPr>
                <w:alias w:val="1 p."/>
                <w:tag w:val="part_a73cf86f85ce41c89865751f240d13a6"/>
                <w:lock w:val="sdtLocked"/>
                <w:richText/>
              </w:sdtPr>
              <w:sdtContent>
                <w:p w14:paraId="44F2EEA1" w14:textId="1E94D924">
                  <w:pPr>
                    <w:suppressAutoHyphens/>
                    <w:ind w:firstLine="540"/>
                    <w:jc w:val="both"/>
                    <w:rPr>
                      <w:color w:val="000000"/>
                      <w:lang w:eastAsia="lt-LT"/>
                    </w:rPr>
                  </w:pPr>
                  <w:sdt>
                    <w:sdtPr>
                      <w:alias w:val="Numeris"/>
                      <w:tag w:val="nr_a73cf86f85ce41c89865751f240d13a6"/>
                      <w:lock w:val="sdtLocked"/>
                      <w:richText/>
                    </w:sdtPr>
                    <w:sdtContent>
                      <w:r>
                        <w:rPr>
                          <w:lang w:eastAsia="lt-LT"/>
                        </w:rPr>
                        <w:t>1</w:t>
                      </w:r>
                    </w:sdtContent>
                  </w:sdt>
                  <w:r>
                    <w:rPr>
                      <w:lang w:eastAsia="lt-LT"/>
                    </w:rPr>
                    <w:t xml:space="preserve">. Teisėkūros </w:t>
                  </w:r>
                  <w:r>
                    <w:rPr>
                      <w:color w:val="000000"/>
                      <w:lang w:eastAsia="lt-LT"/>
                    </w:rPr>
                    <w:t xml:space="preserve">poveikio aplinkai ir klimato kaitai </w:t>
                  </w:r>
                  <w:r>
                    <w:rPr>
                      <w:lang w:eastAsia="lt-LT"/>
                    </w:rPr>
                    <w:t>(</w:t>
                  </w:r>
                  <w:r>
                    <w:rPr>
                      <w:i/>
                      <w:iCs/>
                      <w:lang w:eastAsia="lt-LT"/>
                    </w:rPr>
                    <w:t>ex ante</w:t>
                  </w:r>
                  <w:r>
                    <w:rPr>
                      <w:lang w:eastAsia="lt-LT"/>
                    </w:rPr>
                    <w:t xml:space="preserve">) </w:t>
                  </w:r>
                  <w:r>
                    <w:rPr>
                      <w:color w:val="000000"/>
                      <w:lang w:eastAsia="lt-LT"/>
                    </w:rPr>
                    <w:t>vertinimo tvarkos aprašas (toliau – Tvarkos aprašas) nustato teisėkūros poveikio aplinkai ir klimato kaitai (</w:t>
                  </w:r>
                  <w:r>
                    <w:rPr>
                      <w:i/>
                      <w:iCs/>
                      <w:color w:val="000000"/>
                      <w:lang w:eastAsia="lt-LT"/>
                    </w:rPr>
                    <w:t>ex ante</w:t>
                  </w:r>
                  <w:r>
                    <w:rPr>
                      <w:color w:val="000000"/>
                      <w:lang w:eastAsia="lt-LT"/>
                    </w:rPr>
                    <w:t>) vertinimo (toliau – poveikio vertinimas) tvarką.</w:t>
                  </w:r>
                </w:p>
              </w:sdtContent>
            </w:sdt>
            <w:sdt>
              <w:sdtPr>
                <w:alias w:val="2 p."/>
                <w:tag w:val="part_98bc808e2b3c4dbcbd4bd45f16db67b7"/>
                <w:lock w:val="sdtLocked"/>
                <w:richText/>
              </w:sdtPr>
              <w:sdtContent>
                <w:p w14:paraId="36B96CF5" w14:textId="095D16F9">
                  <w:pPr>
                    <w:suppressAutoHyphens/>
                    <w:ind w:firstLine="567"/>
                    <w:jc w:val="both"/>
                    <w:rPr>
                      <w:lang w:eastAsia="lt-LT"/>
                    </w:rPr>
                  </w:pPr>
                  <w:sdt>
                    <w:sdtPr>
                      <w:alias w:val="Numeris"/>
                      <w:tag w:val="nr_98bc808e2b3c4dbcbd4bd45f16db67b7"/>
                      <w:lock w:val="sdtLocked"/>
                      <w:richText/>
                    </w:sdtPr>
                    <w:sdtContent>
                      <w:r>
                        <w:rPr>
                          <w:lang w:eastAsia="lt-LT"/>
                        </w:rPr>
                        <w:t>2</w:t>
                      </w:r>
                    </w:sdtContent>
                  </w:sdt>
                  <w:r>
                    <w:rPr>
                      <w:lang w:eastAsia="lt-LT"/>
                    </w:rPr>
                    <w:t>. Tvarkos apraše vartojamos sąvokos apibrėžtos Lietuvos Respublikos teisėkūros pagrindų įstatyme</w:t>
                  </w:r>
                  <w:r>
                    <w:rPr>
                      <w:color w:val="000000"/>
                      <w:lang w:eastAsia="lt-LT"/>
                    </w:rPr>
                    <w:t xml:space="preserve"> </w:t>
                  </w:r>
                  <w:r>
                    <w:rPr>
                      <w:lang w:eastAsia="lt-LT"/>
                    </w:rPr>
                    <w:t>ir Numatomo teisinio reguliavimo poveikio vertinimo metodikoje, patvirtintoje Lietuvos Respublikos Vyriausybės 2003 m. vasario 26 d. nutarimu Nr. 276.</w:t>
                  </w:r>
                </w:p>
              </w:sdtContent>
            </w:sdt>
            <w:sdt>
              <w:sdtPr>
                <w:alias w:val="3 p."/>
                <w:tag w:val="part_e8cff940275c440eb4c30b1beb759089"/>
                <w:lock w:val="sdtLocked"/>
                <w:richText/>
              </w:sdtPr>
              <w:sdtContent>
                <w:p w14:paraId="2C175847" w14:textId="77ED7C0E">
                  <w:pPr>
                    <w:suppressAutoHyphens/>
                    <w:ind w:firstLine="567"/>
                    <w:jc w:val="both"/>
                    <w:rPr>
                      <w:lang w:eastAsia="lt-LT"/>
                    </w:rPr>
                  </w:pPr>
                  <w:sdt>
                    <w:sdtPr>
                      <w:alias w:val="Numeris"/>
                      <w:tag w:val="nr_e8cff940275c440eb4c30b1beb759089"/>
                      <w:lock w:val="sdtLocked"/>
                      <w:richText/>
                    </w:sdtPr>
                    <w:sdtContent>
                      <w:r>
                        <w:rPr>
                          <w:lang w:eastAsia="lt-LT"/>
                        </w:rPr>
                        <w:t>3</w:t>
                      </w:r>
                    </w:sdtContent>
                  </w:sdt>
                  <w:r>
                    <w:rPr>
                      <w:lang w:eastAsia="lt-LT"/>
                    </w:rPr>
                    <w:t>. Tvarkos aprašo reikalavimai taikomi Lietuvos Respublikos Vyriausybės 2003 m. vasario 26 d. nutarimo Nr. 276 „Dėl Numatomo teisinio reguliavimo poveikio vertinimo metodikos patvirtinimo“ 2–3 punktuose nurodytoms institucijoms (toliau – poveikio vertinimą atliekantys subjektai). Aplinkos apsaugos agentūra, Valstybinė miškų tarnyba, Lietuvos geologijos tarnyba ir Valstybinė saugomų teritorijų tarnyba prie Aplinkos ministerijos pagal kompetenciją užtikrina šiame apraše joms nustatytų funkcijų vykdymą.</w:t>
                  </w:r>
                </w:p>
                <w:p w14:paraId="16A275EF" w14:textId="77777777"/>
              </w:sdtContent>
            </w:sdt>
          </w:sdtContent>
        </w:sdt>
        <w:sdt>
          <w:sdtPr>
            <w:alias w:val="skyrius"/>
            <w:tag w:val="part_c413a001f7694ccfb15b90a7ea99cdda"/>
            <w:lock w:val="sdtLocked"/>
            <w:richText/>
          </w:sdtPr>
          <w:sdtContent>
            <w:p w14:paraId="71931901" w14:textId="77777777">
              <w:pPr>
                <w:suppressAutoHyphens/>
                <w:jc w:val="center"/>
                <w:rPr>
                  <w:b/>
                  <w:bCs/>
                  <w:caps/>
                  <w:color w:val="000000"/>
                  <w:lang w:eastAsia="lt-LT"/>
                </w:rPr>
              </w:pPr>
              <w:sdt>
                <w:sdtPr>
                  <w:alias w:val="Numeris"/>
                  <w:tag w:val="nr_c413a001f7694ccfb15b90a7ea99cdda"/>
                  <w:lock w:val="sdtLocked"/>
                  <w:richText/>
                </w:sdtPr>
                <w:sdtContent>
                  <w:r>
                    <w:rPr>
                      <w:b/>
                      <w:bCs/>
                      <w:caps/>
                      <w:color w:val="000000"/>
                      <w:lang w:eastAsia="lt-LT"/>
                    </w:rPr>
                    <w:t>II</w:t>
                  </w:r>
                </w:sdtContent>
              </w:sdt>
              <w:r>
                <w:rPr>
                  <w:b/>
                  <w:bCs/>
                  <w:caps/>
                  <w:color w:val="000000"/>
                  <w:lang w:eastAsia="lt-LT"/>
                </w:rPr>
                <w:t xml:space="preserve"> Skyrius</w:t>
              </w:r>
            </w:p>
            <w:p w14:paraId="33332AA2" w14:textId="0151C8D2">
              <w:pPr>
                <w:suppressAutoHyphens/>
                <w:ind w:firstLine="540"/>
                <w:jc w:val="center"/>
                <w:rPr>
                  <w:b/>
                  <w:bCs/>
                  <w:caps/>
                  <w:color w:val="000000"/>
                  <w:lang w:eastAsia="lt-LT"/>
                </w:rPr>
              </w:pPr>
              <w:sdt>
                <w:sdtPr>
                  <w:alias w:val="Pavadinimas"/>
                  <w:tag w:val="title_c413a001f7694ccfb15b90a7ea99cdda"/>
                  <w:lock w:val="sdtLocked"/>
                  <w:richText/>
                </w:sdtPr>
                <w:sdtContent>
                  <w:r>
                    <w:rPr>
                      <w:b/>
                      <w:bCs/>
                      <w:caps/>
                      <w:color w:val="000000"/>
                      <w:lang w:eastAsia="lt-LT"/>
                    </w:rPr>
                    <w:t>poveikio vertinimo sritys</w:t>
                  </w:r>
                </w:sdtContent>
              </w:sdt>
            </w:p>
            <w:p w14:paraId="4CF758A6" w14:textId="77777777"/>
            <w:sdt>
              <w:sdtPr>
                <w:alias w:val="4 p."/>
                <w:tag w:val="part_a2a66e329598466aa1232a69c67f337d"/>
                <w:lock w:val="sdtLocked"/>
                <w:richText/>
              </w:sdtPr>
              <w:sdtContent>
                <w:p w14:paraId="2D1D7980" w14:textId="5CC11B58">
                  <w:pPr>
                    <w:shd w:val="clear" w:color="auto" w:fill="FFFFFF"/>
                    <w:suppressAutoHyphens/>
                    <w:ind w:firstLine="567"/>
                    <w:jc w:val="both"/>
                    <w:rPr>
                      <w:lang w:eastAsia="lt-LT"/>
                    </w:rPr>
                  </w:pPr>
                  <w:sdt>
                    <w:sdtPr>
                      <w:alias w:val="Numeris"/>
                      <w:tag w:val="nr_a2a66e329598466aa1232a69c67f337d"/>
                      <w:lock w:val="sdtLocked"/>
                      <w:richText/>
                    </w:sdtPr>
                    <w:sdtContent>
                      <w:r>
                        <w:rPr>
                          <w:lang w:eastAsia="lt-LT"/>
                        </w:rPr>
                        <w:t>4</w:t>
                      </w:r>
                    </w:sdtContent>
                  </w:sdt>
                  <w:r>
                    <w:rPr>
                      <w:lang w:eastAsia="lt-LT"/>
                    </w:rPr>
                    <w:t xml:space="preserve">. Poveikio vertinimo sritys išvardytos </w:t>
                  </w:r>
                  <w:r>
                    <w:rPr>
                      <w:color w:val="000000"/>
                      <w:lang w:eastAsia="lt-LT"/>
                    </w:rPr>
                    <w:t>Numatomo teisinio reguliavimo poveikio vertinimo metodikos 9.7 papunktyje</w:t>
                  </w:r>
                  <w:r>
                    <w:rPr>
                      <w:lang w:eastAsia="lt-LT"/>
                    </w:rPr>
                    <w:t>:</w:t>
                  </w:r>
                </w:p>
                <w:sdt>
                  <w:sdtPr>
                    <w:alias w:val="4.1 pp."/>
                    <w:tag w:val="part_0dc4627dcfbf47cd9a38aa59a71cb224"/>
                    <w:lock w:val="sdtLocked"/>
                    <w:richText/>
                  </w:sdtPr>
                  <w:sdtContent>
                    <w:p w14:paraId="1454212D" w14:textId="410CE8C0">
                      <w:pPr>
                        <w:shd w:val="clear" w:color="auto" w:fill="FFFFFF"/>
                        <w:suppressAutoHyphens/>
                        <w:ind w:firstLine="567"/>
                        <w:jc w:val="both"/>
                        <w:rPr>
                          <w:lang w:eastAsia="lt-LT"/>
                        </w:rPr>
                      </w:pPr>
                      <w:sdt>
                        <w:sdtPr>
                          <w:alias w:val="Numeris"/>
                          <w:tag w:val="nr_0dc4627dcfbf47cd9a38aa59a71cb224"/>
                          <w:lock w:val="sdtLocked"/>
                          <w:richText/>
                        </w:sdtPr>
                        <w:sdtContent>
                          <w:r>
                            <w:rPr>
                              <w:lang w:eastAsia="lt-LT"/>
                            </w:rPr>
                            <w:t>4.1</w:t>
                          </w:r>
                        </w:sdtContent>
                      </w:sdt>
                      <w:r>
                        <w:rPr>
                          <w:lang w:eastAsia="lt-LT"/>
                        </w:rPr>
                        <w:t>. klimato kaitos švelninimas;</w:t>
                      </w:r>
                    </w:p>
                  </w:sdtContent>
                </w:sdt>
                <w:sdt>
                  <w:sdtPr>
                    <w:alias w:val="4.2 pp."/>
                    <w:tag w:val="part_014cdcb6a6ce4362a2df8a4b738ee975"/>
                    <w:lock w:val="sdtLocked"/>
                    <w:richText/>
                  </w:sdtPr>
                  <w:sdtContent>
                    <w:p w14:paraId="54D7E1D0" w14:textId="5B90C325">
                      <w:pPr>
                        <w:shd w:val="clear" w:color="auto" w:fill="FFFFFF"/>
                        <w:suppressAutoHyphens/>
                        <w:ind w:firstLine="567"/>
                        <w:jc w:val="both"/>
                        <w:rPr>
                          <w:lang w:eastAsia="lt-LT"/>
                        </w:rPr>
                      </w:pPr>
                      <w:sdt>
                        <w:sdtPr>
                          <w:alias w:val="Numeris"/>
                          <w:tag w:val="nr_014cdcb6a6ce4362a2df8a4b738ee975"/>
                          <w:lock w:val="sdtLocked"/>
                          <w:richText/>
                        </w:sdtPr>
                        <w:sdtContent>
                          <w:r>
                            <w:rPr>
                              <w:lang w:eastAsia="lt-LT"/>
                            </w:rPr>
                            <w:t>4.2</w:t>
                          </w:r>
                        </w:sdtContent>
                      </w:sdt>
                      <w:r>
                        <w:rPr>
                          <w:lang w:eastAsia="lt-LT"/>
                        </w:rPr>
                        <w:t>. prisitaikymas prie klimato kaitos;</w:t>
                      </w:r>
                    </w:p>
                  </w:sdtContent>
                </w:sdt>
                <w:sdt>
                  <w:sdtPr>
                    <w:alias w:val="4.3 pp."/>
                    <w:tag w:val="part_aa933ba213a84183ace4633f30d3b241"/>
                    <w:lock w:val="sdtLocked"/>
                    <w:richText/>
                  </w:sdtPr>
                  <w:sdtContent>
                    <w:p w14:paraId="3377F8D9" w14:textId="6DD1A2E9">
                      <w:pPr>
                        <w:shd w:val="clear" w:color="auto" w:fill="FFFFFF"/>
                        <w:suppressAutoHyphens/>
                        <w:ind w:firstLine="567"/>
                        <w:jc w:val="both"/>
                        <w:rPr>
                          <w:lang w:eastAsia="lt-LT"/>
                        </w:rPr>
                      </w:pPr>
                      <w:sdt>
                        <w:sdtPr>
                          <w:alias w:val="Numeris"/>
                          <w:tag w:val="nr_aa933ba213a84183ace4633f30d3b241"/>
                          <w:lock w:val="sdtLocked"/>
                          <w:richText/>
                        </w:sdtPr>
                        <w:sdtContent>
                          <w:r>
                            <w:rPr>
                              <w:lang w:eastAsia="lt-LT"/>
                            </w:rPr>
                            <w:t>4.3</w:t>
                          </w:r>
                        </w:sdtContent>
                      </w:sdt>
                      <w:r>
                        <w:rPr>
                          <w:lang w:eastAsia="lt-LT"/>
                        </w:rPr>
                        <w:t>. aplinkos oro kokybė;</w:t>
                      </w:r>
                    </w:p>
                  </w:sdtContent>
                </w:sdt>
                <w:sdt>
                  <w:sdtPr>
                    <w:alias w:val="4.4 pp."/>
                    <w:tag w:val="part_2be7979b3e364bea8272715b9376ac4e"/>
                    <w:lock w:val="sdtLocked"/>
                    <w:richText/>
                  </w:sdtPr>
                  <w:sdtContent>
                    <w:p w14:paraId="13EF84CB" w14:textId="73F990C9">
                      <w:pPr>
                        <w:shd w:val="clear" w:color="auto" w:fill="FFFFFF"/>
                        <w:suppressAutoHyphens/>
                        <w:ind w:firstLine="567"/>
                        <w:jc w:val="both"/>
                        <w:rPr>
                          <w:lang w:eastAsia="lt-LT"/>
                        </w:rPr>
                      </w:pPr>
                      <w:sdt>
                        <w:sdtPr>
                          <w:alias w:val="Numeris"/>
                          <w:tag w:val="nr_2be7979b3e364bea8272715b9376ac4e"/>
                          <w:lock w:val="sdtLocked"/>
                          <w:richText/>
                        </w:sdtPr>
                        <w:sdtContent>
                          <w:r>
                            <w:rPr>
                              <w:lang w:eastAsia="lt-LT"/>
                            </w:rPr>
                            <w:t>4.4</w:t>
                          </w:r>
                        </w:sdtContent>
                      </w:sdt>
                      <w:r>
                        <w:rPr>
                          <w:lang w:eastAsia="lt-LT"/>
                        </w:rPr>
                        <w:t>. vandenų būklė;</w:t>
                      </w:r>
                    </w:p>
                  </w:sdtContent>
                </w:sdt>
                <w:sdt>
                  <w:sdtPr>
                    <w:alias w:val="4.5 pp."/>
                    <w:tag w:val="part_3cf35eef08374223b9d6e0cc91cb74a3"/>
                    <w:lock w:val="sdtLocked"/>
                    <w:richText/>
                  </w:sdtPr>
                  <w:sdtContent>
                    <w:p w14:paraId="48160D46" w14:textId="1ABBFC26">
                      <w:pPr>
                        <w:shd w:val="clear" w:color="auto" w:fill="FFFFFF"/>
                        <w:suppressAutoHyphens/>
                        <w:ind w:firstLine="567"/>
                        <w:jc w:val="both"/>
                        <w:rPr>
                          <w:lang w:eastAsia="lt-LT"/>
                        </w:rPr>
                      </w:pPr>
                      <w:sdt>
                        <w:sdtPr>
                          <w:alias w:val="Numeris"/>
                          <w:tag w:val="nr_3cf35eef08374223b9d6e0cc91cb74a3"/>
                          <w:lock w:val="sdtLocked"/>
                          <w:richText/>
                        </w:sdtPr>
                        <w:sdtContent>
                          <w:r>
                            <w:rPr>
                              <w:lang w:eastAsia="lt-LT"/>
                            </w:rPr>
                            <w:t>4.5</w:t>
                          </w:r>
                        </w:sdtContent>
                      </w:sdt>
                      <w:r>
                        <w:rPr>
                          <w:lang w:eastAsia="lt-LT"/>
                        </w:rPr>
                        <w:t>. gamtos ištekliai;</w:t>
                      </w:r>
                    </w:p>
                  </w:sdtContent>
                </w:sdt>
                <w:sdt>
                  <w:sdtPr>
                    <w:alias w:val="4.6 pp."/>
                    <w:tag w:val="part_6d60468653794fe0aea97253b7db63da"/>
                    <w:lock w:val="sdtLocked"/>
                    <w:richText/>
                  </w:sdtPr>
                  <w:sdtContent>
                    <w:p w14:paraId="1D8A7BBB" w14:textId="78C7AD8A">
                      <w:pPr>
                        <w:shd w:val="clear" w:color="auto" w:fill="FFFFFF"/>
                        <w:suppressAutoHyphens/>
                        <w:ind w:firstLine="567"/>
                        <w:jc w:val="both"/>
                        <w:rPr>
                          <w:lang w:eastAsia="lt-LT"/>
                        </w:rPr>
                      </w:pPr>
                      <w:sdt>
                        <w:sdtPr>
                          <w:alias w:val="Numeris"/>
                          <w:tag w:val="nr_6d60468653794fe0aea97253b7db63da"/>
                          <w:lock w:val="sdtLocked"/>
                          <w:richText/>
                        </w:sdtPr>
                        <w:sdtContent>
                          <w:r>
                            <w:rPr>
                              <w:lang w:eastAsia="lt-LT"/>
                            </w:rPr>
                            <w:t>4.6</w:t>
                          </w:r>
                        </w:sdtContent>
                      </w:sdt>
                      <w:r>
                        <w:rPr>
                          <w:lang w:eastAsia="lt-LT"/>
                        </w:rPr>
                        <w:t>. kraštovaizdis ir biologinė įvairovė;</w:t>
                      </w:r>
                    </w:p>
                  </w:sdtContent>
                </w:sdt>
                <w:sdt>
                  <w:sdtPr>
                    <w:alias w:val="4.7 pp."/>
                    <w:tag w:val="part_27ba63e2e4bf43fbabab3d5bacf65788"/>
                    <w:lock w:val="sdtLocked"/>
                    <w:richText/>
                  </w:sdtPr>
                  <w:sdtContent>
                    <w:p w14:paraId="1F201618" w14:textId="44C44CCA">
                      <w:pPr>
                        <w:shd w:val="clear" w:color="auto" w:fill="FFFFFF"/>
                        <w:suppressAutoHyphens/>
                        <w:ind w:firstLine="567"/>
                        <w:jc w:val="both"/>
                        <w:rPr>
                          <w:lang w:eastAsia="lt-LT"/>
                        </w:rPr>
                      </w:pPr>
                      <w:sdt>
                        <w:sdtPr>
                          <w:alias w:val="Numeris"/>
                          <w:tag w:val="nr_27ba63e2e4bf43fbabab3d5bacf65788"/>
                          <w:lock w:val="sdtLocked"/>
                          <w:richText/>
                        </w:sdtPr>
                        <w:sdtContent>
                          <w:r>
                            <w:rPr>
                              <w:lang w:eastAsia="lt-LT"/>
                            </w:rPr>
                            <w:t>4.7</w:t>
                          </w:r>
                        </w:sdtContent>
                      </w:sdt>
                      <w:r>
                        <w:rPr>
                          <w:lang w:eastAsia="lt-LT"/>
                        </w:rPr>
                        <w:t>. teritorijų naudojimas;</w:t>
                      </w:r>
                    </w:p>
                  </w:sdtContent>
                </w:sdt>
                <w:sdt>
                  <w:sdtPr>
                    <w:alias w:val="4.8 pp."/>
                    <w:tag w:val="part_d7d9b40b148d478987ecf12293cc1145"/>
                    <w:lock w:val="sdtLocked"/>
                    <w:richText/>
                  </w:sdtPr>
                  <w:sdtContent>
                    <w:p w14:paraId="34D9CB2D" w14:textId="001959ED">
                      <w:pPr>
                        <w:shd w:val="clear" w:color="auto" w:fill="FFFFFF"/>
                        <w:suppressAutoHyphens/>
                        <w:ind w:firstLine="567"/>
                        <w:jc w:val="both"/>
                        <w:rPr>
                          <w:lang w:val="en-GB" w:eastAsia="lt-LT"/>
                        </w:rPr>
                      </w:pPr>
                      <w:sdt>
                        <w:sdtPr>
                          <w:alias w:val="Numeris"/>
                          <w:tag w:val="nr_d7d9b40b148d478987ecf12293cc1145"/>
                          <w:lock w:val="sdtLocked"/>
                          <w:richText/>
                        </w:sdtPr>
                        <w:sdtContent>
                          <w:r>
                            <w:rPr>
                              <w:lang w:eastAsia="lt-LT"/>
                            </w:rPr>
                            <w:t>4.8</w:t>
                          </w:r>
                        </w:sdtContent>
                      </w:sdt>
                      <w:r>
                        <w:rPr>
                          <w:lang w:eastAsia="lt-LT"/>
                        </w:rPr>
                        <w:t>. išteklių naudojimo efektyvumas.</w:t>
                      </w:r>
                    </w:p>
                    <w:p w14:paraId="50D14F64" w14:textId="26793069">
                      <w:pPr>
                        <w:suppressAutoHyphens/>
                        <w:rPr>
                          <w:caps/>
                          <w:color w:val="000000"/>
                          <w:lang w:eastAsia="lt-LT"/>
                        </w:rPr>
                      </w:pPr>
                    </w:p>
                  </w:sdtContent>
                </w:sdt>
              </w:sdtContent>
            </w:sdt>
          </w:sdtContent>
        </w:sdt>
        <w:sdt>
          <w:sdtPr>
            <w:alias w:val="skyrius"/>
            <w:tag w:val="part_21c107e681e94fdb84b3ac51103c7696"/>
            <w:lock w:val="sdtLocked"/>
            <w:richText/>
          </w:sdtPr>
          <w:sdtContent>
            <w:p w14:paraId="2FB3ECF2" w14:textId="77777777">
              <w:pPr>
                <w:suppressAutoHyphens/>
                <w:jc w:val="center"/>
                <w:rPr>
                  <w:b/>
                  <w:bCs/>
                  <w:caps/>
                  <w:color w:val="000000"/>
                  <w:lang w:eastAsia="lt-LT"/>
                </w:rPr>
              </w:pPr>
              <w:sdt>
                <w:sdtPr>
                  <w:alias w:val="Numeris"/>
                  <w:tag w:val="nr_21c107e681e94fdb84b3ac51103c7696"/>
                  <w:lock w:val="sdtLocked"/>
                  <w:richText/>
                </w:sdtPr>
                <w:sdtContent>
                  <w:r>
                    <w:rPr>
                      <w:b/>
                      <w:bCs/>
                      <w:caps/>
                      <w:color w:val="000000"/>
                      <w:lang w:eastAsia="lt-LT"/>
                    </w:rPr>
                    <w:t>III</w:t>
                  </w:r>
                </w:sdtContent>
              </w:sdt>
              <w:r>
                <w:rPr>
                  <w:b/>
                  <w:bCs/>
                  <w:caps/>
                  <w:color w:val="000000"/>
                  <w:lang w:eastAsia="lt-LT"/>
                </w:rPr>
                <w:t xml:space="preserve"> Skyrius</w:t>
              </w:r>
            </w:p>
            <w:p w14:paraId="2495C96C" w14:textId="5D1AC5CD">
              <w:pPr>
                <w:suppressAutoHyphens/>
                <w:ind w:firstLine="540"/>
                <w:jc w:val="center"/>
                <w:rPr>
                  <w:b/>
                  <w:bCs/>
                  <w:caps/>
                  <w:color w:val="000000"/>
                  <w:lang w:eastAsia="lt-LT"/>
                </w:rPr>
              </w:pPr>
              <w:sdt>
                <w:sdtPr>
                  <w:alias w:val="Pavadinimas"/>
                  <w:tag w:val="title_21c107e681e94fdb84b3ac51103c7696"/>
                  <w:lock w:val="sdtLocked"/>
                  <w:richText/>
                </w:sdtPr>
                <w:sdtContent>
                  <w:r>
                    <w:rPr>
                      <w:b/>
                      <w:bCs/>
                      <w:lang w:eastAsia="lt-LT"/>
                    </w:rPr>
                    <w:t xml:space="preserve">TEISĖKŪROS </w:t>
                  </w:r>
                  <w:r>
                    <w:rPr>
                      <w:b/>
                      <w:bCs/>
                      <w:caps/>
                      <w:color w:val="000000"/>
                      <w:lang w:eastAsia="lt-LT"/>
                    </w:rPr>
                    <w:t xml:space="preserve">poveikio aplinkai ir klimato kaitai KOKYBINIS </w:t>
                  </w:r>
                  <w:r>
                    <w:rPr>
                      <w:b/>
                      <w:bCs/>
                      <w:lang w:eastAsia="lt-LT"/>
                    </w:rPr>
                    <w:t>(</w:t>
                  </w:r>
                  <w:r>
                    <w:rPr>
                      <w:b/>
                      <w:bCs/>
                      <w:i/>
                      <w:iCs/>
                      <w:lang w:eastAsia="lt-LT"/>
                    </w:rPr>
                    <w:t>EX ANTE</w:t>
                  </w:r>
                  <w:r>
                    <w:rPr>
                      <w:b/>
                      <w:bCs/>
                      <w:lang w:eastAsia="lt-LT"/>
                    </w:rPr>
                    <w:t xml:space="preserve">) </w:t>
                  </w:r>
                  <w:r>
                    <w:rPr>
                      <w:b/>
                      <w:bCs/>
                      <w:caps/>
                      <w:color w:val="000000"/>
                      <w:lang w:eastAsia="lt-LT"/>
                    </w:rPr>
                    <w:t xml:space="preserve">vertinimAS </w:t>
                  </w:r>
                </w:sdtContent>
              </w:sdt>
            </w:p>
            <w:p w14:paraId="00B00EDE" w14:textId="7D371A69">
              <w:pPr>
                <w:suppressAutoHyphens/>
                <w:ind w:firstLine="540"/>
                <w:jc w:val="center"/>
                <w:rPr>
                  <w:b/>
                  <w:bCs/>
                  <w:caps/>
                  <w:color w:val="000000"/>
                  <w:lang w:eastAsia="lt-LT"/>
                </w:rPr>
              </w:pPr>
            </w:p>
            <w:sdt>
              <w:sdtPr>
                <w:alias w:val="5 p."/>
                <w:tag w:val="part_c2acda8850d44edd8221e9be6197a94b"/>
                <w:lock w:val="sdtLocked"/>
                <w:richText/>
              </w:sdtPr>
              <w:sdtContent>
                <w:p w14:paraId="68FE72F8" w14:textId="353C0F8F">
                  <w:pPr>
                    <w:shd w:val="clear" w:color="auto" w:fill="FFFFFF"/>
                    <w:suppressAutoHyphens/>
                    <w:ind w:firstLine="567"/>
                    <w:jc w:val="both"/>
                    <w:rPr>
                      <w:lang w:eastAsia="lt-LT"/>
                    </w:rPr>
                  </w:pPr>
                  <w:sdt>
                    <w:sdtPr>
                      <w:alias w:val="Numeris"/>
                      <w:tag w:val="nr_c2acda8850d44edd8221e9be6197a94b"/>
                      <w:lock w:val="sdtLocked"/>
                      <w:richText/>
                    </w:sdtPr>
                    <w:sdtContent>
                      <w:r>
                        <w:rPr>
                          <w:lang w:eastAsia="lt-LT"/>
                        </w:rPr>
                        <w:t>5</w:t>
                      </w:r>
                    </w:sdtContent>
                  </w:sdt>
                  <w:r>
                    <w:rPr>
                      <w:lang w:eastAsia="lt-LT"/>
                    </w:rPr>
                    <w:t>. Teisėkūros poveikio aplinkai ir klimato kaitai kokybinis (</w:t>
                  </w:r>
                  <w:r>
                    <w:rPr>
                      <w:i/>
                      <w:iCs/>
                      <w:lang w:eastAsia="lt-LT"/>
                    </w:rPr>
                    <w:t>ex ante</w:t>
                  </w:r>
                  <w:r>
                    <w:rPr>
                      <w:lang w:eastAsia="lt-LT"/>
                    </w:rPr>
                    <w:t>) vertinimas (toliau – poveikio kokybinis vertinimas) – metodas, kai poveikis ir pasekmės aplinkai ir klimato kaitai analizuojamos aprašant, pavaizduojant grafiniais vaizdais, pateikiant ekspertinius vertinimus, viešųjų konsultacijų rezultatus, Stiprybių, silpnybių, galimybių ir grėsmių (SSGG) analizę ir kitomis aiškinimo ir pagrindimo priemonėmis.</w:t>
                  </w:r>
                </w:p>
              </w:sdtContent>
            </w:sdt>
            <w:sdt>
              <w:sdtPr>
                <w:alias w:val="6 p."/>
                <w:tag w:val="part_9dbe097d787c41e9bd18821a8ff38054"/>
                <w:lock w:val="sdtLocked"/>
                <w:richText/>
              </w:sdtPr>
              <w:sdtContent>
                <w:p w14:paraId="57C051D7" w14:textId="76085E8D">
                  <w:pPr>
                    <w:shd w:val="clear" w:color="auto" w:fill="FFFFFF"/>
                    <w:suppressAutoHyphens/>
                    <w:ind w:firstLine="567"/>
                    <w:jc w:val="both"/>
                    <w:rPr>
                      <w:lang w:eastAsia="lt-LT"/>
                    </w:rPr>
                  </w:pPr>
                  <w:sdt>
                    <w:sdtPr>
                      <w:alias w:val="Numeris"/>
                      <w:tag w:val="nr_9dbe097d787c41e9bd18821a8ff38054"/>
                      <w:lock w:val="sdtLocked"/>
                      <w:richText/>
                    </w:sdtPr>
                    <w:sdtContent>
                      <w:r>
                        <w:rPr>
                          <w:lang w:eastAsia="lt-LT"/>
                        </w:rPr>
                        <w:t>6</w:t>
                      </w:r>
                    </w:sdtContent>
                  </w:sdt>
                  <w:r>
                    <w:rPr>
                      <w:lang w:eastAsia="lt-LT"/>
                    </w:rPr>
                    <w:t>. Poveikio kokybinis vertinimas atliekamas visais atvejais, taikant Numatomo teisinio reguliavimo poveikio vertinimo metodikos</w:t>
                  </w:r>
                  <w:r>
                    <w:rPr>
                      <w:lang w:eastAsia="lt-LT" w:bidi="en-US"/>
                    </w:rPr>
                    <w:t xml:space="preserve"> 16, 17</w:t>
                  </w:r>
                  <w:r>
                    <w:rPr>
                      <w:vertAlign w:val="superscript"/>
                      <w:lang w:eastAsia="lt-LT" w:bidi="en-US"/>
                    </w:rPr>
                    <w:t>1</w:t>
                  </w:r>
                  <w:r>
                    <w:rPr>
                      <w:lang w:eastAsia="lt-LT" w:bidi="en-US"/>
                    </w:rPr>
                    <w:t xml:space="preserve"> ir 35 punktų nuostatas, </w:t>
                  </w:r>
                  <w:r>
                    <w:rPr>
                      <w:lang w:eastAsia="lt-LT"/>
                    </w:rPr>
                    <w:t>pagal šios metodikos</w:t>
                  </w:r>
                  <w:r>
                    <w:rPr>
                      <w:lang w:eastAsia="lt-LT" w:bidi="en-US"/>
                    </w:rPr>
                    <w:t xml:space="preserve"> 1 priedo VII skyriaus klausimus nustačius, kad planuojama </w:t>
                  </w:r>
                  <w:r>
                    <w:rPr>
                      <w:lang w:eastAsia="lt-LT"/>
                    </w:rPr>
                    <w:t>teisėkūros iniciatyva gali daryti neigiamą ir (ar) teigiamą poveikį metodikos klausimyne išvardintoms sritims.</w:t>
                  </w:r>
                </w:p>
              </w:sdtContent>
            </w:sdt>
            <w:sdt>
              <w:sdtPr>
                <w:alias w:val="7 p."/>
                <w:tag w:val="part_f9fe8d82a689454ebaa9c7b5c31c4e51"/>
                <w:lock w:val="sdtLocked"/>
                <w:richText/>
              </w:sdtPr>
              <w:sdtContent>
                <w:p w14:paraId="55482D87" w14:textId="0F2DF5C1">
                  <w:pPr>
                    <w:shd w:val="clear" w:color="auto" w:fill="FFFFFF"/>
                    <w:suppressAutoHyphens/>
                    <w:ind w:firstLine="567"/>
                    <w:jc w:val="both"/>
                    <w:rPr>
                      <w:color w:val="000000"/>
                      <w:lang w:eastAsia="lt-LT" w:bidi="en-US"/>
                    </w:rPr>
                  </w:pPr>
                  <w:sdt>
                    <w:sdtPr>
                      <w:alias w:val="Numeris"/>
                      <w:tag w:val="nr_f9fe8d82a689454ebaa9c7b5c31c4e51"/>
                      <w:lock w:val="sdtLocked"/>
                      <w:richText/>
                    </w:sdtPr>
                    <w:sdtContent>
                      <w:r>
                        <w:rPr>
                          <w:lang w:eastAsia="lt-LT"/>
                        </w:rPr>
                        <w:t>7</w:t>
                      </w:r>
                    </w:sdtContent>
                  </w:sdt>
                  <w:r>
                    <w:rPr>
                      <w:lang w:eastAsia="lt-LT"/>
                    </w:rPr>
                    <w:t xml:space="preserve">. Poveikio kokybinį vertinimą atliekantys subjektai </w:t>
                  </w:r>
                  <w:r>
                    <w:rPr>
                      <w:lang w:eastAsia="lt-LT" w:bidi="en-US"/>
                    </w:rPr>
                    <w:t xml:space="preserve">nustatę, kad </w:t>
                  </w:r>
                  <w:r>
                    <w:rPr>
                      <w:color w:val="000000"/>
                      <w:lang w:eastAsia="lt-LT" w:bidi="en-US"/>
                    </w:rPr>
                    <w:t xml:space="preserve">planuojama </w:t>
                  </w:r>
                  <w:r>
                    <w:rPr>
                      <w:lang w:eastAsia="lt-LT"/>
                    </w:rPr>
                    <w:t>teisėkūros iniciatyva darys neigiamą ir (ar) teigiamą poveikį metodikos klausimyne išvardintoms sritims,</w:t>
                  </w:r>
                  <w:r>
                    <w:rPr>
                      <w:color w:val="000000"/>
                      <w:lang w:eastAsia="lt-LT" w:bidi="en-US"/>
                    </w:rPr>
                    <w:t xml:space="preserve"> </w:t>
                  </w:r>
                  <w:r>
                    <w:rPr>
                      <w:color w:val="000000"/>
                      <w:lang w:eastAsia="lt-LT"/>
                    </w:rPr>
                    <w:t xml:space="preserve">vertina ir aprašo </w:t>
                  </w:r>
                  <w:r>
                    <w:rPr>
                      <w:lang w:eastAsia="lt-LT"/>
                    </w:rPr>
                    <w:t xml:space="preserve">neigiamą ar (ir) teigiamą, tiesioginį ar (ir) netiesioginį, trumpalaikį ar (ir) ilgalaikį poveikį ir nurodo kuriame veiklos etape, </w:t>
                  </w:r>
                  <w:r>
                    <w:rPr>
                      <w:color w:val="000000"/>
                      <w:lang w:eastAsia="lt-LT"/>
                    </w:rPr>
                    <w:t>kokia kiekybine ir kokybine apimtimi ir kokį laikotarpį</w:t>
                  </w:r>
                  <w:r>
                    <w:rPr>
                      <w:lang w:eastAsia="lt-LT"/>
                    </w:rPr>
                    <w:t xml:space="preserve"> planuojami sprendimai darys poveikį </w:t>
                  </w:r>
                  <w:r>
                    <w:rPr>
                      <w:color w:val="000000"/>
                      <w:lang w:eastAsia="lt-LT"/>
                    </w:rPr>
                    <w:t>nustatytoms sritims.</w:t>
                  </w:r>
                </w:p>
              </w:sdtContent>
            </w:sdt>
            <w:sdt>
              <w:sdtPr>
                <w:alias w:val="8 p."/>
                <w:tag w:val="part_4bb6faf5d2ce441fa264164a08222e60"/>
                <w:lock w:val="sdtLocked"/>
                <w:richText/>
              </w:sdtPr>
              <w:sdtContent>
                <w:p w14:paraId="614B93AE" w14:textId="4C6266A5">
                  <w:pPr>
                    <w:shd w:val="clear" w:color="auto" w:fill="FFFFFF"/>
                    <w:suppressAutoHyphens/>
                    <w:ind w:firstLine="567"/>
                    <w:jc w:val="both"/>
                    <w:rPr>
                      <w:lang w:eastAsia="lt-LT"/>
                    </w:rPr>
                  </w:pPr>
                  <w:sdt>
                    <w:sdtPr>
                      <w:alias w:val="Numeris"/>
                      <w:tag w:val="nr_4bb6faf5d2ce441fa264164a08222e60"/>
                      <w:lock w:val="sdtLocked"/>
                      <w:richText/>
                    </w:sdtPr>
                    <w:sdtContent>
                      <w:r>
                        <w:rPr>
                          <w:lang w:eastAsia="lt-LT"/>
                        </w:rPr>
                        <w:t>8</w:t>
                      </w:r>
                    </w:sdtContent>
                  </w:sdt>
                  <w:r>
                    <w:rPr>
                      <w:lang w:eastAsia="lt-LT"/>
                    </w:rPr>
                    <w:t xml:space="preserve">. Atliekant poveikio kokybinį vertinimą, </w:t>
                  </w:r>
                  <w:r>
                    <w:rPr>
                      <w:color w:val="000000"/>
                      <w:lang w:eastAsia="lt-LT"/>
                    </w:rPr>
                    <w:t>remiantis patikimais duomenų šaltiniais, stebėjimais, viešųjų konsultacijų rezultatais, pareiškėjų skundais ar prašymais ir kt.,</w:t>
                  </w:r>
                  <w:r>
                    <w:rPr>
                      <w:lang w:eastAsia="lt-LT"/>
                    </w:rPr>
                    <w:t xml:space="preserve"> aprašomos visos svarstytos alternatyvos ir argumentuotai, pateikiant įrodymus, esant galimybei ir atliktus skaičiavimus, pagrindžiama kodėl, siekiant nustatytų tikslų, pasirinkta alternatyva yra laikoma tinkamiausia.</w:t>
                  </w:r>
                </w:p>
                <w:p w14:paraId="79755676" w14:textId="77777777">
                  <w:pPr>
                    <w:suppressAutoHyphens/>
                    <w:rPr>
                      <w:b/>
                      <w:bCs/>
                      <w:caps/>
                      <w:color w:val="000000"/>
                      <w:lang w:eastAsia="lt-LT"/>
                    </w:rPr>
                  </w:pPr>
                </w:p>
              </w:sdtContent>
            </w:sdt>
          </w:sdtContent>
        </w:sdt>
        <w:sdt>
          <w:sdtPr>
            <w:alias w:val="skyrius"/>
            <w:tag w:val="part_f916d03cee264112bc82bef4db8f09d1"/>
            <w:lock w:val="sdtLocked"/>
            <w:richText/>
          </w:sdtPr>
          <w:sdtContent>
            <w:p w14:paraId="58F01355" w14:textId="56F32625">
              <w:pPr>
                <w:suppressAutoHyphens/>
                <w:jc w:val="center"/>
                <w:rPr>
                  <w:b/>
                  <w:bCs/>
                  <w:caps/>
                  <w:color w:val="000000"/>
                  <w:lang w:eastAsia="lt-LT"/>
                </w:rPr>
              </w:pPr>
              <w:sdt>
                <w:sdtPr>
                  <w:alias w:val="Numeris"/>
                  <w:tag w:val="nr_f916d03cee264112bc82bef4db8f09d1"/>
                  <w:lock w:val="sdtLocked"/>
                  <w:richText/>
                </w:sdtPr>
                <w:sdtContent>
                  <w:r>
                    <w:rPr>
                      <w:b/>
                      <w:bCs/>
                      <w:caps/>
                      <w:color w:val="000000"/>
                      <w:lang w:eastAsia="lt-LT"/>
                    </w:rPr>
                    <w:t>Iv</w:t>
                  </w:r>
                </w:sdtContent>
              </w:sdt>
              <w:r>
                <w:rPr>
                  <w:b/>
                  <w:bCs/>
                  <w:caps/>
                  <w:color w:val="000000"/>
                  <w:lang w:eastAsia="lt-LT"/>
                </w:rPr>
                <w:t xml:space="preserve"> Skyrius</w:t>
              </w:r>
            </w:p>
            <w:p w14:paraId="0D228E48" w14:textId="675E27A5">
              <w:pPr>
                <w:suppressAutoHyphens/>
                <w:ind w:firstLine="540"/>
                <w:jc w:val="center"/>
                <w:rPr>
                  <w:b/>
                  <w:bCs/>
                  <w:caps/>
                  <w:color w:val="000000"/>
                  <w:lang w:eastAsia="lt-LT"/>
                </w:rPr>
              </w:pPr>
              <w:sdt>
                <w:sdtPr>
                  <w:alias w:val="Pavadinimas"/>
                  <w:tag w:val="title_f916d03cee264112bc82bef4db8f09d1"/>
                  <w:lock w:val="sdtLocked"/>
                  <w:richText/>
                </w:sdtPr>
                <w:sdtContent>
                  <w:r>
                    <w:rPr>
                      <w:b/>
                      <w:bCs/>
                      <w:lang w:eastAsia="lt-LT"/>
                    </w:rPr>
                    <w:t xml:space="preserve">TEISĖKŪROS </w:t>
                  </w:r>
                  <w:r>
                    <w:rPr>
                      <w:b/>
                      <w:bCs/>
                      <w:caps/>
                      <w:color w:val="000000"/>
                      <w:lang w:eastAsia="lt-LT"/>
                    </w:rPr>
                    <w:t xml:space="preserve">poveikio aplinkai ir klimato kaitai KIEKYBINIS </w:t>
                  </w:r>
                  <w:r>
                    <w:rPr>
                      <w:b/>
                      <w:bCs/>
                      <w:lang w:eastAsia="lt-LT"/>
                    </w:rPr>
                    <w:t>(</w:t>
                  </w:r>
                  <w:r>
                    <w:rPr>
                      <w:b/>
                      <w:bCs/>
                      <w:i/>
                      <w:iCs/>
                      <w:lang w:eastAsia="lt-LT"/>
                    </w:rPr>
                    <w:t>EX ANTE</w:t>
                  </w:r>
                  <w:r>
                    <w:rPr>
                      <w:b/>
                      <w:bCs/>
                      <w:lang w:eastAsia="lt-LT"/>
                    </w:rPr>
                    <w:t xml:space="preserve">) </w:t>
                  </w:r>
                  <w:r>
                    <w:rPr>
                      <w:b/>
                      <w:bCs/>
                      <w:caps/>
                      <w:color w:val="000000"/>
                      <w:lang w:eastAsia="lt-LT"/>
                    </w:rPr>
                    <w:t>vertinimAS IR JO metodinės rekomendacijos</w:t>
                  </w:r>
                </w:sdtContent>
              </w:sdt>
            </w:p>
            <w:p w14:paraId="7C98DBC2" w14:textId="77777777">
              <w:pPr>
                <w:suppressAutoHyphens/>
                <w:ind w:firstLine="540"/>
                <w:jc w:val="center"/>
                <w:rPr>
                  <w:b/>
                  <w:bCs/>
                  <w:caps/>
                  <w:color w:val="000000"/>
                  <w:lang w:eastAsia="lt-LT"/>
                </w:rPr>
              </w:pPr>
            </w:p>
            <w:sdt>
              <w:sdtPr>
                <w:alias w:val="9 p."/>
                <w:tag w:val="part_e574e2ca08cb49c382b6f1bf5cc8e802"/>
                <w:lock w:val="sdtLocked"/>
                <w:richText/>
              </w:sdtPr>
              <w:sdtContent>
                <w:p w14:paraId="4641C340" w14:textId="04C6DA70">
                  <w:pPr>
                    <w:suppressAutoHyphens/>
                    <w:ind w:firstLine="567"/>
                    <w:jc w:val="both"/>
                    <w:rPr>
                      <w:lang w:eastAsia="lt-LT"/>
                    </w:rPr>
                  </w:pPr>
                  <w:sdt>
                    <w:sdtPr>
                      <w:alias w:val="Numeris"/>
                      <w:tag w:val="nr_e574e2ca08cb49c382b6f1bf5cc8e802"/>
                      <w:lock w:val="sdtLocked"/>
                      <w:richText/>
                    </w:sdtPr>
                    <w:sdtContent>
                      <w:r>
                        <w:rPr>
                          <w:lang w:eastAsia="lt-LT"/>
                        </w:rPr>
                        <w:t>9</w:t>
                      </w:r>
                    </w:sdtContent>
                  </w:sdt>
                  <w:r>
                    <w:rPr>
                      <w:lang w:eastAsia="lt-LT"/>
                    </w:rPr>
                    <w:t>. Teisėkūros poveikio aplinkai ir klimato kaitai kiekybinis (</w:t>
                  </w:r>
                  <w:r>
                    <w:rPr>
                      <w:i/>
                      <w:iCs/>
                      <w:lang w:eastAsia="lt-LT"/>
                    </w:rPr>
                    <w:t>ex ante</w:t>
                  </w:r>
                  <w:r>
                    <w:rPr>
                      <w:lang w:eastAsia="lt-LT"/>
                    </w:rPr>
                    <w:t>) vertinimas (toliau – poveikio kiekybinis vertinimas) – metodas, poveikiui ir pasekmėms aplinkai ir klimato kaitai suteikiantis skaitinę reikšmę, įskaitant aplinkos būklės ir klimato kaitos rodiklių pokyčio analizę</w:t>
                  </w:r>
                  <w:r>
                    <w:rPr>
                      <w:i/>
                      <w:iCs/>
                      <w:lang w:eastAsia="lt-LT"/>
                    </w:rPr>
                    <w:t>,</w:t>
                  </w:r>
                  <w:r>
                    <w:rPr>
                      <w:lang w:eastAsia="lt-LT"/>
                    </w:rPr>
                    <w:t xml:space="preserve"> atliktą pagal Aplinkos apsaugos agentūros, Valstybinės miškų tarnybos, Lietuvos geologijos tarnybos, Valstybinės saugomų teritorijų tarnybos prie Aplinkos ministerijos parengtas ir patvirtintas poveikio kiekybinio vertinimo metodines rekomendacijas (toliau – metodinės rekomendacijos).</w:t>
                  </w:r>
                </w:p>
              </w:sdtContent>
            </w:sdt>
            <w:sdt>
              <w:sdtPr>
                <w:alias w:val="10 p."/>
                <w:tag w:val="part_b5bc7701c6154eb691ec2c8d03ef0e7e"/>
                <w:lock w:val="sdtLocked"/>
                <w:richText/>
              </w:sdtPr>
              <w:sdtContent>
                <w:p w14:paraId="77C9CBCB" w14:textId="6517D87E">
                  <w:pPr>
                    <w:suppressAutoHyphens/>
                    <w:ind w:firstLine="567"/>
                    <w:jc w:val="both"/>
                    <w:rPr>
                      <w:lang w:eastAsia="lt-LT"/>
                    </w:rPr>
                  </w:pPr>
                  <w:sdt>
                    <w:sdtPr>
                      <w:alias w:val="Numeris"/>
                      <w:tag w:val="nr_b5bc7701c6154eb691ec2c8d03ef0e7e"/>
                      <w:lock w:val="sdtLocked"/>
                      <w:richText/>
                    </w:sdtPr>
                    <w:sdtContent>
                      <w:r>
                        <w:rPr>
                          <w:lang w:eastAsia="lt-LT"/>
                        </w:rPr>
                        <w:t>10</w:t>
                      </w:r>
                    </w:sdtContent>
                  </w:sdt>
                  <w:r>
                    <w:rPr>
                      <w:lang w:eastAsia="lt-LT"/>
                    </w:rPr>
                    <w:t>. Po</w:t>
                  </w:r>
                  <w:r>
                    <w:rPr>
                      <w:color w:val="000000"/>
                      <w:lang w:eastAsia="lt-LT"/>
                    </w:rPr>
                    <w:t xml:space="preserve">veikio kiekybinis </w:t>
                  </w:r>
                  <w:r>
                    <w:rPr>
                      <w:lang w:eastAsia="lt-LT"/>
                    </w:rPr>
                    <w:t>vertinimas atliekamas kartu su poveikio kokybiniu vertinimu:</w:t>
                  </w:r>
                </w:p>
                <w:sdt>
                  <w:sdtPr>
                    <w:alias w:val="10.1 pp."/>
                    <w:tag w:val="part_8585a8cb99604528b1228435c652d031"/>
                    <w:lock w:val="sdtLocked"/>
                    <w:richText/>
                  </w:sdtPr>
                  <w:sdtContent>
                    <w:p w14:paraId="1CD6BBBF" w14:textId="6860B16B">
                      <w:pPr>
                        <w:suppressAutoHyphens/>
                        <w:ind w:firstLine="567"/>
                        <w:jc w:val="both"/>
                        <w:rPr>
                          <w:lang w:eastAsia="lt-LT"/>
                        </w:rPr>
                      </w:pPr>
                      <w:sdt>
                        <w:sdtPr>
                          <w:alias w:val="Numeris"/>
                          <w:tag w:val="nr_8585a8cb99604528b1228435c652d031"/>
                          <w:lock w:val="sdtLocked"/>
                          <w:richText/>
                        </w:sdtPr>
                        <w:sdtContent>
                          <w:r>
                            <w:rPr>
                              <w:lang w:eastAsia="lt-LT"/>
                            </w:rPr>
                            <w:t>10.1</w:t>
                          </w:r>
                        </w:sdtContent>
                      </w:sdt>
                      <w:r>
                        <w:rPr>
                          <w:lang w:eastAsia="lt-LT"/>
                        </w:rPr>
                        <w:t>. kai yra parengtos metodinės rekomendacijos Tvarkos aprašo 4.1, 4.3–4.6 ir 4.8 papunkčiuose išvardytoms sritims;</w:t>
                      </w:r>
                    </w:p>
                  </w:sdtContent>
                </w:sdt>
                <w:sdt>
                  <w:sdtPr>
                    <w:alias w:val="10.2 pp."/>
                    <w:tag w:val="part_9ba53672b6dc44d6a9d8e027079b8605"/>
                    <w:lock w:val="sdtLocked"/>
                    <w:richText/>
                  </w:sdtPr>
                  <w:sdtContent>
                    <w:p w14:paraId="6859AE5F" w14:textId="51B36E03">
                      <w:pPr>
                        <w:suppressAutoHyphens/>
                        <w:ind w:firstLine="567"/>
                        <w:jc w:val="both"/>
                        <w:rPr>
                          <w:lang w:eastAsia="lt-LT"/>
                        </w:rPr>
                      </w:pPr>
                      <w:sdt>
                        <w:sdtPr>
                          <w:alias w:val="Numeris"/>
                          <w:tag w:val="nr_9ba53672b6dc44d6a9d8e027079b8605"/>
                          <w:lock w:val="sdtLocked"/>
                          <w:richText/>
                        </w:sdtPr>
                        <w:sdtContent>
                          <w:r>
                            <w:rPr>
                              <w:lang w:eastAsia="lt-LT"/>
                            </w:rPr>
                            <w:t>10.2</w:t>
                          </w:r>
                        </w:sdtContent>
                      </w:sdt>
                      <w:r>
                        <w:rPr>
                          <w:lang w:eastAsia="lt-LT"/>
                        </w:rPr>
                        <w:t>. kai metodinės rekomendacijos neparengtos, bet turimi duomenys ir planuojamos teisėkūros iniciatyvos pobūdis leidžia tai atlikti.</w:t>
                      </w:r>
                    </w:p>
                  </w:sdtContent>
                </w:sdt>
              </w:sdtContent>
            </w:sdt>
            <w:sdt>
              <w:sdtPr>
                <w:alias w:val="11 p."/>
                <w:tag w:val="part_8cecf41d7de9437594d3de58514f86ff"/>
                <w:lock w:val="sdtLocked"/>
                <w:richText/>
              </w:sdtPr>
              <w:sdtContent>
                <w:p w14:paraId="29EC54AB" w14:textId="0B9180DE">
                  <w:pPr>
                    <w:suppressAutoHyphens/>
                    <w:ind w:firstLine="567"/>
                    <w:jc w:val="both"/>
                    <w:rPr>
                      <w:lang w:eastAsia="lt-LT"/>
                    </w:rPr>
                  </w:pPr>
                  <w:sdt>
                    <w:sdtPr>
                      <w:alias w:val="Numeris"/>
                      <w:tag w:val="nr_8cecf41d7de9437594d3de58514f86ff"/>
                      <w:lock w:val="sdtLocked"/>
                      <w:richText/>
                    </w:sdtPr>
                    <w:sdtContent>
                      <w:r>
                        <w:rPr>
                          <w:lang w:eastAsia="lt-LT"/>
                        </w:rPr>
                        <w:t>11</w:t>
                      </w:r>
                    </w:sdtContent>
                  </w:sdt>
                  <w:r>
                    <w:rPr>
                      <w:lang w:eastAsia="lt-LT"/>
                    </w:rPr>
                    <w:t xml:space="preserve">. Poveikio kiekybinio vertinimo galima neatlikti, kai neparengtos metodinės  rekomendacijos, teisėkūros iniciatyvos pobūdis neleidžia atlikti poveikio kiekybinio vertinimo Tvarkos aprašo 4 punkte išvardytoms sritimis, poveikį tikslingiau išreikšti tik kokybiškai. Tokiu atveju poveikio kokybinio vertinimo išvadose reikia nurodyti priežastis, kodėl neatliktas poveikio kiekybinis vertinimas.</w:t>
                  </w:r>
                </w:p>
              </w:sdtContent>
            </w:sdt>
            <w:sdt>
              <w:sdtPr>
                <w:alias w:val="12 p."/>
                <w:tag w:val="part_5c06094b79a54728a89bbf33d7222aed"/>
                <w:lock w:val="sdtLocked"/>
                <w:richText/>
              </w:sdtPr>
              <w:sdtContent>
                <w:p w14:paraId="79262F9A" w14:textId="2C72C6A2">
                  <w:pPr>
                    <w:suppressAutoHyphens/>
                    <w:ind w:firstLine="567"/>
                    <w:jc w:val="both"/>
                    <w:rPr>
                      <w:lang w:eastAsia="lt-LT"/>
                    </w:rPr>
                  </w:pPr>
                  <w:sdt>
                    <w:sdtPr>
                      <w:alias w:val="Numeris"/>
                      <w:tag w:val="nr_5c06094b79a54728a89bbf33d7222aed"/>
                      <w:lock w:val="sdtLocked"/>
                      <w:richText/>
                    </w:sdtPr>
                    <w:sdtContent>
                      <w:r>
                        <w:rPr>
                          <w:lang w:eastAsia="lt-LT"/>
                        </w:rPr>
                        <w:t>12</w:t>
                      </w:r>
                    </w:sdtContent>
                  </w:sdt>
                  <w:r>
                    <w:rPr>
                      <w:lang w:eastAsia="lt-LT"/>
                    </w:rPr>
                    <w:t>. Poveikio kiekybinio vertinimo metodinėmis rekomendacijomis vadovaujamasi atliekant prioritetinių ir kitų teisėkūros iniciatyvų poveikio vertinimą, kai jos apima Tvarkos aprašo 4.1, 4.3–4.6 ir 4.8 papunkčiuose išvardytas sritis.</w:t>
                  </w:r>
                </w:p>
              </w:sdtContent>
            </w:sdt>
            <w:sdt>
              <w:sdtPr>
                <w:alias w:val="13 p."/>
                <w:tag w:val="part_66ba63f1102d478ea0b2be4a2eea5cc9"/>
                <w:lock w:val="sdtLocked"/>
                <w:richText/>
              </w:sdtPr>
              <w:sdtContent>
                <w:p w14:paraId="4640C0DA" w14:textId="3A2043E7">
                  <w:pPr>
                    <w:shd w:val="clear" w:color="auto" w:fill="FFFFFF"/>
                    <w:suppressAutoHyphens/>
                    <w:ind w:firstLine="567"/>
                    <w:jc w:val="both"/>
                    <w:rPr>
                      <w:color w:val="000000"/>
                      <w:lang w:eastAsia="lt-LT"/>
                    </w:rPr>
                  </w:pPr>
                  <w:sdt>
                    <w:sdtPr>
                      <w:alias w:val="Numeris"/>
                      <w:tag w:val="nr_66ba63f1102d478ea0b2be4a2eea5cc9"/>
                      <w:lock w:val="sdtLocked"/>
                      <w:richText/>
                    </w:sdtPr>
                    <w:sdtContent>
                      <w:r>
                        <w:rPr>
                          <w:lang w:eastAsia="lt-LT"/>
                        </w:rPr>
                        <w:t>13</w:t>
                      </w:r>
                    </w:sdtContent>
                  </w:sdt>
                  <w:r>
                    <w:rPr>
                      <w:lang w:eastAsia="lt-LT"/>
                    </w:rPr>
                    <w:t>. Vadovaujantis Numatomo teisinio reguliavimo poveikio vertinimo metodikos 17</w:t>
                  </w:r>
                  <w:r>
                    <w:rPr>
                      <w:vertAlign w:val="superscript"/>
                      <w:lang w:eastAsia="lt-LT"/>
                    </w:rPr>
                    <w:t>1</w:t>
                  </w:r>
                  <w:r>
                    <w:rPr>
                      <w:lang w:eastAsia="lt-LT"/>
                    </w:rPr>
                    <w:t> papunkčio nuostatomis, pagal poveikio kiekybinio vertinimo metodines rekomendacijas nustatytos aplinkos būklės rodiklių pokyčio reikšmės</w:t>
                  </w:r>
                  <w:r>
                    <w:rPr>
                      <w:i/>
                      <w:iCs/>
                      <w:lang w:eastAsia="lt-LT"/>
                    </w:rPr>
                    <w:t xml:space="preserve"> </w:t>
                  </w:r>
                  <w:r>
                    <w:rPr>
                      <w:lang w:eastAsia="lt-LT"/>
                    </w:rPr>
                    <w:t xml:space="preserve">gali būti naudojamos atskirai vertinant poveikį Tvarkos aprašo 4.1, 4.3–4.6 ir 4.8 papunkčiuose išvardytoms </w:t>
                  </w:r>
                  <w:r>
                    <w:rPr>
                      <w:color w:val="000000"/>
                      <w:lang w:eastAsia="lt-LT"/>
                    </w:rPr>
                    <w:t>sritims ir (ar) atliekant prioritetinių ir kitų teisėkūros iniciatyvų sąnaudų ir naudos ar sąnaudų efektyvumo analizę (į sąnaudų ir naudos ar sąnaudų efektyvumo analizę įtraukiant aplinkos būklės rodiklių pokyčio reikšmes).</w:t>
                  </w:r>
                </w:p>
              </w:sdtContent>
            </w:sdt>
            <w:sdt>
              <w:sdtPr>
                <w:alias w:val="14 p."/>
                <w:tag w:val="part_da9d8543df274fe28b174e44ef3e0e64"/>
                <w:lock w:val="sdtLocked"/>
                <w:richText/>
              </w:sdtPr>
              <w:sdtContent>
                <w:p w14:paraId="56AF4FC2" w14:textId="2351CA8A">
                  <w:pPr>
                    <w:shd w:val="clear" w:color="auto" w:fill="FFFFFF"/>
                    <w:suppressAutoHyphens/>
                    <w:ind w:firstLine="567"/>
                    <w:jc w:val="both"/>
                    <w:rPr>
                      <w:color w:val="000000"/>
                      <w:lang w:eastAsia="lt-LT"/>
                    </w:rPr>
                  </w:pPr>
                  <w:sdt>
                    <w:sdtPr>
                      <w:alias w:val="Numeris"/>
                      <w:tag w:val="nr_da9d8543df274fe28b174e44ef3e0e64"/>
                      <w:lock w:val="sdtLocked"/>
                      <w:richText/>
                    </w:sdtPr>
                    <w:sdtContent>
                      <w:r>
                        <w:rPr>
                          <w:color w:val="000000"/>
                          <w:lang w:eastAsia="lt-LT"/>
                        </w:rPr>
                        <w:t>14</w:t>
                      </w:r>
                    </w:sdtContent>
                  </w:sdt>
                  <w:r>
                    <w:rPr>
                      <w:color w:val="000000"/>
                      <w:lang w:eastAsia="lt-LT"/>
                    </w:rPr>
                    <w:t xml:space="preserve">. Poveikio kiekybinis vertinimas, kiek įmanoma, turi būti </w:t>
                  </w:r>
                  <w:r>
                    <w:rPr>
                      <w:lang w:eastAsia="lt-LT"/>
                    </w:rPr>
                    <w:t xml:space="preserve">pagrįstas oficialiosios statistikos, valstybės registrų ir valstybės informacinių sistemų, žinybinių registrų ir kitų informacinių sistemų </w:t>
                  </w:r>
                  <w:r>
                    <w:rPr>
                      <w:color w:val="000000"/>
                      <w:lang w:eastAsia="lt-LT"/>
                    </w:rPr>
                    <w:t>duomenimis.</w:t>
                  </w:r>
                </w:p>
              </w:sdtContent>
            </w:sdt>
            <w:sdt>
              <w:sdtPr>
                <w:alias w:val="15 p."/>
                <w:tag w:val="part_5a5047e457a644dc906299d29ea3f6c1"/>
                <w:lock w:val="sdtLocked"/>
                <w:richText/>
              </w:sdtPr>
              <w:sdtContent>
                <w:p w14:paraId="6DC98EA4" w14:textId="27449C25">
                  <w:pPr>
                    <w:shd w:val="clear" w:color="auto" w:fill="FFFFFF"/>
                    <w:suppressAutoHyphens/>
                    <w:ind w:firstLine="567"/>
                    <w:jc w:val="both"/>
                    <w:rPr>
                      <w:color w:val="000000"/>
                      <w:lang w:eastAsia="lt-LT"/>
                    </w:rPr>
                  </w:pPr>
                  <w:sdt>
                    <w:sdtPr>
                      <w:alias w:val="Numeris"/>
                      <w:tag w:val="nr_5a5047e457a644dc906299d29ea3f6c1"/>
                      <w:lock w:val="sdtLocked"/>
                      <w:richText/>
                    </w:sdtPr>
                    <w:sdtContent>
                      <w:r>
                        <w:rPr>
                          <w:color w:val="000000"/>
                          <w:lang w:eastAsia="lt-LT"/>
                        </w:rPr>
                        <w:t>15</w:t>
                      </w:r>
                    </w:sdtContent>
                  </w:sdt>
                  <w:r>
                    <w:rPr>
                      <w:color w:val="000000"/>
                      <w:lang w:eastAsia="lt-LT"/>
                    </w:rPr>
                    <w:t>. Poveikio kiekybinį vertinimą atliekantys subjektai informuoja Aplinkos apsaugos agentūrą, kai nustačiusi sistemines klaidas ir (ar) trukdžius, negali pritaikyti poveikio kiekybinio vertinimo metodinių rekomendacijų planuojamų teisėkūros iniciatyvų kiekybiniam vertinimui atlikti.</w:t>
                  </w:r>
                </w:p>
                <w:p w14:paraId="0BF57D1F" w14:textId="77777777">
                  <w:pPr>
                    <w:suppressAutoHyphens/>
                    <w:ind w:firstLine="567"/>
                    <w:jc w:val="both"/>
                    <w:rPr>
                      <w:color w:val="000000"/>
                      <w:lang w:eastAsia="lt-LT"/>
                    </w:rPr>
                  </w:pPr>
                </w:p>
              </w:sdtContent>
            </w:sdt>
          </w:sdtContent>
        </w:sdt>
        <w:sdt>
          <w:sdtPr>
            <w:alias w:val="skyrius"/>
            <w:tag w:val="part_5251e0f16f2a40449efec1db6cc19012"/>
            <w:lock w:val="sdtLocked"/>
            <w:richText/>
          </w:sdtPr>
          <w:sdtContent>
            <w:p w14:paraId="46E1FEAE" w14:textId="6EF857D9">
              <w:pPr>
                <w:suppressAutoHyphens/>
                <w:jc w:val="center"/>
                <w:rPr>
                  <w:b/>
                  <w:bCs/>
                  <w:caps/>
                  <w:color w:val="000000"/>
                  <w:lang w:eastAsia="lt-LT"/>
                </w:rPr>
              </w:pPr>
              <w:sdt>
                <w:sdtPr>
                  <w:alias w:val="Numeris"/>
                  <w:tag w:val="nr_5251e0f16f2a40449efec1db6cc19012"/>
                  <w:lock w:val="sdtLocked"/>
                  <w:richText/>
                </w:sdtPr>
                <w:sdtContent>
                  <w:r>
                    <w:rPr>
                      <w:b/>
                      <w:bCs/>
                      <w:caps/>
                      <w:color w:val="000000"/>
                      <w:lang w:eastAsia="lt-LT"/>
                    </w:rPr>
                    <w:t>V</w:t>
                  </w:r>
                </w:sdtContent>
              </w:sdt>
              <w:r>
                <w:rPr>
                  <w:b/>
                  <w:bCs/>
                  <w:caps/>
                  <w:color w:val="000000"/>
                  <w:lang w:eastAsia="lt-LT"/>
                </w:rPr>
                <w:t xml:space="preserve"> Skyrius</w:t>
              </w:r>
            </w:p>
            <w:p w14:paraId="66F446C1" w14:textId="6739996E">
              <w:pPr>
                <w:suppressAutoHyphens/>
                <w:jc w:val="center"/>
                <w:rPr>
                  <w:b/>
                  <w:bCs/>
                  <w:caps/>
                  <w:color w:val="000000"/>
                  <w:szCs w:val="24"/>
                  <w:lang w:eastAsia="lt-LT"/>
                </w:rPr>
              </w:pPr>
              <w:sdt>
                <w:sdtPr>
                  <w:alias w:val="Pavadinimas"/>
                  <w:tag w:val="title_5251e0f16f2a40449efec1db6cc19012"/>
                  <w:lock w:val="sdtLocked"/>
                  <w:richText/>
                </w:sdtPr>
                <w:sdtContent>
                  <w:r>
                    <w:rPr>
                      <w:b/>
                      <w:bCs/>
                      <w:caps/>
                      <w:color w:val="000000"/>
                      <w:szCs w:val="24"/>
                      <w:lang w:eastAsia="lt-LT"/>
                    </w:rPr>
                    <w:t>REIKŠMINGAS NEIGIAMAS POVEIKIS aplinkai ir klimato kaitai</w:t>
                  </w:r>
                </w:sdtContent>
              </w:sdt>
            </w:p>
            <w:p w14:paraId="6BD313C0" w14:textId="1BA9961A">
              <w:pPr>
                <w:suppressAutoHyphens/>
                <w:jc w:val="center"/>
                <w:rPr>
                  <w:b/>
                  <w:bCs/>
                  <w:caps/>
                  <w:color w:val="000000"/>
                  <w:szCs w:val="24"/>
                  <w:lang w:eastAsia="lt-LT"/>
                </w:rPr>
              </w:pPr>
            </w:p>
            <w:sdt>
              <w:sdtPr>
                <w:alias w:val="16 p."/>
                <w:tag w:val="part_c49f1a821da942cf9f31b7bce8d3b282"/>
                <w:lock w:val="sdtLocked"/>
                <w:richText/>
              </w:sdtPr>
              <w:sdtContent>
                <w:p w14:paraId="18878EC5" w14:textId="08C5C700">
                  <w:pPr>
                    <w:shd w:val="clear" w:color="auto" w:fill="FFFFFF"/>
                    <w:suppressAutoHyphens/>
                    <w:ind w:firstLine="567"/>
                    <w:jc w:val="both"/>
                    <w:rPr>
                      <w:color w:val="000000"/>
                      <w:lang w:eastAsia="lt-LT"/>
                    </w:rPr>
                  </w:pPr>
                  <w:sdt>
                    <w:sdtPr>
                      <w:alias w:val="Numeris"/>
                      <w:tag w:val="nr_c49f1a821da942cf9f31b7bce8d3b282"/>
                      <w:lock w:val="sdtLocked"/>
                      <w:richText/>
                    </w:sdtPr>
                    <w:sdtContent>
                      <w:r>
                        <w:rPr>
                          <w:color w:val="000000"/>
                          <w:lang w:eastAsia="lt-LT"/>
                        </w:rPr>
                        <w:t>16</w:t>
                      </w:r>
                    </w:sdtContent>
                  </w:sdt>
                  <w:r>
                    <w:rPr>
                      <w:color w:val="000000"/>
                      <w:lang w:eastAsia="lt-LT"/>
                    </w:rPr>
                    <w:t>. Reikšmingu neigiamu poveikiu laikoma, kai poveikio kiekybinio vertinimo metu, atliekant aplinkos būklės ir klimato kaitos rodiklių analizę, aplinkos būklės ir (ar) klimato kaitos rodikliai viršija Tvarkos aprašo priede nustatytas ribines vertes.</w:t>
                  </w:r>
                </w:p>
              </w:sdtContent>
            </w:sdt>
            <w:sdt>
              <w:sdtPr>
                <w:alias w:val="17 p."/>
                <w:tag w:val="part_5e8b9e4d624847898fcffaf082de4355"/>
                <w:lock w:val="sdtLocked"/>
                <w:richText/>
              </w:sdtPr>
              <w:sdtContent>
                <w:p w14:paraId="56CC802C" w14:textId="02D9D85A">
                  <w:pPr>
                    <w:shd w:val="clear" w:color="auto" w:fill="FFFFFF"/>
                    <w:suppressAutoHyphens/>
                    <w:ind w:firstLine="567"/>
                    <w:jc w:val="both"/>
                    <w:rPr>
                      <w:color w:val="000000"/>
                      <w:lang w:eastAsia="lt-LT"/>
                    </w:rPr>
                  </w:pPr>
                  <w:sdt>
                    <w:sdtPr>
                      <w:alias w:val="Numeris"/>
                      <w:tag w:val="nr_5e8b9e4d624847898fcffaf082de4355"/>
                      <w:lock w:val="sdtLocked"/>
                      <w:richText/>
                    </w:sdtPr>
                    <w:sdtContent>
                      <w:r>
                        <w:rPr>
                          <w:color w:val="000000"/>
                          <w:lang w:eastAsia="lt-LT"/>
                        </w:rPr>
                        <w:t>17</w:t>
                      </w:r>
                    </w:sdtContent>
                  </w:sdt>
                  <w:r>
                    <w:rPr>
                      <w:color w:val="000000"/>
                      <w:lang w:eastAsia="lt-LT"/>
                    </w:rPr>
                    <w:t>. Atlikus poveikio kiekybinį vertinimą ir nustačius reikšmingą neigiamą poveikį atitinkamai sričiai, vadovaujantis Numatomo teisinio reguliavimo poveikio vertinimo metodikos 23.5 papunkčiu, rekomenduojama teisėkūros iniciatyvos atsisakyti ar patikslinti jos turinį, arba su teisėkūros pasiūlymu pateikti siūlymus dėl esamo teisinio reguliavimo tobulinimo ir (ar) kitų priemonių, kuriomis taikant švelninimo seką, būtų išvengta dėl teisėkūros iniciatyvos įgyvendinimo atsirasiančio reikšmingo neigiamo poveikio aplinkai ir klimato kaitai, poveikis būtų sumažintas arba kompensuotas.</w:t>
                  </w:r>
                </w:p>
                <w:p w14:paraId="138FE301" w14:textId="77777777">
                  <w:pPr>
                    <w:shd w:val="clear" w:color="auto" w:fill="FFFFFF"/>
                    <w:suppressAutoHyphens/>
                    <w:jc w:val="both"/>
                    <w:rPr>
                      <w:color w:val="000000"/>
                      <w:lang w:eastAsia="lt-LT"/>
                    </w:rPr>
                  </w:pPr>
                </w:p>
              </w:sdtContent>
            </w:sdt>
          </w:sdtContent>
        </w:sdt>
        <w:sdt>
          <w:sdtPr>
            <w:alias w:val="skyrius"/>
            <w:tag w:val="part_2c71ae775a454fc88153033c2a960429"/>
            <w:lock w:val="sdtLocked"/>
            <w:richText/>
          </w:sdtPr>
          <w:sdtContent>
            <w:p w14:paraId="468CC7EB" w14:textId="27F4325D">
              <w:pPr>
                <w:suppressAutoHyphens/>
                <w:jc w:val="center"/>
                <w:rPr>
                  <w:b/>
                  <w:bCs/>
                  <w:caps/>
                  <w:color w:val="000000"/>
                  <w:lang w:eastAsia="lt-LT"/>
                </w:rPr>
              </w:pPr>
              <w:sdt>
                <w:sdtPr>
                  <w:alias w:val="Numeris"/>
                  <w:tag w:val="nr_2c71ae775a454fc88153033c2a960429"/>
                  <w:lock w:val="sdtLocked"/>
                  <w:richText/>
                </w:sdtPr>
                <w:sdtContent>
                  <w:r>
                    <w:rPr>
                      <w:b/>
                      <w:bCs/>
                      <w:caps/>
                      <w:color w:val="000000"/>
                      <w:lang w:eastAsia="lt-LT"/>
                    </w:rPr>
                    <w:t>VI</w:t>
                  </w:r>
                </w:sdtContent>
              </w:sdt>
              <w:r>
                <w:rPr>
                  <w:b/>
                  <w:bCs/>
                  <w:caps/>
                  <w:color w:val="000000"/>
                  <w:lang w:eastAsia="lt-LT"/>
                </w:rPr>
                <w:t xml:space="preserve"> Skyrius</w:t>
              </w:r>
            </w:p>
            <w:p w14:paraId="21DE5385" w14:textId="5115EC86">
              <w:pPr>
                <w:suppressAutoHyphens/>
                <w:jc w:val="center"/>
                <w:rPr>
                  <w:b/>
                  <w:bCs/>
                  <w:caps/>
                  <w:color w:val="000000"/>
                  <w:szCs w:val="24"/>
                  <w:lang w:eastAsia="lt-LT"/>
                </w:rPr>
              </w:pPr>
              <w:sdt>
                <w:sdtPr>
                  <w:alias w:val="Pavadinimas"/>
                  <w:tag w:val="title_2c71ae775a454fc88153033c2a960429"/>
                  <w:lock w:val="sdtLocked"/>
                  <w:richText/>
                </w:sdtPr>
                <w:sdtContent>
                  <w:r>
                    <w:rPr>
                      <w:b/>
                      <w:bCs/>
                      <w:caps/>
                      <w:color w:val="000000"/>
                      <w:szCs w:val="24"/>
                      <w:lang w:eastAsia="lt-LT"/>
                    </w:rPr>
                    <w:t>BAIGIAMOSIOS NUOSTATOS</w:t>
                  </w:r>
                </w:sdtContent>
              </w:sdt>
            </w:p>
            <w:p w14:paraId="1BEE8327" w14:textId="77777777">
              <w:pPr>
                <w:shd w:val="clear" w:color="auto" w:fill="FFFFFF"/>
                <w:suppressAutoHyphens/>
                <w:jc w:val="both"/>
                <w:rPr>
                  <w:color w:val="000000"/>
                  <w:lang w:eastAsia="lt-LT"/>
                </w:rPr>
              </w:pPr>
            </w:p>
            <w:sdt>
              <w:sdtPr>
                <w:alias w:val="18 p."/>
                <w:tag w:val="part_b21c8f98bb194ca697cb157c56d52983"/>
                <w:lock w:val="sdtLocked"/>
                <w:richText/>
              </w:sdtPr>
              <w:sdtContent>
                <w:p w14:paraId="386F160C" w14:textId="10700F34">
                  <w:pPr>
                    <w:shd w:val="clear" w:color="auto" w:fill="FFFFFF"/>
                    <w:suppressAutoHyphens/>
                    <w:ind w:firstLine="567"/>
                    <w:jc w:val="both"/>
                    <w:rPr>
                      <w:color w:val="000000"/>
                      <w:lang w:eastAsia="lt-LT"/>
                    </w:rPr>
                  </w:pPr>
                  <w:sdt>
                    <w:sdtPr>
                      <w:alias w:val="Numeris"/>
                      <w:tag w:val="nr_b21c8f98bb194ca697cb157c56d52983"/>
                      <w:lock w:val="sdtLocked"/>
                      <w:richText/>
                    </w:sdtPr>
                    <w:sdtContent>
                      <w:r>
                        <w:rPr>
                          <w:color w:val="000000"/>
                          <w:lang w:eastAsia="lt-LT"/>
                        </w:rPr>
                        <w:t>18</w:t>
                      </w:r>
                    </w:sdtContent>
                  </w:sdt>
                  <w:r>
                    <w:rPr>
                      <w:lang w:eastAsia="lt-LT"/>
                    </w:rPr>
                    <w:t xml:space="preserve">. Rengiant prioritetines </w:t>
                  </w:r>
                  <w:r>
                    <w:rPr>
                      <w:color w:val="000000"/>
                      <w:lang w:eastAsia="lt-LT"/>
                    </w:rPr>
                    <w:t>teisėkūros iniciatyvas, poveikio kokybinio ir kiekybinio vertinimo rezultatų išvados pateikiamos užpildant Numatomo teisinio reguliavimo poveikio vertinimo metodikos 2 priede pateiktą Numatomo teisinio reguliavimo prioritetinių teisėkūros iniciatyvų poveikio vertinimo pažymą vadovaujantis šios metodikos 23 punktu.</w:t>
                  </w:r>
                </w:p>
              </w:sdtContent>
            </w:sdt>
            <w:sdt>
              <w:sdtPr>
                <w:alias w:val="19 p."/>
                <w:tag w:val="part_d0850fc9127a48dca488ed06ec8bc3c4"/>
                <w:lock w:val="sdtLocked"/>
                <w:richText/>
              </w:sdtPr>
              <w:sdtContent>
                <w:p w14:paraId="62FC17E8" w14:textId="36040659">
                  <w:pPr>
                    <w:shd w:val="clear" w:color="auto" w:fill="FFFFFF"/>
                    <w:suppressAutoHyphens/>
                    <w:ind w:firstLine="567"/>
                    <w:jc w:val="both"/>
                    <w:rPr>
                      <w:color w:val="000000"/>
                      <w:lang w:eastAsia="lt-LT"/>
                    </w:rPr>
                  </w:pPr>
                  <w:sdt>
                    <w:sdtPr>
                      <w:alias w:val="Numeris"/>
                      <w:tag w:val="nr_d0850fc9127a48dca488ed06ec8bc3c4"/>
                      <w:lock w:val="sdtLocked"/>
                      <w:richText/>
                    </w:sdtPr>
                    <w:sdtContent>
                      <w:r>
                        <w:rPr>
                          <w:color w:val="000000"/>
                          <w:lang w:eastAsia="lt-LT"/>
                        </w:rPr>
                        <w:t>19</w:t>
                      </w:r>
                    </w:sdtContent>
                  </w:sdt>
                  <w:r>
                    <w:rPr>
                      <w:color w:val="000000"/>
                      <w:lang w:eastAsia="lt-LT"/>
                    </w:rPr>
                    <w:t>. Rengiant kitas teisėkūros iniciatyvas, poveikio kokybinio ir kiekybinio vertinimo rezultatų išvados pateikiamos kaip apibendrinta informacija teisės akto projektą parengusios institucijos rašte, kuriuo projektas teikiamas išvadoms gauti, ir (ar) teikime Vyriausybei, vadovaujantis Numatomo teisinio reguliavimo poveikio vertinimo metodikos 36 punktu.</w:t>
                  </w:r>
                </w:p>
              </w:sdtContent>
            </w:sdt>
          </w:sdtContent>
        </w:sdt>
        <w:sdt>
          <w:sdtPr>
            <w:alias w:val="pabaiga"/>
            <w:tag w:val="part_5c7ebd1f4ed4459cb572f337de8d5b18"/>
            <w:lock w:val="sdtLocked"/>
            <w:richText/>
          </w:sdtPr>
          <w:sdtContent>
            <w:p w14:paraId="30F875A0" w14:textId="7D058ACB">
              <w:pPr>
                <w:suppressAutoHyphens/>
                <w:jc w:val="center"/>
                <w:rPr>
                  <w:lang w:eastAsia="lt-LT"/>
                </w:rPr>
              </w:pPr>
              <w:r>
                <w:rPr>
                  <w:color w:val="000000"/>
                  <w:lang w:eastAsia="lt-LT"/>
                </w:rPr>
                <w:t>_________________</w:t>
              </w:r>
            </w:p>
            <w:p w14:paraId="758F0E01" w14:textId="6D1F8146">
              <w:pPr>
                <w:suppressAutoHyphens/>
                <w:jc w:val="center"/>
                <w:rPr>
                  <w:color w:val="000000"/>
                  <w:lang w:eastAsia="lt-LT"/>
                </w:rPr>
              </w:pPr>
            </w:p>
            <w:p w14:paraId="3558D49A" w14:textId="77777777">
              <w:pPr>
                <w:suppressAutoHyphens/>
                <w:jc w:val="center"/>
                <w:rPr>
                  <w:color w:val="000000"/>
                  <w:lang w:eastAsia="lt-LT"/>
                </w:rPr>
                <w:sectPr>
                  <w:footnotePr>
                    <w:pos w:val="beneathText"/>
                  </w:footnotePr>
                  <w:pgSz w:w="11905" w:h="16837" w:code="9"/>
                  <w:pgMar w:top="1134" w:right="709" w:bottom="1134" w:left="1701" w:header="567" w:footer="567" w:gutter="0"/>
                  <w:pgNumType w:start="1"/>
                  <w:cols w:space="1296"/>
                  <w:titlePg/>
                  <w:docGrid w:linePitch="360"/>
                </w:sectPr>
              </w:pPr>
            </w:p>
            <w:p w14:paraId="681B0A25" w14:textId="77777777">
              <w:pPr>
                <w:tabs>
                  <w:tab w:val="center" w:pos="4153"/>
                  <w:tab w:val="right" w:pos="9100"/>
                </w:tabs>
                <w:suppressAutoHyphens/>
                <w:rPr>
                  <w:rFonts w:ascii="Tahoma" w:hAnsi="Tahoma"/>
                  <w:spacing w:val="10"/>
                  <w:sz w:val="20"/>
                  <w:lang w:eastAsia="lt-LT"/>
                </w:rPr>
              </w:pPr>
            </w:p>
          </w:sdtContent>
        </w:sdt>
      </w:sdtContent>
    </w:sdt>
    <w:sdt>
      <w:sdtPr>
        <w:alias w:val="pr."/>
        <w:tag w:val="part_3f1d4d47b88049b49503169adab7a7a6"/>
        <w:lock w:val="sdtLocked"/>
        <w:richText/>
      </w:sdtPr>
      <w:sdtContent>
        <w:p w14:paraId="4E4E6C07" w14:textId="665D321D">
          <w:pPr>
            <w:suppressAutoHyphens/>
            <w:ind w:left="5760"/>
            <w:jc w:val="both"/>
            <w:rPr>
              <w:color w:val="000000"/>
              <w:lang w:eastAsia="lt-LT"/>
            </w:rPr>
          </w:pPr>
          <w:r>
            <w:rPr>
              <w:color w:val="000000"/>
              <w:lang w:eastAsia="lt-LT"/>
            </w:rPr>
            <w:t>Teisėkūros poveikio aplinkai ir klimato kaitai (</w:t>
          </w:r>
          <w:r>
            <w:rPr>
              <w:i/>
              <w:iCs/>
              <w:color w:val="000000"/>
              <w:lang w:eastAsia="lt-LT"/>
            </w:rPr>
            <w:t>ex ante</w:t>
          </w:r>
          <w:r>
            <w:rPr>
              <w:color w:val="000000"/>
              <w:lang w:eastAsia="lt-LT"/>
            </w:rPr>
            <w:t>) vertinimo</w:t>
          </w:r>
        </w:p>
        <w:p w14:paraId="62841BB7" w14:textId="137C3D06">
          <w:pPr>
            <w:suppressAutoHyphens/>
            <w:ind w:left="5040" w:firstLine="720"/>
            <w:jc w:val="both"/>
            <w:rPr>
              <w:color w:val="000000"/>
              <w:lang w:eastAsia="lt-LT"/>
            </w:rPr>
          </w:pPr>
          <w:r>
            <w:rPr>
              <w:color w:val="000000"/>
              <w:lang w:eastAsia="lt-LT"/>
            </w:rPr>
            <w:t>tvarkos aprašo</w:t>
          </w:r>
        </w:p>
        <w:p w14:paraId="25A0BE59" w14:textId="1DB276CB">
          <w:pPr>
            <w:suppressAutoHyphens/>
            <w:ind w:left="5040" w:firstLine="720"/>
            <w:jc w:val="both"/>
            <w:rPr>
              <w:color w:val="000000"/>
              <w:lang w:eastAsia="lt-LT"/>
            </w:rPr>
          </w:pPr>
          <w:r>
            <w:rPr>
              <w:color w:val="000000"/>
              <w:lang w:eastAsia="lt-LT"/>
            </w:rPr>
            <w:t>priedas</w:t>
          </w:r>
        </w:p>
        <w:p w14:paraId="4225C947" w14:textId="77777777">
          <w:pPr>
            <w:suppressAutoHyphens/>
            <w:jc w:val="center"/>
            <w:rPr>
              <w:color w:val="000000"/>
              <w:lang w:eastAsia="lt-LT"/>
            </w:rPr>
          </w:pPr>
        </w:p>
        <w:p w14:paraId="0BF071B4" w14:textId="20EDA170">
          <w:pPr>
            <w:suppressAutoHyphens/>
            <w:jc w:val="center"/>
            <w:rPr>
              <w:b/>
              <w:bCs/>
              <w:lang w:eastAsia="lt-LT"/>
            </w:rPr>
          </w:pPr>
          <w:sdt>
            <w:sdtPr>
              <w:alias w:val="Pavadinimas"/>
              <w:tag w:val="title_3f1d4d47b88049b49503169adab7a7a6"/>
              <w:lock w:val="sdtLocked"/>
              <w:richText/>
            </w:sdtPr>
            <w:sdtContent>
              <w:r>
                <w:rPr>
                  <w:b/>
                  <w:bCs/>
                  <w:lang w:eastAsia="lt-LT"/>
                </w:rPr>
                <w:t>APLINKOS BŪKLĖS IR KLIMATO KAITOS RODIKLIAI IR JŲ RIBINĖS REIKŠMĖS</w:t>
              </w:r>
            </w:sdtContent>
          </w:sdt>
        </w:p>
        <w:p w14:paraId="4E4463C4" w14:textId="77777777">
          <w:pPr>
            <w:suppressAutoHyphens/>
            <w:jc w:val="center"/>
            <w:rPr>
              <w:b/>
              <w:bCs/>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3402"/>
            <w:gridCol w:w="2268"/>
            <w:gridCol w:w="1977"/>
          </w:tblGrid>
          <w:tr w14:paraId="348CE4D6" w14:textId="77777777">
            <w:tc>
              <w:tcPr>
                <w:tcW w:w="1838" w:type="dxa"/>
              </w:tcPr>
              <w:p w14:paraId="745F7915" w14:textId="1712BBDE">
                <w:pPr>
                  <w:suppressAutoHyphens/>
                  <w:jc w:val="center"/>
                  <w:rPr>
                    <w:b/>
                    <w:bCs/>
                    <w:lang w:eastAsia="lt-LT"/>
                  </w:rPr>
                </w:pPr>
                <w:r>
                  <w:rPr>
                    <w:b/>
                    <w:bCs/>
                    <w:lang w:eastAsia="lt-LT"/>
                  </w:rPr>
                  <w:t>Sritis</w:t>
                </w:r>
              </w:p>
            </w:tc>
            <w:tc>
              <w:tcPr>
                <w:tcW w:w="3402" w:type="dxa"/>
              </w:tcPr>
              <w:p w14:paraId="0DB52121" w14:textId="64168094">
                <w:pPr>
                  <w:suppressAutoHyphens/>
                  <w:jc w:val="center"/>
                  <w:rPr>
                    <w:b/>
                    <w:bCs/>
                    <w:lang w:eastAsia="lt-LT"/>
                  </w:rPr>
                </w:pPr>
                <w:r>
                  <w:rPr>
                    <w:b/>
                    <w:bCs/>
                    <w:lang w:eastAsia="lt-LT"/>
                  </w:rPr>
                  <w:t>Rodiklis</w:t>
                </w:r>
              </w:p>
            </w:tc>
            <w:tc>
              <w:tcPr>
                <w:tcW w:w="2268" w:type="dxa"/>
              </w:tcPr>
              <w:p w14:paraId="78C4A442" w14:textId="5E737B90">
                <w:pPr>
                  <w:suppressAutoHyphens/>
                  <w:jc w:val="center"/>
                  <w:rPr>
                    <w:b/>
                    <w:bCs/>
                    <w:lang w:eastAsia="lt-LT"/>
                  </w:rPr>
                </w:pPr>
                <w:r>
                  <w:rPr>
                    <w:b/>
                    <w:bCs/>
                    <w:lang w:eastAsia="lt-LT"/>
                  </w:rPr>
                  <w:t>Matavimo vienetai</w:t>
                </w:r>
              </w:p>
            </w:tc>
            <w:tc>
              <w:tcPr>
                <w:tcW w:w="1977" w:type="dxa"/>
              </w:tcPr>
              <w:p w14:paraId="2ADE7DCD" w14:textId="5F4B220B">
                <w:pPr>
                  <w:suppressAutoHyphens/>
                  <w:jc w:val="center"/>
                  <w:rPr>
                    <w:b/>
                    <w:bCs/>
                    <w:lang w:eastAsia="lt-LT"/>
                  </w:rPr>
                </w:pPr>
                <w:r>
                  <w:rPr>
                    <w:b/>
                    <w:bCs/>
                    <w:lang w:eastAsia="lt-LT"/>
                  </w:rPr>
                  <w:t>Rodiklio ribinė reikšmė</w:t>
                </w:r>
              </w:p>
            </w:tc>
          </w:tr>
          <w:tr w14:paraId="54F8F622" w14:textId="77777777">
            <w:tc>
              <w:tcPr>
                <w:tcW w:w="1838" w:type="dxa"/>
                <w:vAlign w:val="center"/>
              </w:tcPr>
              <w:p w14:paraId="1C33A489" w14:textId="3ACD7937">
                <w:pPr>
                  <w:suppressAutoHyphens/>
                  <w:jc w:val="center"/>
                  <w:rPr>
                    <w:b/>
                    <w:bCs/>
                    <w:lang w:eastAsia="lt-LT"/>
                  </w:rPr>
                </w:pPr>
                <w:r>
                  <w:rPr>
                    <w:lang w:eastAsia="lt-LT"/>
                  </w:rPr>
                  <w:t>Klimato kaitos švelninimas</w:t>
                </w:r>
              </w:p>
            </w:tc>
            <w:tc>
              <w:tcPr>
                <w:tcW w:w="3402" w:type="dxa"/>
                <w:vAlign w:val="center"/>
              </w:tcPr>
              <w:p w14:paraId="043BD77E" w14:textId="7B4A5EC8">
                <w:pPr>
                  <w:suppressAutoHyphens/>
                  <w:rPr>
                    <w:b/>
                    <w:bCs/>
                    <w:lang w:eastAsia="lt-LT"/>
                  </w:rPr>
                </w:pPr>
                <w:r>
                  <w:rPr>
                    <w:lang w:eastAsia="lt-LT"/>
                  </w:rPr>
                  <w:t>Šiltnamio efektą sukeliančios dujos (ŠESD)</w:t>
                </w:r>
              </w:p>
            </w:tc>
            <w:tc>
              <w:tcPr>
                <w:tcW w:w="2268" w:type="dxa"/>
                <w:vAlign w:val="center"/>
              </w:tcPr>
              <w:p w14:paraId="42E752AE" w14:textId="77777777">
                <w:pPr>
                  <w:suppressAutoHyphens/>
                  <w:jc w:val="center"/>
                  <w:rPr>
                    <w:lang w:eastAsia="lt-LT"/>
                  </w:rPr>
                </w:pPr>
                <w:r>
                  <w:rPr>
                    <w:lang w:eastAsia="lt-LT"/>
                  </w:rPr>
                  <w:t>tūkst. t CO</w:t>
                </w:r>
                <w:r>
                  <w:rPr>
                    <w:vertAlign w:val="subscript"/>
                    <w:lang w:eastAsia="lt-LT"/>
                  </w:rPr>
                  <w:t>2</w:t>
                </w:r>
                <w:r>
                  <w:rPr>
                    <w:lang w:eastAsia="lt-LT"/>
                  </w:rPr>
                  <w:t xml:space="preserve"> ekv.</w:t>
                </w:r>
              </w:p>
              <w:p w14:paraId="06C6A756" w14:textId="700D223C">
                <w:pPr>
                  <w:suppressAutoHyphens/>
                  <w:jc w:val="center"/>
                  <w:rPr>
                    <w:color w:val="FF0000"/>
                    <w:lang w:eastAsia="lt-LT"/>
                  </w:rPr>
                </w:pPr>
                <w:r>
                  <w:rPr>
                    <w:lang w:eastAsia="lt-LT"/>
                  </w:rPr>
                  <w:t>per metus</w:t>
                </w:r>
              </w:p>
            </w:tc>
            <w:tc>
              <w:tcPr>
                <w:tcW w:w="1977" w:type="dxa"/>
              </w:tcPr>
              <w:p w14:paraId="0E0E4851" w14:textId="01F73A5B">
                <w:pPr>
                  <w:suppressAutoHyphens/>
                  <w:rPr>
                    <w:b/>
                    <w:bCs/>
                    <w:lang w:eastAsia="lt-LT"/>
                  </w:rPr>
                </w:pPr>
                <w:r>
                  <w:rPr>
                    <w:lang w:eastAsia="lt-LT"/>
                  </w:rPr>
                  <w:t>0</w:t>
                </w:r>
              </w:p>
            </w:tc>
          </w:tr>
          <w:tr w14:paraId="762B847D" w14:textId="77777777">
            <w:tc>
              <w:tcPr>
                <w:tcW w:w="1838" w:type="dxa"/>
                <w:vMerge w:val="restart"/>
                <w:vAlign w:val="center"/>
              </w:tcPr>
              <w:p w14:paraId="6A9CBB0F" w14:textId="46396EA1">
                <w:pPr>
                  <w:suppressAutoHyphens/>
                  <w:jc w:val="center"/>
                  <w:rPr>
                    <w:b/>
                    <w:bCs/>
                    <w:lang w:eastAsia="lt-LT"/>
                  </w:rPr>
                </w:pPr>
                <w:r>
                  <w:rPr>
                    <w:lang w:eastAsia="lt-LT"/>
                  </w:rPr>
                  <w:t>Aplinkos oro kokybė</w:t>
                </w:r>
              </w:p>
            </w:tc>
            <w:tc>
              <w:tcPr>
                <w:tcW w:w="3402" w:type="dxa"/>
              </w:tcPr>
              <w:p w14:paraId="19C119D3" w14:textId="7807866D">
                <w:pPr>
                  <w:suppressAutoHyphens/>
                  <w:rPr>
                    <w:b/>
                    <w:bCs/>
                    <w:lang w:eastAsia="lt-LT"/>
                  </w:rPr>
                </w:pPr>
                <w:r>
                  <w:rPr>
                    <w:lang w:eastAsia="lt-LT"/>
                  </w:rPr>
                  <w:t>Kietosios dalelės (KD</w:t>
                </w:r>
                <w:r>
                  <w:rPr>
                    <w:vertAlign w:val="subscript"/>
                    <w:lang w:eastAsia="lt-LT"/>
                  </w:rPr>
                  <w:t>2,5</w:t>
                </w:r>
                <w:r>
                  <w:rPr>
                    <w:lang w:eastAsia="lt-LT"/>
                  </w:rPr>
                  <w:t>)</w:t>
                </w:r>
              </w:p>
            </w:tc>
            <w:tc>
              <w:tcPr>
                <w:tcW w:w="2268" w:type="dxa"/>
                <w:vMerge w:val="restart"/>
                <w:vAlign w:val="center"/>
              </w:tcPr>
              <w:p w14:paraId="2008724B" w14:textId="6FFCF38E">
                <w:pPr>
                  <w:suppressAutoHyphens/>
                  <w:jc w:val="center"/>
                  <w:rPr>
                    <w:color w:val="FF0000"/>
                    <w:lang w:eastAsia="lt-LT"/>
                  </w:rPr>
                </w:pPr>
                <w:r>
                  <w:rPr>
                    <w:lang w:eastAsia="lt-LT"/>
                  </w:rPr>
                  <w:t>tūkst. t per metus</w:t>
                </w:r>
              </w:p>
            </w:tc>
            <w:tc>
              <w:tcPr>
                <w:tcW w:w="1977" w:type="dxa"/>
              </w:tcPr>
              <w:p w14:paraId="7F157B63" w14:textId="52BE9D03">
                <w:pPr>
                  <w:suppressAutoHyphens/>
                  <w:rPr>
                    <w:b/>
                    <w:bCs/>
                    <w:lang w:eastAsia="lt-LT"/>
                  </w:rPr>
                </w:pPr>
                <w:r>
                  <w:rPr>
                    <w:lang w:eastAsia="lt-LT"/>
                  </w:rPr>
                  <w:t>0,1</w:t>
                </w:r>
              </w:p>
            </w:tc>
          </w:tr>
          <w:tr w14:paraId="1AE7E07D" w14:textId="77777777">
            <w:tc>
              <w:tcPr>
                <w:tcW w:w="1838" w:type="dxa"/>
                <w:vMerge/>
              </w:tcPr>
              <w:p w14:paraId="7E86B59A" w14:textId="77777777">
                <w:pPr>
                  <w:suppressAutoHyphens/>
                  <w:rPr>
                    <w:b/>
                    <w:bCs/>
                    <w:lang w:eastAsia="lt-LT"/>
                  </w:rPr>
                </w:pPr>
              </w:p>
            </w:tc>
            <w:tc>
              <w:tcPr>
                <w:tcW w:w="3402" w:type="dxa"/>
              </w:tcPr>
              <w:p w14:paraId="10F1E170" w14:textId="53BCEF1E">
                <w:pPr>
                  <w:suppressAutoHyphens/>
                  <w:rPr>
                    <w:b/>
                    <w:bCs/>
                    <w:lang w:eastAsia="lt-LT"/>
                  </w:rPr>
                </w:pPr>
                <w:r>
                  <w:rPr>
                    <w:lang w:eastAsia="lt-LT"/>
                  </w:rPr>
                  <w:t>Azoto oksidai (NO</w:t>
                </w:r>
                <w:r>
                  <w:rPr>
                    <w:vertAlign w:val="subscript"/>
                    <w:lang w:eastAsia="lt-LT"/>
                  </w:rPr>
                  <w:t>x</w:t>
                </w:r>
                <w:r>
                  <w:rPr>
                    <w:lang w:eastAsia="lt-LT"/>
                  </w:rPr>
                  <w:t>)</w:t>
                </w:r>
              </w:p>
            </w:tc>
            <w:tc>
              <w:tcPr>
                <w:tcW w:w="2268" w:type="dxa"/>
                <w:vMerge/>
                <w:vAlign w:val="center"/>
              </w:tcPr>
              <w:p w14:paraId="2A624F58" w14:textId="77777777">
                <w:pPr>
                  <w:suppressAutoHyphens/>
                  <w:jc w:val="center"/>
                  <w:rPr>
                    <w:b/>
                    <w:bCs/>
                    <w:lang w:eastAsia="lt-LT"/>
                  </w:rPr>
                </w:pPr>
              </w:p>
            </w:tc>
            <w:tc>
              <w:tcPr>
                <w:tcW w:w="1977" w:type="dxa"/>
              </w:tcPr>
              <w:p w14:paraId="188AABA7" w14:textId="759A5840">
                <w:pPr>
                  <w:suppressAutoHyphens/>
                  <w:rPr>
                    <w:b/>
                    <w:bCs/>
                    <w:lang w:eastAsia="lt-LT"/>
                  </w:rPr>
                </w:pPr>
                <w:r>
                  <w:rPr>
                    <w:lang w:eastAsia="lt-LT"/>
                  </w:rPr>
                  <w:t>0,01</w:t>
                </w:r>
              </w:p>
            </w:tc>
          </w:tr>
          <w:tr w14:paraId="72C754C5" w14:textId="77777777">
            <w:tc>
              <w:tcPr>
                <w:tcW w:w="1838" w:type="dxa"/>
                <w:vMerge/>
              </w:tcPr>
              <w:p w14:paraId="5702D234" w14:textId="77777777">
                <w:pPr>
                  <w:suppressAutoHyphens/>
                  <w:rPr>
                    <w:b/>
                    <w:bCs/>
                    <w:lang w:eastAsia="lt-LT"/>
                  </w:rPr>
                </w:pPr>
              </w:p>
            </w:tc>
            <w:tc>
              <w:tcPr>
                <w:tcW w:w="3402" w:type="dxa"/>
              </w:tcPr>
              <w:p w14:paraId="2246F76C" w14:textId="122E44EB">
                <w:pPr>
                  <w:suppressAutoHyphens/>
                  <w:rPr>
                    <w:b/>
                    <w:bCs/>
                    <w:lang w:eastAsia="lt-LT"/>
                  </w:rPr>
                </w:pPr>
                <w:r>
                  <w:rPr>
                    <w:lang w:eastAsia="lt-LT"/>
                  </w:rPr>
                  <w:t>Nemetaniniai lakieji organiniai junginiai (NMLOJ)</w:t>
                </w:r>
              </w:p>
            </w:tc>
            <w:tc>
              <w:tcPr>
                <w:tcW w:w="2268" w:type="dxa"/>
                <w:vMerge/>
                <w:vAlign w:val="center"/>
              </w:tcPr>
              <w:p w14:paraId="178EBE9B" w14:textId="77777777">
                <w:pPr>
                  <w:suppressAutoHyphens/>
                  <w:jc w:val="center"/>
                  <w:rPr>
                    <w:b/>
                    <w:bCs/>
                    <w:lang w:eastAsia="lt-LT"/>
                  </w:rPr>
                </w:pPr>
              </w:p>
            </w:tc>
            <w:tc>
              <w:tcPr>
                <w:tcW w:w="1977" w:type="dxa"/>
              </w:tcPr>
              <w:p w14:paraId="5A330804" w14:textId="3D387920">
                <w:pPr>
                  <w:suppressAutoHyphens/>
                  <w:rPr>
                    <w:b/>
                    <w:bCs/>
                    <w:lang w:eastAsia="lt-LT"/>
                  </w:rPr>
                </w:pPr>
                <w:r>
                  <w:rPr>
                    <w:lang w:eastAsia="lt-LT"/>
                  </w:rPr>
                  <w:t>0,01</w:t>
                </w:r>
              </w:p>
            </w:tc>
          </w:tr>
          <w:tr w14:paraId="5EB4450E" w14:textId="77777777">
            <w:tc>
              <w:tcPr>
                <w:tcW w:w="1838" w:type="dxa"/>
                <w:vMerge/>
              </w:tcPr>
              <w:p w14:paraId="642506A0" w14:textId="77777777">
                <w:pPr>
                  <w:suppressAutoHyphens/>
                  <w:rPr>
                    <w:b/>
                    <w:bCs/>
                    <w:lang w:eastAsia="lt-LT"/>
                  </w:rPr>
                </w:pPr>
              </w:p>
            </w:tc>
            <w:tc>
              <w:tcPr>
                <w:tcW w:w="3402" w:type="dxa"/>
              </w:tcPr>
              <w:p w14:paraId="7B7C1691" w14:textId="141697E2">
                <w:pPr>
                  <w:suppressAutoHyphens/>
                  <w:rPr>
                    <w:b/>
                    <w:bCs/>
                    <w:lang w:eastAsia="lt-LT"/>
                  </w:rPr>
                </w:pPr>
                <w:r>
                  <w:rPr>
                    <w:lang w:eastAsia="lt-LT"/>
                  </w:rPr>
                  <w:t>Amoniakas (NH</w:t>
                </w:r>
                <w:r>
                  <w:rPr>
                    <w:vertAlign w:val="subscript"/>
                    <w:lang w:eastAsia="lt-LT"/>
                  </w:rPr>
                  <w:t>3</w:t>
                </w:r>
                <w:r>
                  <w:rPr>
                    <w:lang w:eastAsia="lt-LT"/>
                  </w:rPr>
                  <w:t>)</w:t>
                </w:r>
              </w:p>
            </w:tc>
            <w:tc>
              <w:tcPr>
                <w:tcW w:w="2268" w:type="dxa"/>
                <w:vMerge/>
                <w:vAlign w:val="center"/>
              </w:tcPr>
              <w:p w14:paraId="627AAED6" w14:textId="77777777">
                <w:pPr>
                  <w:suppressAutoHyphens/>
                  <w:jc w:val="center"/>
                  <w:rPr>
                    <w:b/>
                    <w:bCs/>
                    <w:lang w:eastAsia="lt-LT"/>
                  </w:rPr>
                </w:pPr>
              </w:p>
            </w:tc>
            <w:tc>
              <w:tcPr>
                <w:tcW w:w="1977" w:type="dxa"/>
              </w:tcPr>
              <w:p w14:paraId="179232D1" w14:textId="3A8B8D6D">
                <w:pPr>
                  <w:suppressAutoHyphens/>
                  <w:rPr>
                    <w:b/>
                    <w:bCs/>
                    <w:lang w:eastAsia="lt-LT"/>
                  </w:rPr>
                </w:pPr>
                <w:r>
                  <w:rPr>
                    <w:lang w:eastAsia="lt-LT"/>
                  </w:rPr>
                  <w:t>0,01</w:t>
                </w:r>
              </w:p>
            </w:tc>
          </w:tr>
          <w:tr w14:paraId="75CA51A6" w14:textId="77777777">
            <w:tc>
              <w:tcPr>
                <w:tcW w:w="1838" w:type="dxa"/>
                <w:vMerge/>
              </w:tcPr>
              <w:p w14:paraId="06C4E62B" w14:textId="77777777">
                <w:pPr>
                  <w:suppressAutoHyphens/>
                  <w:rPr>
                    <w:b/>
                    <w:bCs/>
                    <w:lang w:eastAsia="lt-LT"/>
                  </w:rPr>
                </w:pPr>
              </w:p>
            </w:tc>
            <w:tc>
              <w:tcPr>
                <w:tcW w:w="3402" w:type="dxa"/>
              </w:tcPr>
              <w:p w14:paraId="4ABEACA7" w14:textId="41CD6888">
                <w:pPr>
                  <w:suppressAutoHyphens/>
                  <w:rPr>
                    <w:b/>
                    <w:bCs/>
                    <w:lang w:eastAsia="lt-LT"/>
                  </w:rPr>
                </w:pPr>
                <w:r>
                  <w:rPr>
                    <w:lang w:eastAsia="lt-LT"/>
                  </w:rPr>
                  <w:t>Sieros dioksidas (SO</w:t>
                </w:r>
                <w:r>
                  <w:rPr>
                    <w:vertAlign w:val="subscript"/>
                    <w:lang w:eastAsia="lt-LT"/>
                  </w:rPr>
                  <w:t>2</w:t>
                </w:r>
                <w:r>
                  <w:rPr>
                    <w:lang w:eastAsia="lt-LT"/>
                  </w:rPr>
                  <w:t>)</w:t>
                </w:r>
              </w:p>
            </w:tc>
            <w:tc>
              <w:tcPr>
                <w:tcW w:w="2268" w:type="dxa"/>
                <w:vMerge/>
                <w:vAlign w:val="center"/>
              </w:tcPr>
              <w:p w14:paraId="0FF262E1" w14:textId="77777777">
                <w:pPr>
                  <w:suppressAutoHyphens/>
                  <w:jc w:val="center"/>
                  <w:rPr>
                    <w:b/>
                    <w:bCs/>
                    <w:lang w:eastAsia="lt-LT"/>
                  </w:rPr>
                </w:pPr>
              </w:p>
            </w:tc>
            <w:tc>
              <w:tcPr>
                <w:tcW w:w="1977" w:type="dxa"/>
              </w:tcPr>
              <w:p w14:paraId="60C80DE7" w14:textId="16BD6F68">
                <w:pPr>
                  <w:suppressAutoHyphens/>
                  <w:rPr>
                    <w:b/>
                    <w:bCs/>
                    <w:lang w:eastAsia="lt-LT"/>
                  </w:rPr>
                </w:pPr>
                <w:r>
                  <w:rPr>
                    <w:lang w:eastAsia="lt-LT"/>
                  </w:rPr>
                  <w:t>0,1</w:t>
                </w:r>
              </w:p>
            </w:tc>
          </w:tr>
        </w:tbl>
        <w:sdt>
          <w:sdtPr>
            <w:alias w:val="pabaiga"/>
            <w:tag w:val="part_b677f82436554555907bdd2c89ff93d1"/>
            <w:lock w:val="sdtLocked"/>
            <w:richText/>
          </w:sdtPr>
          <w:sdtContent>
            <w:p w14:paraId="69EED118" w14:textId="4880E8CB">
              <w:pPr>
                <w:suppressAutoHyphens/>
                <w:jc w:val="center"/>
                <w:rPr>
                  <w:lang w:eastAsia="lt-LT"/>
                </w:rPr>
              </w:pPr>
              <w:r>
                <w:rPr>
                  <w:color w:val="000000"/>
                  <w:lang w:eastAsia="lt-LT"/>
                </w:rPr>
                <w:t>_________________</w:t>
              </w:r>
            </w:p>
            <w:p w14:paraId="34C13097" w14:textId="77777777">
              <w:pPr>
                <w:suppressAutoHyphens/>
                <w:jc w:val="center"/>
                <w:rPr>
                  <w:b/>
                  <w:bCs/>
                  <w:lang w:eastAsia="lt-LT"/>
                </w:rPr>
              </w:pPr>
            </w:p>
          </w:sdtContent>
        </w:sdt>
      </w:sdtContent>
    </w:sdt>
    <w:sectPr>
      <w:footnotePr>
        <w:pos w:val="beneathText"/>
      </w:footnotePr>
      <w:pgSz w:w="11905" w:h="16837" w:code="9"/>
      <w:pgMar w:top="1134" w:right="709"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171A28" w14:textId="77777777">
      <w:pPr>
        <w:suppressAutoHyphens/>
        <w:rPr>
          <w:lang w:eastAsia="lt-LT"/>
        </w:rPr>
      </w:pPr>
      <w:r>
        <w:rPr>
          <w:lang w:eastAsia="lt-LT"/>
        </w:rPr>
        <w:separator/>
      </w:r>
    </w:p>
  </w:endnote>
  <w:endnote w:type="continuationSeparator" w:id="0">
    <w:p w14:paraId="6F1B8DD6" w14:textId="77777777">
      <w:pPr>
        <w:suppressAutoHyphens/>
        <w:rPr>
          <w:lang w:eastAsia="lt-LT"/>
        </w:rPr>
      </w:pPr>
      <w:r>
        <w:rPr>
          <w:lang w:eastAsia="lt-LT"/>
        </w:rPr>
        <w:continuationSeparator/>
      </w:r>
    </w:p>
  </w:endnote>
  <w:endnote w:type="continuationNotice" w:id="1">
    <w:p w14:paraId="71247F6B"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BB3B08" w14:textId="77777777">
    <w:pPr>
      <w:tabs>
        <w:tab w:val="center" w:pos="4986"/>
        <w:tab w:val="right" w:pos="9972"/>
      </w:tabs>
      <w:suppressAutoHyphen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E78ABD" w14:textId="77777777">
    <w:pPr>
      <w:tabs>
        <w:tab w:val="center" w:pos="4986"/>
        <w:tab w:val="right" w:pos="9972"/>
      </w:tabs>
      <w:suppressAutoHyphen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F289B4" w14:textId="77777777">
    <w:pPr>
      <w:tabs>
        <w:tab w:val="center" w:pos="4986"/>
        <w:tab w:val="right" w:pos="9972"/>
      </w:tabs>
      <w:suppressAutoHyphen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FACFAF" w14:textId="77777777">
      <w:pPr>
        <w:suppressAutoHyphens/>
        <w:rPr>
          <w:lang w:eastAsia="lt-LT"/>
        </w:rPr>
      </w:pPr>
      <w:r>
        <w:rPr>
          <w:lang w:eastAsia="lt-LT"/>
        </w:rPr>
        <w:separator/>
      </w:r>
    </w:p>
  </w:footnote>
  <w:footnote w:type="continuationSeparator" w:id="0">
    <w:p w14:paraId="3C7B5B32" w14:textId="77777777">
      <w:pPr>
        <w:suppressAutoHyphens/>
        <w:rPr>
          <w:lang w:eastAsia="lt-LT"/>
        </w:rPr>
      </w:pPr>
      <w:r>
        <w:rPr>
          <w:lang w:eastAsia="lt-LT"/>
        </w:rPr>
        <w:continuationSeparator/>
      </w:r>
    </w:p>
  </w:footnote>
  <w:footnote w:type="continuationNotice" w:id="1">
    <w:p w14:paraId="6B9E569E"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977D15" w14:textId="77777777">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2447E9" w14:textId="56C512AE">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 xml:space="preserve"> PAGE   \* MERGEFORMAT </w:instrText>
    </w:r>
    <w:r>
      <w:rPr>
        <w:spacing w:val="10"/>
        <w:szCs w:val="24"/>
        <w:lang w:eastAsia="lt-LT"/>
      </w:rPr>
      <w:fldChar w:fldCharType="separate"/>
    </w:r>
    <w:r>
      <w:rPr>
        <w:spacing w:val="10"/>
        <w:szCs w:val="24"/>
        <w:lang w:eastAsia="lt-LT"/>
      </w:rPr>
      <w:t>3</w:t>
    </w:r>
    <w:r>
      <w:rPr>
        <w:spacing w:val="10"/>
        <w:szCs w:val="24"/>
        <w:lang w:eastAsia="lt-LT"/>
      </w:rPr>
      <w:fldChar w:fldCharType="end"/>
    </w:r>
  </w:p>
  <w:p w14:paraId="23D86DC4" w14:textId="2D0B4A0B">
    <w:pPr>
      <w:tabs>
        <w:tab w:val="center" w:pos="4153"/>
        <w:tab w:val="right" w:pos="9100"/>
      </w:tabs>
      <w:suppressAutoHyphens/>
      <w:jc w:val="center"/>
      <w:rPr>
        <w:spacing w:val="10"/>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E7B6C" w14:textId="77777777">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2A1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E31020"/>
  <w15:docId w15:val="{07421767-C7AF-40DD-A3D1-D0E6A9B5221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9306d290c411991db32d953c98b5d3c7">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f963a8c788760942623c62ae19e238af"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a8a1fd47f029424080ba1813beb76fb9" PartId="3a4a16d046424135b63da591e2657999">
    <Part Type="preambule" DocPartId="31293c625b684703a93173629b4507b6" PartId="079d97838c774ab5bee2aff9f6a01544"/>
    <Part Type="punktas" Nr="1" Abbr="1 p." DocPartId="1f5c7e95e78a44bbb53e532d66a6bdaa" PartId="42778aac498f4972a5241aa0fc375323"/>
    <Part Type="punktas" Nr="2" Abbr="2 p." DocPartId="ef9bcc2016e4457799cc47fcb9658686" PartId="4c0aa0b88a1e4b459c3891b2a91ca617">
      <Part Type="papunktis" Nr="2.1" Abbr="2.1 pp." DocPartId="aa5d5074d24f42249693026610369629" PartId="6b9db24e46904491b7063718b8aa5ba8">
        <Part Type="papunktis" Nr="2.1.1" Abbr="2.1.1 pp." DocPartId="d7d4395c8a8e4dcbbd689a6c13d919bf" PartId="2b42551b96a94207b347d31cf72ab4be"/>
        <Part Type="papunktis" Nr="2.1.2" Abbr="2.1.2 pp." DocPartId="a47112eb0d8e4565962c97f0554c04f2" PartId="80722d361d5c489a8f5de154c908e339"/>
      </Part>
      <Part Type="papunktis" Nr="2.2" Abbr="2.2 pp." DocPartId="691c2c55a1c441cfbabfa7b5a20b4ba0" PartId="60b663b929ca4de18901a089faad5da3">
        <Part Type="papunktis" Nr="2.2.1" Abbr="2.2.1 pp." DocPartId="4bb7ec99cdbd49de86cb91ecda4d02fc" PartId="3541d9c39e10461792423df32eaa7179"/>
        <Part Type="papunktis" Nr="2.2.2" Abbr="2.2.2 pp." DocPartId="942ca6fdac164ecd8ad35e5478decd23" PartId="32cee645f6204c6696eb4775f0cee61f"/>
        <Part Type="papunktis" Nr="2.2.3" Abbr="2.2.3 pp." DocPartId="341c7baa38ac4b7f8739f47c52c0909b" PartId="38f3f42519cc4859a0e301009fc5fd8e"/>
      </Part>
      <Part Type="papunktis" Nr="2.3" Abbr="2.3 pp." DocPartId="f71d6f5c6373427783c00ed11441c0d0" PartId="b849da6e4ef64e6b9f5989e0faa564ed"/>
      <Part Type="papunktis" Nr="2.4" Abbr="2.4 pp." DocPartId="002c099c3f884f8caa0410a152ff8a60" PartId="544970b6daa6409592e1b998f123c7c7"/>
    </Part>
    <Part Type="punktas" Nr="3" Abbr="3 p." DocPartId="5bf82295ea49414991cffdba232e3c5c" PartId="47d611940e314f7f889216f87282f9f1">
      <Part Type="papunktis" Nr="3.1" Abbr="3.1 pp." DocPartId="fe4c56ab05654f0bbfd9dcd4e5b91154" PartId="3f8df44debba4ffdb85538fb9838b04e">
        <Part Type="papunktis" Nr="3.1.1" Abbr="3.1.1 pp." DocPartId="1c3c78f581694a618f804eadb86e379c" PartId="f8472f35898b461a85c0a8a8ab4d0a0a"/>
        <Part Type="papunktis" Nr="3.1.2" Abbr="3.1.2 pp." DocPartId="ea2338e7fbb4453ea898d1cdc07934f7" PartId="19455860967c42d18c6dff0001fa862a"/>
        <Part Type="papunktis" Nr="3.1.3" Abbr="3.1.3 pp." DocPartId="f983a1fc9167489a9fe70bbd594375bf" PartId="7588a34775d640c78a7e19055e5afc43"/>
      </Part>
      <Part Type="papunktis" Nr="3.2" Abbr="3.2 pp." DocPartId="04cda41ed50a4da1aa4ffa5448c26093" PartId="571f591658874a489759af6cf245b492"/>
    </Part>
    <Part Type="punktas" Nr="4" Abbr="4 p." DocPartId="15a1350b3c3e45cda9b4788b658fab1d" PartId="b57d6549a47445e880f82da32c6af5ae"/>
    <Part Type="signatura" DocPartId="603fcd230dae47dfa1fa2a89ed6ae9bd" PartId="3ce91c7f44744b639edd5b59c53d1535"/>
  </Part>
  <Part Type="patvirtinta" Title="TEISĖKŪROS POVEIKIO APLINKAI IR KLIMATO KAITAI (EX ANTE) VERTINIMO TVARKOS APRAŠAS" DocPartId="f74aa993e9dd4ceabc0f44e764cbcc66" PartId="463e265a52f74eb9b0feb5255619f594">
    <Part Type="skyrius" Nr="1" Title="BENDROSIOS NUOSTATOS" DocPartId="2f7f1c56b67d4360a6a414ce98b2e3af" PartId="f72239018dae44bfbba1f651d6b56ffb">
      <Part Type="punktas" Nr="1" Abbr="1 p." DocPartId="aed6e2cc779743f88f648b13e25296cb" PartId="a73cf86f85ce41c89865751f240d13a6"/>
      <Part Type="punktas" Nr="2" Abbr="2 p." DocPartId="01ea6a5d50cb4b9ebe657332c23ca7ec" PartId="98bc808e2b3c4dbcbd4bd45f16db67b7"/>
      <Part Type="punktas" Nr="3" Abbr="3 p." DocPartId="9e9661ef7ef34ef6b9e8051546968648" PartId="e8cff940275c440eb4c30b1beb759089"/>
    </Part>
    <Part Type="skyrius" Nr="2" Title="POVEIKIO VERTINIMO SRITYS" DocPartId="bacd0c10e117491aa34b47c5a4c78e6e" PartId="c413a001f7694ccfb15b90a7ea99cdda">
      <Part Type="punktas" Nr="4" Abbr="4 p." DocPartId="4704782163b047e49aca30af6fa0ed32" PartId="a2a66e329598466aa1232a69c67f337d">
        <Part Type="papunktis" Nr="4.1" Abbr="4.1 pp." DocPartId="b09afd26af5c46f3b6f9954f0ba1702f" PartId="0dc4627dcfbf47cd9a38aa59a71cb224"/>
        <Part Type="papunktis" Nr="4.2" Abbr="4.2 pp." DocPartId="1b65d7c953524a76b6abdb2c29dbbad5" PartId="014cdcb6a6ce4362a2df8a4b738ee975"/>
        <Part Type="papunktis" Nr="4.3" Abbr="4.3 pp." DocPartId="39a49980cd224ddaa27cf26a2f56cc9f" PartId="aa933ba213a84183ace4633f30d3b241"/>
        <Part Type="papunktis" Nr="4.4" Abbr="4.4 pp." DocPartId="886d4ec3e6f24ee98796dc6586ce8ee0" PartId="2be7979b3e364bea8272715b9376ac4e"/>
        <Part Type="papunktis" Nr="4.5" Abbr="4.5 pp." DocPartId="be09d9eca16144b4aeaa80dd32dbe95a" PartId="3cf35eef08374223b9d6e0cc91cb74a3"/>
        <Part Type="papunktis" Nr="4.6" Abbr="4.6 pp." DocPartId="0fbad1e4a7b74eea847f7e00eb9cb8f6" PartId="6d60468653794fe0aea97253b7db63da"/>
        <Part Type="papunktis" Nr="4.7" Abbr="4.7 pp." DocPartId="e7b27dcc86ee47afab6859ea2068eb8d" PartId="27ba63e2e4bf43fbabab3d5bacf65788"/>
        <Part Type="papunktis" Nr="4.8" Abbr="4.8 pp." DocPartId="ed4a63eae0284d91adafc21dc5f08f6f" PartId="d7d9b40b148d478987ecf12293cc1145"/>
      </Part>
    </Part>
    <Part Type="skyrius" Nr="3" Title="TEISĖKŪROS POVEIKIO APLINKAI IR KLIMATO KAITAI KOKYBINIS (EX ANTE) VERTINIMAS" DocPartId="0c1833906213420eb2644d68dba64ded" PartId="21c107e681e94fdb84b3ac51103c7696">
      <Part Type="punktas" Nr="5" Abbr="5 p." DocPartId="58fd8503a1234a96998495903b9f133e" PartId="c2acda8850d44edd8221e9be6197a94b"/>
      <Part Type="punktas" Nr="6" Abbr="6 p." DocPartId="96de3c2a48244672b86153a6e92b9476" PartId="9dbe097d787c41e9bd18821a8ff38054"/>
      <Part Type="punktas" Nr="7" Abbr="7 p." DocPartId="5db4ac8917384b3f969dafdc415f247a" PartId="f9fe8d82a689454ebaa9c7b5c31c4e51"/>
      <Part Type="punktas" Nr="8" Abbr="8 p." DocPartId="8532a766186c4d94a120f75b6e50fdc1" PartId="4bb6faf5d2ce441fa264164a08222e60"/>
    </Part>
    <Part Type="skyrius" Nr="4" Title="TEISĖKŪROS POVEIKIO APLINKAI IR KLIMATO KAITAI KIEKYBINIS (EX ANTE) VERTINIMAS IR JO METODINĖS REKOMENDACIJOS" DocPartId="377e1172849141e6b82145b3b2322f6a" PartId="f916d03cee264112bc82bef4db8f09d1">
      <Part Type="punktas" Nr="9" Abbr="9 p." DocPartId="454df91c4723486ba44c75aceb9cff98" PartId="e574e2ca08cb49c382b6f1bf5cc8e802"/>
      <Part Type="punktas" Nr="10" Abbr="10 p." DocPartId="4a9b9bd0d8484fce9739f88314d0fda5" PartId="b5bc7701c6154eb691ec2c8d03ef0e7e">
        <Part Type="papunktis" Nr="10.1" Abbr="10.1 pp." DocPartId="e3f5a4dcf51a434d997e789f890763cb" PartId="8585a8cb99604528b1228435c652d031"/>
        <Part Type="papunktis" Nr="10.2" Abbr="10.2 pp." DocPartId="2059851a2574420c86abd8ae61d545aa" PartId="9ba53672b6dc44d6a9d8e027079b8605"/>
      </Part>
      <Part Type="punktas" Nr="11" Abbr="11 p." DocPartId="f891809acb454c8eb850fe092abd29a4" PartId="8cecf41d7de9437594d3de58514f86ff"/>
      <Part Type="punktas" Nr="12" Abbr="12 p." DocPartId="40cfa644f8b3453b83c5de83af082910" PartId="5c06094b79a54728a89bbf33d7222aed"/>
      <Part Type="punktas" Nr="13" Abbr="13 p." DocPartId="a5112cf92e9a4bd1bad0d9c10633e0e1" PartId="66ba63f1102d478ea0b2be4a2eea5cc9"/>
      <Part Type="punktas" Nr="14" Abbr="14 p." DocPartId="3122504f1f954ff9b13c03b4df8b7a31" PartId="da9d8543df274fe28b174e44ef3e0e64"/>
      <Part Type="punktas" Nr="15" Abbr="15 p." DocPartId="4d704e54b7564fb2ad4a0dccceee73f9" PartId="5a5047e457a644dc906299d29ea3f6c1"/>
    </Part>
    <Part Type="skyrius" Nr="5" Title="REIKŠMINGAS NEIGIAMAS POVEIKIS APLINKAI IR KLIMATO KAITAI" DocPartId="a7c5c061fe8a480e81b0678fa3ba7f57" PartId="5251e0f16f2a40449efec1db6cc19012">
      <Part Type="punktas" Nr="16" Abbr="16 p." DocPartId="02b2ffaf66c44177b5aed87c8283af5d" PartId="c49f1a821da942cf9f31b7bce8d3b282"/>
      <Part Type="punktas" Nr="17" Abbr="17 p." DocPartId="01db1ebe1a42409ab3b9367ab1124cd5" PartId="5e8b9e4d624847898fcffaf082de4355"/>
    </Part>
    <Part Type="skyrius" Nr="6" Title="BAIGIAMOSIOS NUOSTATOS" DocPartId="60ea643446b040c69a84a79c4a8baa3e" PartId="2c71ae775a454fc88153033c2a960429">
      <Part Type="punktas" Nr="18" Abbr="18 p." DocPartId="9c5728b664174408ba13bf0f46bf704f" PartId="b21c8f98bb194ca697cb157c56d52983"/>
      <Part Type="punktas" Nr="19" Abbr="19 p." DocPartId="289ba38ee6aa44228a77cf3c5f22d0fe" PartId="d0850fc9127a48dca488ed06ec8bc3c4"/>
    </Part>
    <Part Type="pabaiga" DocPartId="b1b87ab80d3d45be87b234f708bc205e" PartId="5c7ebd1f4ed4459cb572f337de8d5b18"/>
  </Part>
  <Part Type="priedas" Abbr="pr." Title="APLINKOS BŪKLĖS IR KLIMATO KAITOS RODIKLIAI IR JŲ RIBINĖS REIKŠMĖS" DocPartId="24dd12935a244b3cbed5dbfc2155a058" PartId="3f1d4d47b88049b49503169adab7a7a6">
    <Part Type="pabaiga" DocPartId="6d06bdc6135d470bbce893c86bd0d5c3" PartId="b677f82436554555907bdd2c89ff93d1"/>
  </Part>
</Parts>
</file>

<file path=customXml/itemProps1.xml><?xml version="1.0" encoding="utf-8"?>
<ds:datastoreItem xmlns:ds="http://schemas.openxmlformats.org/officeDocument/2006/customXml" ds:itemID="{AB6FEC51-C671-41EE-9091-32D0F2D27D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9015A55-CB8F-4B70-ACAD-4450A524D3EF}">
  <ds:schemaRefs>
    <ds:schemaRef ds:uri="http://schemas.microsoft.com/sharepoint/v3/contenttype/forms"/>
  </ds:schemaRefs>
</ds:datastoreItem>
</file>

<file path=customXml/itemProps3.xml><?xml version="1.0" encoding="utf-8"?>
<ds:datastoreItem xmlns:ds="http://schemas.openxmlformats.org/officeDocument/2006/customXml" ds:itemID="{5DBE65BB-2AA4-4B1D-847A-E909CF359150}">
  <ds:schemaRef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E7035613-3B25-4A95-A3BC-45F665F26CC7}">
  <ds:schemaRefs>
    <ds:schemaRef ds:uri="http://schemas.openxmlformats.org/officeDocument/2006/bibliography"/>
  </ds:schemaRefs>
</ds:datastoreItem>
</file>

<file path=customXml/itemProps5.xml><?xml version="1.0" encoding="utf-8"?>
<ds:datastoreItem xmlns:ds="http://schemas.openxmlformats.org/officeDocument/2006/customXml" ds:itemID="{D4CA159A-7411-436A-BD5F-EBD27CA5B25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1363</Words>
  <Characters>9858</Characters>
  <Application>Microsoft Office Word</Application>
  <DocSecurity>4</DocSecurity>
  <Lines>234</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2024-01-29T12:47:00Z</dcterms:created>
  <dc:creator>Greta Česnaitytė</dc:creator>
  <lastModifiedBy>adlibuser</lastModifiedBy>
  <dcterms:modified xsi:type="dcterms:W3CDTF">2024-01-29T12:47:00Z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