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1441d07ca6a4eb3b21c7c381fa3533c"/>
        <w:lock w:val="sdtLocked"/>
        <w:richText/>
      </w:sdtPr>
      <w:sdtContent>
        <w:p w14:paraId="6855CBCA" w14:textId="77777777">
          <w:pPr>
            <w:widowControl w:val="0"/>
            <w:tabs>
              <w:tab w:val="center" w:pos="4153"/>
              <w:tab w:val="right" w:pos="8306"/>
            </w:tabs>
            <w:suppressAutoHyphens/>
            <w:rPr>
              <w:rFonts w:eastAsia="Lucida Sans Unicode" w:cs="Tahoma"/>
              <w:sz w:val="20"/>
              <w:lang w:eastAsia="hi-IN" w:bidi="hi-IN"/>
            </w:rPr>
          </w:pPr>
        </w:p>
        <w:p w14:paraId="528EF8B3" w14:textId="77777777">
          <w:pPr>
            <w:widowControl w:val="0"/>
            <w:suppressAutoHyphens/>
            <w:jc w:val="right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Projektas</w:t>
          </w:r>
        </w:p>
        <w:p w14:paraId="528EF8B4" w14:textId="77777777">
          <w:pPr>
            <w:keepNext/>
            <w:widowControl w:val="0"/>
            <w:suppressAutoHyphens/>
            <w:jc w:val="center"/>
            <w:outlineLvl w:val="1"/>
            <w:rPr>
              <w:rFonts w:eastAsia="Lucida Sans Unicode" w:cs="Tahoma"/>
              <w:b/>
              <w:szCs w:val="24"/>
              <w:lang w:eastAsia="hi-IN" w:bidi="hi-IN"/>
            </w:rPr>
          </w:pPr>
        </w:p>
        <w:p w14:paraId="528EF8B5" w14:textId="77777777">
          <w:pPr>
            <w:keepNext/>
            <w:widowControl w:val="0"/>
            <w:suppressAutoHyphens/>
            <w:ind w:left="576" w:hanging="576"/>
            <w:jc w:val="center"/>
            <w:outlineLvl w:val="1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ŠIAULIŲ MIESTO SAVIVALDYBĖS TARYBA</w:t>
          </w:r>
        </w:p>
        <w:p w14:paraId="528EF8B6" w14:textId="77777777"/>
        <w:p w14:paraId="528EF8B7" w14:textId="77777777">
          <w:pPr>
            <w:widowControl w:val="0"/>
            <w:suppressAutoHyphens/>
            <w:jc w:val="center"/>
            <w:rPr>
              <w:rFonts w:eastAsia="Lucida Sans Unicode" w:cs="Tahoma"/>
              <w:b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szCs w:val="24"/>
              <w:lang w:eastAsia="hi-IN" w:bidi="hi-IN"/>
            </w:rPr>
            <w:t>SPRENDIMAS</w:t>
          </w:r>
        </w:p>
        <w:p w14:paraId="528EF8B8" w14:textId="61A110D6">
          <w:pPr>
            <w:widowControl w:val="0"/>
            <w:tabs>
              <w:tab w:val="left" w:pos="6792"/>
            </w:tabs>
            <w:suppressAutoHyphens/>
            <w:ind w:left="709"/>
            <w:jc w:val="center"/>
            <w:rPr>
              <w:rFonts w:eastAsia="Lucida Sans Unicode" w:cs="Tahoma"/>
              <w:b/>
              <w:iCs/>
              <w:szCs w:val="24"/>
              <w:lang w:eastAsia="hi-IN" w:bidi="hi-IN"/>
            </w:rPr>
          </w:pPr>
          <w:r>
            <w:rPr>
              <w:rFonts w:eastAsia="Lucida Sans Unicode" w:cs="Tahoma"/>
              <w:b/>
              <w:iCs/>
              <w:szCs w:val="24"/>
              <w:lang w:eastAsia="hi-IN" w:bidi="hi-IN"/>
            </w:rPr>
            <w:t>DĖL ŠIAULIŲ</w:t>
          </w:r>
          <w:r>
            <w:rPr>
              <w:b/>
              <w:bCs/>
              <w:szCs w:val="24"/>
              <w:lang w:eastAsia="ar-SA"/>
            </w:rPr>
            <w:t xml:space="preserve"> TENISO AKADEMIJOS </w:t>
          </w:r>
          <w:r>
            <w:rPr>
              <w:rFonts w:eastAsia="Lucida Sans Unicode" w:cs="Tahoma"/>
              <w:b/>
              <w:iCs/>
              <w:szCs w:val="24"/>
              <w:lang w:eastAsia="hi-IN" w:bidi="hi-IN"/>
            </w:rPr>
            <w:t>NUOSTATŲ PATVIRTINIMO</w:t>
          </w:r>
        </w:p>
        <w:p w14:paraId="528EF8B9" w14:textId="77777777">
          <w:pPr>
            <w:widowControl w:val="0"/>
            <w:tabs>
              <w:tab w:val="left" w:pos="6792"/>
            </w:tabs>
            <w:suppressAutoHyphens/>
            <w:ind w:left="709" w:firstLine="124"/>
            <w:jc w:val="center"/>
            <w:rPr>
              <w:rFonts w:eastAsia="Lucida Sans Unicode" w:cs="Tahoma"/>
              <w:b/>
              <w:iCs/>
              <w:szCs w:val="24"/>
              <w:lang w:eastAsia="hi-IN" w:bidi="hi-IN"/>
            </w:rPr>
          </w:pPr>
        </w:p>
        <w:p w14:paraId="528EF8BA" w14:textId="40B59BA4">
          <w:pPr>
            <w:widowControl w:val="0"/>
            <w:suppressAutoHyphens/>
            <w:jc w:val="center"/>
            <w:rPr>
              <w:rFonts w:eastAsia="Lucida Sans Unicode" w:cs="Tahoma"/>
              <w:szCs w:val="24"/>
              <w:lang w:eastAsia="hi-IN" w:bidi="hi-IN"/>
            </w:rPr>
          </w:pPr>
          <w:r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  <w:t xml:space="preserve">2024 m.                  d. Nr. T-</w:t>
          </w:r>
        </w:p>
        <w:p w14:paraId="528EF8BB" w14:textId="77777777">
          <w:pPr>
            <w:widowControl w:val="0"/>
            <w:suppressAutoHyphens/>
            <w:jc w:val="center"/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</w:pPr>
          <w:r>
            <w:rPr>
              <w:rFonts w:eastAsia="Lucida Sans Unicode" w:cs="Tahoma"/>
              <w:szCs w:val="24"/>
              <w:shd w:val="clear" w:color="auto" w:fill="FFFFFF"/>
              <w:lang w:eastAsia="hi-IN" w:bidi="hi-IN"/>
            </w:rPr>
            <w:t>Šiauliai</w:t>
          </w:r>
        </w:p>
        <w:sdt>
          <w:sdtPr>
            <w:alias w:val="preambule"/>
            <w:tag w:val="part_961d7783a110477799ea17970627841e"/>
            <w:lock w:val="sdtLocked"/>
            <w:richText/>
          </w:sdtPr>
          <w:sdtContent>
            <w:p w14:paraId="70D09E49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15 straipsnio 2 dalies 9 punktu, Lietuvos Respublikos biudžetinių įstaigų įstatymo 5 straipsnio 3 dalies 1 punktu, 4 dalimi, 7 straipsniu,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9219fa80eabc4b73af450ea3be31493a"/>
            <w:lock w:val="sdtLocked"/>
            <w:richText/>
          </w:sdtPr>
          <w:sdtContent>
            <w:p w14:paraId="528EF8BF" w14:textId="729AA8E6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9219fa80eabc4b73af450ea3be31493a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 Patvirtinti biudžetinės įstaigos Šiaulių teniso akademijos nuostatus (toliau – Nuostatai) (pridedama).</w:t>
              </w:r>
            </w:p>
          </w:sdtContent>
        </w:sdt>
        <w:sdt>
          <w:sdtPr>
            <w:alias w:val="2 p."/>
            <w:tag w:val="part_73434f6d91fd43c68c693db98081b15e"/>
            <w:lock w:val="sdtLocked"/>
            <w:richText/>
          </w:sdtPr>
          <w:sdtContent>
            <w:p w14:paraId="6A0578B7" w14:textId="24D4D1E1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73434f6d91fd43c68c693db98081b15e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 xml:space="preserve">. Įgalioti biudžetinės įstaigos Šiaulių teniso akademijos direktorių pasirašyti šio sprendimo </w:t>
              </w:r>
              <w:r>
                <w:rPr>
                  <w:bCs/>
                  <w:szCs w:val="24"/>
                  <w:highlight w:val="yellow"/>
                  <w:lang w:eastAsia="ar-SA"/>
                </w:rPr>
                <w:t>1 p</w:t>
              </w:r>
              <w:r>
                <w:rPr>
                  <w:bCs/>
                  <w:szCs w:val="24"/>
                  <w:lang w:eastAsia="ar-SA"/>
                </w:rPr>
                <w:t xml:space="preserve">unktu patvirtintus Nuostatus ir teisės aktų nustatyta tvarka ir terminais juos įregistruoti Juridinių asmenų registre. </w:t>
              </w:r>
            </w:p>
          </w:sdtContent>
        </w:sdt>
        <w:sdt>
          <w:sdtPr>
            <w:alias w:val="3 p."/>
            <w:tag w:val="part_61cab634df694599acd109c528427012"/>
            <w:lock w:val="sdtLocked"/>
            <w:richText/>
          </w:sdtPr>
          <w:sdtContent>
            <w:p w14:paraId="528EF8C7" w14:textId="75D60AF9">
              <w:pPr>
                <w:ind w:firstLine="709"/>
                <w:jc w:val="both"/>
                <w:rPr>
                  <w:rFonts w:ascii="LiberationSerif-Bold" w:hAnsi="LiberationSerif-Bold" w:cs="LiberationSerif-Bold"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1cab634df694599acd109c52842701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Pripažinti netekusiu galios Šiaulių miesto savivaldybės tarybos 2020 m. lapkričio 5 d. sprendimo Nr. T-432 </w:t>
              </w:r>
              <w:r>
                <w:rPr>
                  <w:rFonts w:ascii="LiberationSerif-Bold" w:hAnsi="LiberationSerif-Bold" w:cs="LiberationSerif-Bold"/>
                  <w:bCs/>
                  <w:szCs w:val="24"/>
                  <w:lang w:eastAsia="lt-LT"/>
                </w:rPr>
                <w:t>„</w:t>
              </w:r>
              <w:r>
                <w:rPr>
                  <w:bCs/>
                  <w:szCs w:val="24"/>
                  <w:lang w:eastAsia="lt-LT"/>
                </w:rPr>
                <w:t>Dėl Šiaulių sporto centrų „Atžalynas“, „Dubysa“, Šiaulių plaukimo centro „Delfinas“, Šiaulių regbio ir žolės riedulio akademijos, Šiaulių lengvosios atletikos ir sveikatingumo centro ir Šiaulių teniso akademijos nuostatų patvirtinimo</w:t>
              </w:r>
              <w:r>
                <w:rPr>
                  <w:rFonts w:ascii="LiberationSerif-Bold" w:hAnsi="LiberationSerif-Bold" w:cs="LiberationSerif-Bold"/>
                  <w:bCs/>
                  <w:szCs w:val="24"/>
                  <w:lang w:eastAsia="lt-LT"/>
                </w:rPr>
                <w:t>“</w:t>
              </w:r>
              <w:r>
                <w:rPr>
                  <w:szCs w:val="24"/>
                  <w:lang w:eastAsia="ar-SA"/>
                </w:rPr>
                <w:t xml:space="preserve"> 1.6 papunktį.</w:t>
              </w:r>
            </w:p>
          </w:sdtContent>
        </w:sdt>
        <w:sdt>
          <w:sdtPr>
            <w:alias w:val="4 p."/>
            <w:tag w:val="part_a3ac20a7e09e42498d428324647b645b"/>
            <w:lock w:val="sdtLocked"/>
            <w:richText/>
          </w:sdtPr>
          <w:sdtContent>
            <w:p w14:paraId="528EF8C8" w14:textId="670517E5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a3ac20a7e09e42498d428324647b645b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 Nustatyti, kad</w:t>
              </w:r>
              <w:r>
                <w:rPr>
                  <w:b/>
                  <w:caps/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šio sprendimo 3 punktas įsigalioja nuo šio sprendimo 1 punktu patvirtintų Nuostatų įregistravimo Juridinių asmenų registre dienos.</w:t>
              </w:r>
            </w:p>
            <w:p w14:paraId="06EC9EDB" w14:textId="769CFA9D">
              <w:pPr>
                <w:widowControl w:val="0"/>
                <w:suppressAutoHyphens/>
                <w:ind w:firstLine="851"/>
                <w:jc w:val="both"/>
                <w:rPr>
                  <w:rFonts w:eastAsia="HG Mincho Light J" w:cs="Tahoma"/>
                  <w:color w:val="000000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szCs w:val="24"/>
                  <w:lang w:eastAsia="hi-IN" w:bidi="hi-IN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E96EC75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 w:cs="Tahoma"/>
                  <w:color w:val="000000"/>
                  <w:szCs w:val="24"/>
                  <w:lang w:eastAsia="hi-IN" w:bidi="hi-IN"/>
                </w:rPr>
              </w:pPr>
            </w:p>
            <w:p w14:paraId="05754E2B" w14:textId="77777777">
              <w:pPr>
                <w:suppressAutoHyphens/>
                <w:ind w:firstLine="709"/>
                <w:jc w:val="both"/>
                <w:rPr>
                  <w:bCs/>
                  <w:szCs w:val="24"/>
                  <w:lang w:eastAsia="ar-SA"/>
                </w:rPr>
              </w:pPr>
            </w:p>
            <w:p w14:paraId="528EF8C9" w14:textId="77777777">
              <w:pPr>
                <w:widowControl w:val="0"/>
                <w:suppressAutoHyphens/>
                <w:jc w:val="center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  <w:p w14:paraId="528EF8CF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  <w:p w14:paraId="528EF8D0" w14:textId="77777777">
              <w:pPr>
                <w:widowControl w:val="0"/>
                <w:suppressAutoHyphens/>
                <w:jc w:val="both"/>
                <w:rPr>
                  <w:rFonts w:eastAsia="Lucida Sans Unicode" w:cs="Tahoma"/>
                  <w:szCs w:val="24"/>
                  <w:shd w:val="clear" w:color="auto" w:fill="FFFFFF"/>
                  <w:lang w:eastAsia="hi-IN" w:bidi="hi-IN"/>
                </w:rPr>
              </w:pPr>
            </w:p>
          </w:sdtContent>
        </w:sdt>
        <w:sdt>
          <w:sdtPr>
            <w:alias w:val="signatura"/>
            <w:tag w:val="part_e0bb745f6c214c01b724d57f34eec12a"/>
            <w:lock w:val="sdtLocked"/>
            <w:richText/>
          </w:sdtPr>
          <w:sdtContent>
            <w:p w14:paraId="528EF8D1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  <w:r>
                <w:rPr>
                  <w:rFonts w:eastAsia="Lucida Sans Unicode" w:cs="Tahoma"/>
                  <w:szCs w:val="24"/>
                  <w:lang w:eastAsia="hi-IN" w:bidi="hi-IN"/>
                </w:rPr>
                <w:t>Savivaldybės meras</w:t>
              </w:r>
            </w:p>
            <w:p w14:paraId="528EF8D2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</w:p>
            <w:p w14:paraId="528EF8D3" w14:textId="77777777">
              <w:pPr>
                <w:widowControl w:val="0"/>
                <w:suppressAutoHyphens/>
                <w:ind w:firstLine="30"/>
                <w:jc w:val="both"/>
                <w:rPr>
                  <w:rFonts w:eastAsia="Lucida Sans Unicode" w:cs="Tahoma"/>
                  <w:szCs w:val="24"/>
                  <w:lang w:eastAsia="hi-IN" w:bidi="hi-IN"/>
                </w:rPr>
              </w:pPr>
            </w:p>
            <w:p w14:paraId="528EF8D4" w14:textId="77777777">
              <w:pPr>
                <w:suppressAutoHyphens/>
                <w:jc w:val="center"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0" w:footer="0" w:gutter="0"/>
      <w:cols w:space="1296"/>
      <w:formProt w:val="0"/>
      <w:titlePg/>
      <w:docGrid w:linePitch="360" w:charSpace="-6145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A3AF77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separator/>
      </w:r>
    </w:p>
  </w:endnote>
  <w:endnote w:type="continuationSeparator" w:id="0">
    <w:p w14:paraId="660393F0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iberationSerif-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G Mincho Light J">
    <w:altName w:val="Calibri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B8482C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22E218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D8DA02" w14:textId="77777777">
    <w:pPr>
      <w:widowControl w:val="0"/>
      <w:suppressLineNumbers/>
      <w:tabs>
        <w:tab w:val="center" w:pos="4819"/>
        <w:tab w:val="right" w:pos="9638"/>
      </w:tabs>
      <w:suppressAutoHyphens/>
      <w:rPr>
        <w:rFonts w:eastAsia="Lucida Sans Unicode" w:cs="Tahoma"/>
        <w:szCs w:val="24"/>
        <w:lang w:eastAsia="hi-IN" w:bidi="hi-IN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A425B6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separator/>
      </w:r>
    </w:p>
  </w:footnote>
  <w:footnote w:type="continuationSeparator" w:id="0">
    <w:p w14:paraId="62125E5D" w14:textId="77777777">
      <w:pPr>
        <w:widowControl w:val="0"/>
        <w:suppressAutoHyphens/>
        <w:rPr>
          <w:rFonts w:eastAsia="Lucida Sans Unicode" w:cs="Tahoma"/>
          <w:szCs w:val="24"/>
          <w:lang w:eastAsia="hi-IN" w:bidi="hi-IN"/>
        </w:rPr>
      </w:pPr>
      <w:r>
        <w:rPr>
          <w:rFonts w:eastAsia="Lucida Sans Unicode" w:cs="Tahoma"/>
          <w:szCs w:val="24"/>
          <w:lang w:eastAsia="hi-IN" w:bidi="hi-IN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050E0F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 w:cs="Tahoma"/>
        <w:sz w:val="20"/>
        <w:lang w:eastAsia="hi-IN" w:bidi="hi-IN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8EF8D9" w14:textId="77777777">
    <w:pPr>
      <w:widowControl w:val="0"/>
      <w:tabs>
        <w:tab w:val="center" w:pos="4153"/>
        <w:tab w:val="right" w:pos="8306"/>
      </w:tabs>
      <w:suppressAutoHyphens/>
      <w:jc w:val="center"/>
      <w:rPr>
        <w:rFonts w:eastAsia="Lucida Sans Unicode" w:cs="Tahoma"/>
        <w:sz w:val="20"/>
        <w:lang w:eastAsia="hi-IN" w:bidi="hi-IN"/>
      </w:rPr>
    </w:pPr>
  </w:p>
  <w:p w14:paraId="528EF8DA" w14:textId="77777777">
    <w:pPr>
      <w:widowControl w:val="0"/>
      <w:tabs>
        <w:tab w:val="center" w:pos="4153"/>
        <w:tab w:val="right" w:pos="8306"/>
      </w:tabs>
      <w:suppressAutoHyphens/>
      <w:jc w:val="center"/>
      <w:rPr>
        <w:rFonts w:eastAsia="Lucida Sans Unicode" w:cs="Tahoma"/>
        <w:sz w:val="20"/>
        <w:lang w:eastAsia="hi-IN" w:bidi="hi-IN"/>
      </w:rPr>
    </w:pPr>
    <w:r>
      <w:rPr>
        <w:rFonts w:eastAsia="Lucida Sans Unicode" w:cs="Tahoma"/>
        <w:szCs w:val="24"/>
        <w:lang w:eastAsia="hi-IN" w:bidi="hi-IN"/>
      </w:rPr>
      <w:fldChar w:fldCharType="begin"/>
    </w:r>
    <w:r>
      <w:rPr>
        <w:rFonts w:eastAsia="Lucida Sans Unicode" w:cs="Tahoma"/>
        <w:sz w:val="20"/>
        <w:lang w:eastAsia="hi-IN" w:bidi="hi-IN"/>
      </w:rPr>
      <w:instrText>PAGE</w:instrText>
    </w:r>
    <w:r>
      <w:rPr>
        <w:rFonts w:eastAsia="Lucida Sans Unicode" w:cs="Tahoma"/>
        <w:sz w:val="20"/>
        <w:lang w:eastAsia="hi-IN" w:bidi="hi-IN"/>
      </w:rPr>
      <w:fldChar w:fldCharType="separate"/>
    </w:r>
    <w:r>
      <w:rPr>
        <w:rFonts w:eastAsia="Lucida Sans Unicode" w:cs="Tahoma"/>
        <w:sz w:val="20"/>
        <w:lang w:eastAsia="hi-IN" w:bidi="hi-IN"/>
      </w:rPr>
      <w:t>2</w:t>
    </w:r>
    <w:r>
      <w:rPr>
        <w:rFonts w:eastAsia="Lucida Sans Unicode" w:cs="Tahoma"/>
        <w:sz w:val="20"/>
        <w:lang w:eastAsia="hi-IN" w:bidi="hi-IN"/>
      </w:rPr>
      <w:fldChar w:fldCharType="end"/>
    </w:r>
  </w:p>
  <w:p w14:paraId="528EF8DB" w14:textId="77777777">
    <w:pPr>
      <w:widowControl w:val="0"/>
      <w:suppressAutoHyphens/>
      <w:jc w:val="right"/>
      <w:rPr>
        <w:rFonts w:eastAsia="Lucida Sans Unicode" w:cs="Tahoma"/>
        <w:b/>
        <w:szCs w:val="24"/>
        <w:lang w:eastAsia="hi-IN" w:bidi="hi-IN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42E9CA" w14:textId="77777777">
    <w:pPr>
      <w:widowControl w:val="0"/>
      <w:tabs>
        <w:tab w:val="center" w:pos="4153"/>
        <w:tab w:val="right" w:pos="8306"/>
      </w:tabs>
      <w:suppressAutoHyphens/>
      <w:rPr>
        <w:rFonts w:eastAsia="Lucida Sans Unicode" w:cs="Tahoma"/>
        <w:sz w:val="20"/>
        <w:lang w:eastAsia="hi-IN" w:bidi="hi-IN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8EF8B3"/>
  <w15:docId w15:val="{DCDA0546-312D-4A14-88B6-85491E25BD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13182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eef8642f3eed4866a1c16690354a257b" PartId="01441d07ca6a4eb3b21c7c381fa3533c">
    <Part Type="preambule" DocPartId="150b7abc8ddf48e39e46972d3b33c20c" PartId="961d7783a110477799ea17970627841e"/>
    <Part Type="punktas" Nr="1" Abbr="1 p." DocPartId="784efb660ea3449c8d65419fabd63051" PartId="9219fa80eabc4b73af450ea3be31493a"/>
    <Part Type="punktas" Nr="2" Abbr="2 p." DocPartId="c7eb169df7e14317bfa0ab2b8581a908" PartId="73434f6d91fd43c68c693db98081b15e"/>
    <Part Type="punktas" Nr="3" Abbr="3 p." DocPartId="e61ba7c0d96d436e95810550228504b8" PartId="61cab634df694599acd109c528427012"/>
    <Part Type="punktas" Nr="4" Abbr="4 p." DocPartId="b635575a682f450ca012c03a5f9d4193" PartId="a3ac20a7e09e42498d428324647b645b"/>
    <Part Type="signatura" DocPartId="869ecd08fa794b0ab0c5aaf04f6a9b55" PartId="e0bb745f6c214c01b724d57f34eec12a"/>
  </Part>
</Parts>
</file>

<file path=customXml/itemProps1.xml><?xml version="1.0" encoding="utf-8"?>
<ds:datastoreItem xmlns:ds="http://schemas.openxmlformats.org/officeDocument/2006/customXml" ds:itemID="{86C4E3C7-0ECD-416D-BF03-9A9872FEDB8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D5BD8FC-0F20-4DE4-BAA2-AB7B9828183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198</Words>
  <Characters>1345</Characters>
  <Application>Microsoft Office Word</Application>
  <DocSecurity>4</DocSecurity>
  <Lines>35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Siauliu m. savivaldybe</Company>
  <LinksUpToDate>false</LinksUpToDate>
  <CharactersWithSpaces>1528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2024-04-12T07:29:00Z</dcterms:created>
  <dc:creator>d.palkeviciene</dc:creator>
  <dc:language>en-US</dc:language>
  <lastModifiedBy>adlibuser</lastModifiedBy>
  <lastPrinted>2020-08-12T10:33:00Z</lastPrinted>
  <dcterms:modified xsi:type="dcterms:W3CDTF">2024-04-12T07:29:00Z</dcterms:modified>
  <revision>2</revision>
  <dc:title/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m. savivaldybe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