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da798490d742568e3354b8e6857712"/>
        <w:lock w:val="sdtLocked"/>
        <w:richText/>
      </w:sdtPr>
      <w:sdtContent>
        <w:p>
          <w:pPr>
            <w:tabs>
              <w:tab w:val="center" w:pos="4819"/>
              <w:tab w:val="right" w:pos="9638"/>
            </w:tabs>
            <w:suppressAutoHyphens/>
            <w:jc w:val="right"/>
            <w:rPr>
              <w:b/>
              <w:szCs w:val="24"/>
              <w:lang w:eastAsia="ar-SA"/>
            </w:rPr>
          </w:pPr>
          <w:r>
            <w:rPr>
              <w:b/>
              <w:szCs w:val="24"/>
              <w:lang w:eastAsia="ar-SA"/>
            </w:rPr>
            <w:t>Projektas</w:t>
          </w:r>
        </w:p>
        <w:p>
          <w:pPr>
            <w:tabs>
              <w:tab w:val="center" w:pos="4819"/>
              <w:tab w:val="right" w:pos="9638"/>
            </w:tabs>
            <w:suppressAutoHyphens/>
            <w:rPr>
              <w:szCs w:val="24"/>
              <w:lang w:val="en-GB" w:eastAsia="ar-SA"/>
            </w:rPr>
          </w:pPr>
        </w:p>
        <w:p>
          <w:pPr>
            <w:tabs>
              <w:tab w:val="left" w:pos="17016"/>
            </w:tabs>
            <w:suppressAutoHyphens/>
            <w:ind w:left="8508"/>
            <w:rPr>
              <w:b/>
              <w:bCs/>
              <w:szCs w:val="24"/>
              <w:lang w:eastAsia="ar-SA"/>
            </w:rPr>
          </w:pPr>
        </w:p>
        <w:p>
          <w:pPr>
            <w:suppressAutoHyphens/>
            <w:jc w:val="center"/>
            <w:rPr>
              <w:b/>
              <w:bCs/>
              <w:szCs w:val="24"/>
              <w:lang w:eastAsia="ar-SA"/>
            </w:rPr>
          </w:pPr>
        </w:p>
        <w:p>
          <w:pPr>
            <w:jc w:val="center"/>
            <w:rPr>
              <w:rFonts w:eastAsia="Lucida Sans Unicode"/>
              <w:b/>
              <w:szCs w:val="24"/>
              <w:lang w:eastAsia="ar-SA"/>
            </w:rPr>
          </w:pPr>
          <w:r>
            <w:rPr>
              <w:rFonts w:eastAsia="Lucida Sans Unicode"/>
              <w:b/>
              <w:szCs w:val="24"/>
              <w:lang w:eastAsia="ar-SA"/>
            </w:rPr>
            <w:t>ŠIAULIŲ MIESTO SAVIVALDYBĖS TARYBA</w:t>
          </w:r>
        </w:p>
        <w:p>
          <w:pPr>
            <w:widowControl w:val="0"/>
            <w:suppressAutoHyphens/>
            <w:jc w:val="center"/>
            <w:rPr>
              <w:rFonts w:eastAsia="Lucida Sans Unicode"/>
              <w:b/>
              <w:bCs/>
              <w:caps/>
              <w:szCs w:val="24"/>
              <w:shd w:val="clear" w:color="auto" w:fill="FFFFFF"/>
            </w:rPr>
          </w:pPr>
        </w:p>
        <w:p>
          <w:pPr>
            <w:suppressAutoHyphens/>
            <w:jc w:val="center"/>
            <w:rPr>
              <w:szCs w:val="24"/>
              <w:lang w:eastAsia="zh-CN"/>
            </w:rPr>
          </w:pPr>
          <w:r>
            <w:rPr>
              <w:b/>
              <w:bCs/>
              <w:szCs w:val="24"/>
              <w:lang w:eastAsia="zh-CN"/>
            </w:rPr>
            <w:t>SPRENDIMAS</w:t>
          </w:r>
        </w:p>
        <w:p>
          <w:pPr>
            <w:overflowPunct w:val="0"/>
            <w:spacing w:line="259" w:lineRule="auto"/>
            <w:jc w:val="center"/>
            <w:textAlignment w:val="baseline"/>
            <w:rPr>
              <w:rFonts w:eastAsia="Calibri"/>
              <w:b/>
              <w:bCs/>
              <w:caps/>
              <w:szCs w:val="24"/>
            </w:rPr>
          </w:pPr>
          <w:r>
            <w:rPr>
              <w:b/>
              <w:szCs w:val="24"/>
              <w:lang w:eastAsia="zh-CN"/>
            </w:rPr>
            <w:t xml:space="preserve">DĖL </w:t>
          </w:r>
          <w:r>
            <w:rPr>
              <w:rFonts w:eastAsia="Lucida Sans Unicode"/>
              <w:b/>
              <w:szCs w:val="24"/>
              <w:lang w:eastAsia="ar-SA"/>
            </w:rPr>
            <w:t>ŠIAULIŲ MIESTO SAVIVALDYBĖS TARYBOS 2020 M. GRUODŽIO 3 D. SPRENDIMO NR. T-455 „</w:t>
          </w:r>
          <w:r>
            <w:rPr>
              <w:rFonts w:eastAsia="Calibri"/>
              <w:b/>
              <w:bCs/>
              <w:szCs w:val="24"/>
            </w:rPr>
            <w:t xml:space="preserve">DĖL  ŠIAULIŲ MIESTO SAVIVALDYBĖS </w:t>
          </w:r>
          <w:r>
            <w:rPr>
              <w:rFonts w:eastAsia="Calibri"/>
              <w:b/>
              <w:bCs/>
              <w:caps/>
              <w:szCs w:val="24"/>
            </w:rPr>
            <w:t>NEFORMALIOJO VAIKŲ ŠVIETIMO TEIKĖJŲ VEIKLOS KOKYBĖS ĮSIVERTINIMO IR IŠORINIO VERTINIMO TVARKOS APRAŠO PATVIRTINIMO</w:t>
          </w:r>
          <w:r>
            <w:rPr>
              <w:b/>
              <w:color w:val="000000"/>
              <w:szCs w:val="24"/>
              <w:lang w:eastAsia="zh-CN"/>
            </w:rPr>
            <w:t>“ PAKEITIMO</w:t>
          </w:r>
        </w:p>
        <w:p>
          <w:pPr>
            <w:rPr>
              <w:sz w:val="14"/>
              <w:szCs w:val="14"/>
            </w:rPr>
          </w:pPr>
        </w:p>
        <w:p>
          <w:pPr>
            <w:widowControl w:val="0"/>
            <w:suppressAutoHyphens/>
            <w:rPr>
              <w:rFonts w:eastAsia="Lucida Sans Unicode"/>
              <w:b/>
              <w:caps/>
              <w:szCs w:val="24"/>
              <w:highlight w:val="yellow"/>
              <w:lang w:eastAsia="ar-SA"/>
            </w:rPr>
          </w:pPr>
        </w:p>
        <w:p>
          <w:pPr>
            <w:widowControl w:val="0"/>
            <w:suppressAutoHyphens/>
            <w:jc w:val="center"/>
            <w:rPr>
              <w:rFonts w:eastAsia="Lucida Sans Unicode"/>
              <w:szCs w:val="24"/>
              <w:shd w:val="clear" w:color="auto" w:fill="FFFFFF"/>
              <w:lang w:eastAsia="ar-SA"/>
            </w:rPr>
          </w:pPr>
          <w:r>
            <w:rPr>
              <w:rFonts w:eastAsia="Lucida Sans Unicode"/>
              <w:szCs w:val="24"/>
              <w:shd w:val="clear" w:color="auto" w:fill="FFFFFF"/>
              <w:lang w:eastAsia="ar-SA"/>
            </w:rPr>
            <w:t xml:space="preserve">2023 m.                          d. Nr. T-</w:t>
          </w:r>
        </w:p>
        <w:p>
          <w:pPr>
            <w:widowControl w:val="0"/>
            <w:suppressAutoHyphens/>
            <w:jc w:val="center"/>
            <w:rPr>
              <w:rFonts w:eastAsia="Lucida Sans Unicode"/>
              <w:szCs w:val="24"/>
              <w:shd w:val="clear" w:color="auto" w:fill="FFFFFF"/>
              <w:lang w:eastAsia="ar-SA"/>
            </w:rPr>
          </w:pPr>
          <w:r>
            <w:rPr>
              <w:rFonts w:eastAsia="Lucida Sans Unicode"/>
              <w:szCs w:val="24"/>
              <w:shd w:val="clear" w:color="auto" w:fill="FFFFFF"/>
              <w:lang w:eastAsia="ar-SA"/>
            </w:rPr>
            <w:t>Šiauliai</w:t>
          </w:r>
        </w:p>
        <w:p>
          <w:pPr>
            <w:widowControl w:val="0"/>
            <w:suppressAutoHyphens/>
            <w:jc w:val="center"/>
            <w:rPr>
              <w:rFonts w:eastAsia="Lucida Sans Unicode"/>
              <w:szCs w:val="24"/>
              <w:highlight w:val="yellow"/>
              <w:shd w:val="clear" w:color="auto" w:fill="FFFFFF"/>
              <w:lang w:eastAsia="ar-SA"/>
            </w:rPr>
          </w:pPr>
        </w:p>
        <w:p>
          <w:pPr>
            <w:widowControl w:val="0"/>
            <w:suppressAutoHyphens/>
            <w:jc w:val="center"/>
            <w:rPr>
              <w:rFonts w:eastAsia="Lucida Sans Unicode"/>
              <w:szCs w:val="24"/>
              <w:highlight w:val="yellow"/>
              <w:shd w:val="clear" w:color="auto" w:fill="FFFFFF"/>
              <w:lang w:eastAsia="ar-SA"/>
            </w:rPr>
          </w:pPr>
        </w:p>
        <w:p>
          <w:pPr>
            <w:ind w:firstLine="1123"/>
            <w:jc w:val="both"/>
            <w:rPr>
              <w:szCs w:val="24"/>
            </w:rPr>
          </w:pPr>
          <w:r>
            <w:t>Vadovaudamasi Lietuvos Respublikos vietos savivaldos įstatymo 18 straipsnio 1 dalimi,</w:t>
          </w:r>
          <w:r>
            <w:rPr>
              <w:color w:val="000000"/>
              <w:szCs w:val="24"/>
              <w:shd w:val="clear" w:color="auto" w:fill="FFFFFF"/>
            </w:rPr>
            <w:t xml:space="preserve"> 2022 m. birželio 30 d. Lietuvos Respublikos vietos savivaldos įstatymo Nr. I-533 pakeitimo įstatymo Nr. XIV-1268 2 straipsnio 1 ir 2 dalimis, 1 straipsniu pakeisto Lietuvos Respublikos vietos savivaldos įstatymo 3 straipsnio 3 dalimi, 6 </w:t>
          </w:r>
          <w:r>
            <w:rPr>
              <w:szCs w:val="24"/>
              <w:shd w:val="clear" w:color="auto" w:fill="FFFFFF"/>
            </w:rPr>
            <w:t xml:space="preserve">straipsnio 8  ir 44 punktais, 25 straipsnio 5 dalimi</w:t>
          </w:r>
          <w:r>
            <w:rPr>
              <w:szCs w:val="24"/>
            </w:rPr>
            <w:t xml:space="preserve">, 27 straipsnio 2 dalies 3 punktu, </w:t>
          </w:r>
          <w:r>
            <w:rPr>
              <w:color w:val="000000"/>
            </w:rPr>
            <w:t xml:space="preserve">Lietuvos Respublikos švietimo įstatymo 58 straipsnio 1 dalies 1 punktu, </w:t>
          </w:r>
          <w:r>
            <w:rPr>
              <w:szCs w:val="24"/>
            </w:rPr>
            <w:t>Šiaulių</w:t>
          </w:r>
          <w:r>
            <w:t xml:space="preserve"> miesto savivaldybės taryba </w:t>
          </w:r>
          <w:r>
            <w:rPr>
              <w:spacing w:val="60"/>
            </w:rPr>
            <w:t>nusprendži</w:t>
          </w:r>
          <w:r>
            <w:t>a:</w:t>
          </w:r>
        </w:p>
        <w:sdt>
          <w:sdtPr>
            <w:alias w:val="1 p."/>
            <w:tag w:val="part_4f8b3701a02e416f9f53da0d7dfda0e8"/>
            <w:lock w:val="sdtLocked"/>
            <w:richText/>
          </w:sdtPr>
          <w:sdtContent>
            <w:p>
              <w:pPr>
                <w:ind w:firstLine="1123"/>
                <w:jc w:val="both"/>
              </w:pPr>
              <w:sdt>
                <w:sdtPr>
                  <w:alias w:val="Numeris"/>
                  <w:tag w:val="nr_4f8b3701a02e416f9f53da0d7dfda0e8"/>
                  <w:lock w:val="sdtLocked"/>
                  <w:richText/>
                </w:sdtPr>
                <w:sdtContent>
                  <w:r>
                    <w:rPr>
                      <w:szCs w:val="24"/>
                    </w:rPr>
                    <w:t>1</w:t>
                  </w:r>
                </w:sdtContent>
              </w:sdt>
              <w:r>
                <w:rPr>
                  <w:szCs w:val="24"/>
                </w:rPr>
                <w:t xml:space="preserve">. </w:t>
              </w:r>
              <w:r>
                <w:rPr>
                  <w:rFonts w:eastAsia="Calibri"/>
                  <w:szCs w:val="24"/>
                  <w:shd w:val="clear" w:color="auto" w:fill="FFFFFF"/>
                </w:rPr>
                <w:t xml:space="preserve">Pakeisti </w:t>
              </w:r>
              <w:r>
                <w:rPr>
                  <w:rFonts w:eastAsia="Calibri"/>
                  <w:bCs/>
                  <w:szCs w:val="24"/>
                </w:rPr>
                <w:t xml:space="preserve">Šiaulių miesto savivaldybės neformaliojo vaikų švietimo teikėjų veiklos kokybės įsivertinimo ir išorinio vertinimo tvarkos aprašą, patvirtintą </w:t>
              </w:r>
              <w:r>
                <w:rPr>
                  <w:szCs w:val="24"/>
                  <w:shd w:val="clear" w:color="auto" w:fill="FFFFFF"/>
                </w:rPr>
                <w:t>Š</w:t>
              </w:r>
              <w:r>
                <w:rPr>
                  <w:szCs w:val="24"/>
                </w:rPr>
                <w:t xml:space="preserve">iaulių miesto savivaldybės tarybos 2020 m. gruodžio 3 d. sprendimo Nr. T-455 „Dėl </w:t>
              </w:r>
              <w:r>
                <w:rPr>
                  <w:rFonts w:eastAsia="Calibri"/>
                  <w:bCs/>
                  <w:szCs w:val="24"/>
                </w:rPr>
                <w:t>Šiaulių miesto savivaldybės neformaliojo vaikų švietimo teikėjų veiklos kokybės įsivertinimo ir išorinio vertinimo tvarkos aprašo patvirtinimo“ 1 punktu:</w:t>
              </w:r>
            </w:p>
            <w:sdt>
              <w:sdtPr>
                <w:alias w:val="1.1 pp."/>
                <w:tag w:val="part_0d912dd2b5544aada43217aa56ad9134"/>
                <w:lock w:val="sdtLocked"/>
                <w:richText/>
              </w:sdtPr>
              <w:sdtContent>
                <w:p>
                  <w:pPr>
                    <w:ind w:firstLine="1123"/>
                    <w:jc w:val="both"/>
                    <w:rPr>
                      <w:szCs w:val="24"/>
                    </w:rPr>
                  </w:pPr>
                  <w:sdt>
                    <w:sdtPr>
                      <w:alias w:val="Numeris"/>
                      <w:tag w:val="nr_0d912dd2b5544aada43217aa56ad9134"/>
                      <w:lock w:val="sdtLocked"/>
                      <w:richText/>
                    </w:sdtPr>
                    <w:sdtContent>
                      <w:r>
                        <w:rPr>
                          <w:rFonts w:eastAsia="Calibri"/>
                          <w:szCs w:val="24"/>
                          <w:lang w:eastAsia="en-GB"/>
                        </w:rPr>
                        <w:t>1.1</w:t>
                      </w:r>
                    </w:sdtContent>
                  </w:sdt>
                  <w:r>
                    <w:rPr>
                      <w:rFonts w:eastAsia="Calibri"/>
                      <w:szCs w:val="24"/>
                      <w:lang w:eastAsia="en-GB"/>
                    </w:rPr>
                    <w:t xml:space="preserve">. </w:t>
                  </w:r>
                  <w:r>
                    <w:rPr>
                      <w:szCs w:val="24"/>
                    </w:rPr>
                    <w:t>Pakeisti 4.2 papunktį ir jį išdėstyti taip:</w:t>
                  </w:r>
                </w:p>
                <w:sdt>
                  <w:sdtPr>
                    <w:alias w:val="citata"/>
                    <w:tag w:val="part_9e3e2d33f7a8425b9bd391e4f12be62f"/>
                    <w:lock w:val="sdtLocked"/>
                    <w:richText/>
                  </w:sdtPr>
                  <w:sdtContent>
                    <w:sdt>
                      <w:sdtPr>
                        <w:alias w:val="4.2 pp."/>
                        <w:tag w:val="part_3fb3048631e940198d75cc1d128f3e60"/>
                        <w:lock w:val="sdtLocked"/>
                        <w:richText/>
                      </w:sdtPr>
                      <w:sdtContent>
                        <w:p>
                          <w:pPr>
                            <w:ind w:firstLine="1123"/>
                            <w:jc w:val="both"/>
                            <w:rPr>
                              <w:szCs w:val="24"/>
                            </w:rPr>
                          </w:pPr>
                          <w:r>
                            <w:rPr>
                              <w:szCs w:val="24"/>
                            </w:rPr>
                            <w:t>„</w:t>
                          </w:r>
                          <w:sdt>
                            <w:sdtPr>
                              <w:alias w:val="Numeris"/>
                              <w:tag w:val="nr_3fb3048631e940198d75cc1d128f3e60"/>
                              <w:lock w:val="sdtLocked"/>
                              <w:richText/>
                            </w:sdtPr>
                            <w:sdtContent>
                              <w:r>
                                <w:rPr>
                                  <w:rFonts w:eastAsia="Calibri"/>
                                  <w:bCs/>
                                  <w:szCs w:val="24"/>
                                  <w:lang w:eastAsia="en-GB"/>
                                </w:rPr>
                                <w:t>4.2</w:t>
                              </w:r>
                            </w:sdtContent>
                          </w:sdt>
                          <w:r>
                            <w:rPr>
                              <w:rFonts w:eastAsia="Calibri"/>
                              <w:bCs/>
                              <w:szCs w:val="24"/>
                              <w:lang w:eastAsia="en-GB"/>
                            </w:rPr>
                            <w:t>.</w:t>
                          </w:r>
                          <w:r>
                            <w:rPr>
                              <w:rFonts w:eastAsia="Calibri"/>
                              <w:b/>
                              <w:szCs w:val="24"/>
                              <w:lang w:eastAsia="en-GB"/>
                            </w:rPr>
                            <w:t xml:space="preserve"> NVŠ teikėjų veiklos kokybės įsivertinimo protokolas </w:t>
                          </w:r>
                          <w:r>
                            <w:rPr>
                              <w:rFonts w:eastAsia="Calibri"/>
                              <w:szCs w:val="24"/>
                              <w:lang w:eastAsia="en-GB"/>
                            </w:rPr>
                            <w:t xml:space="preserve">– </w:t>
                          </w:r>
                          <w:r>
                            <w:rPr>
                              <w:rFonts w:eastAsia="Calibri"/>
                              <w:szCs w:val="24"/>
                            </w:rPr>
                            <w:t>Savivaldybės mero potvarkiu patvirtintos</w:t>
                          </w:r>
                          <w:r>
                            <w:rPr>
                              <w:rFonts w:eastAsia="Calibri"/>
                              <w:szCs w:val="24"/>
                              <w:lang w:eastAsia="en-GB"/>
                            </w:rPr>
                            <w:t xml:space="preserve"> formos protokolas, kuriame NVŠ teikėjo bendruomenės nariai fiksuoja veiklos kokybės įsivertinimo rezultatus;“.</w:t>
                          </w:r>
                        </w:p>
                      </w:sdtContent>
                    </w:sdt>
                  </w:sdtContent>
                </w:sdt>
              </w:sdtContent>
            </w:sdt>
            <w:sdt>
              <w:sdtPr>
                <w:alias w:val="1.2 pp."/>
                <w:tag w:val="part_2d36b61b27ad401691bba0f9b8b638c9"/>
                <w:lock w:val="sdtLocked"/>
                <w:richText/>
              </w:sdtPr>
              <w:sdtContent>
                <w:p>
                  <w:pPr>
                    <w:ind w:firstLine="1123"/>
                    <w:jc w:val="both"/>
                    <w:rPr>
                      <w:szCs w:val="24"/>
                    </w:rPr>
                  </w:pPr>
                  <w:sdt>
                    <w:sdtPr>
                      <w:alias w:val="Numeris"/>
                      <w:tag w:val="nr_2d36b61b27ad401691bba0f9b8b638c9"/>
                      <w:lock w:val="sdtLocked"/>
                      <w:richText/>
                    </w:sdtPr>
                    <w:sdtContent>
                      <w:r>
                        <w:rPr>
                          <w:szCs w:val="24"/>
                        </w:rPr>
                        <w:t>1.2</w:t>
                      </w:r>
                    </w:sdtContent>
                  </w:sdt>
                  <w:r>
                    <w:rPr>
                      <w:szCs w:val="24"/>
                    </w:rPr>
                    <w:t xml:space="preserve">.  Pakeisti 4.4 papunktį ir jį išdėstyti taip:</w:t>
                  </w:r>
                </w:p>
                <w:sdt>
                  <w:sdtPr>
                    <w:alias w:val="citata"/>
                    <w:tag w:val="part_7d98a6aae37c4f75ac9d6dabf3cd03ee"/>
                    <w:lock w:val="sdtLocked"/>
                    <w:richText/>
                  </w:sdtPr>
                  <w:sdtContent>
                    <w:sdt>
                      <w:sdtPr>
                        <w:alias w:val="4.4 pp."/>
                        <w:tag w:val="part_a1ac9eebb8e144e79425371a26712b0b"/>
                        <w:lock w:val="sdtLocked"/>
                        <w:richText/>
                      </w:sdtPr>
                      <w:sdtContent>
                        <w:p>
                          <w:pPr>
                            <w:ind w:firstLine="1123"/>
                            <w:jc w:val="both"/>
                            <w:rPr>
                              <w:rFonts w:eastAsia="Calibri"/>
                              <w:szCs w:val="24"/>
                              <w:lang w:eastAsia="en-GB"/>
                            </w:rPr>
                          </w:pPr>
                          <w:r>
                            <w:rPr>
                              <w:rFonts w:eastAsia="Calibri"/>
                              <w:szCs w:val="24"/>
                              <w:lang w:eastAsia="en-GB"/>
                            </w:rPr>
                            <w:t>„</w:t>
                          </w:r>
                          <w:sdt>
                            <w:sdtPr>
                              <w:alias w:val="Numeris"/>
                              <w:tag w:val="nr_a1ac9eebb8e144e79425371a26712b0b"/>
                              <w:lock w:val="sdtLocked"/>
                              <w:richText/>
                            </w:sdtPr>
                            <w:sdtContent>
                              <w:r>
                                <w:rPr>
                                  <w:rFonts w:eastAsia="Calibri"/>
                                  <w:szCs w:val="24"/>
                                  <w:lang w:eastAsia="en-GB"/>
                                </w:rPr>
                                <w:t>4.4</w:t>
                              </w:r>
                            </w:sdtContent>
                          </w:sdt>
                          <w:r>
                            <w:rPr>
                              <w:rFonts w:eastAsia="Calibri"/>
                              <w:szCs w:val="24"/>
                              <w:lang w:eastAsia="en-GB"/>
                            </w:rPr>
                            <w:t>.</w:t>
                          </w:r>
                          <w:r>
                            <w:rPr>
                              <w:rFonts w:eastAsia="Calibri"/>
                              <w:b/>
                              <w:bCs/>
                              <w:szCs w:val="24"/>
                              <w:lang w:eastAsia="en-GB"/>
                            </w:rPr>
                            <w:t xml:space="preserve"> NVŠ teikėjų išorinio vertinimo grupė </w:t>
                          </w:r>
                          <w:r>
                            <w:rPr>
                              <w:rFonts w:eastAsia="Calibri"/>
                              <w:szCs w:val="24"/>
                              <w:lang w:eastAsia="en-GB"/>
                            </w:rPr>
                            <w:t xml:space="preserve">– Savivaldybės </w:t>
                          </w:r>
                          <w:r>
                            <w:rPr>
                              <w:rFonts w:eastAsia="Calibri"/>
                              <w:szCs w:val="24"/>
                            </w:rPr>
                            <w:t xml:space="preserve">mero potvarkiu </w:t>
                          </w:r>
                          <w:r>
                            <w:rPr>
                              <w:rFonts w:eastAsia="Calibri"/>
                              <w:szCs w:val="24"/>
                              <w:lang w:eastAsia="en-GB"/>
                            </w:rPr>
                            <w:t>sudaryta vertinimo grupė konkretaus NVŠ teikėjo veiklai vertinti.“</w:t>
                          </w:r>
                        </w:p>
                      </w:sdtContent>
                    </w:sdt>
                  </w:sdtContent>
                </w:sdt>
              </w:sdtContent>
            </w:sdt>
            <w:sdt>
              <w:sdtPr>
                <w:alias w:val="1.3 pp."/>
                <w:tag w:val="part_52fd058dbc3d4c5782c28c6733eeda4b"/>
                <w:lock w:val="sdtLocked"/>
                <w:richText/>
              </w:sdtPr>
              <w:sdtContent>
                <w:p>
                  <w:pPr>
                    <w:ind w:firstLine="1123"/>
                    <w:jc w:val="both"/>
                    <w:rPr>
                      <w:szCs w:val="24"/>
                    </w:rPr>
                  </w:pPr>
                  <w:sdt>
                    <w:sdtPr>
                      <w:alias w:val="Numeris"/>
                      <w:tag w:val="nr_52fd058dbc3d4c5782c28c6733eeda4b"/>
                      <w:lock w:val="sdtLocked"/>
                      <w:richText/>
                    </w:sdtPr>
                    <w:sdtContent>
                      <w:r>
                        <w:rPr>
                          <w:rFonts w:eastAsia="Calibri"/>
                          <w:szCs w:val="24"/>
                          <w:lang w:eastAsia="en-GB"/>
                        </w:rPr>
                        <w:t>1.3</w:t>
                      </w:r>
                    </w:sdtContent>
                  </w:sdt>
                  <w:r>
                    <w:rPr>
                      <w:rFonts w:eastAsia="Calibri"/>
                      <w:szCs w:val="24"/>
                      <w:lang w:eastAsia="en-GB"/>
                    </w:rPr>
                    <w:t xml:space="preserve">. Pakeisti 13 punkto pirmąją pastraipą iki dvitaškio </w:t>
                  </w:r>
                  <w:r>
                    <w:rPr>
                      <w:szCs w:val="24"/>
                    </w:rPr>
                    <w:t>ir ją išdėstyti taip:</w:t>
                  </w:r>
                </w:p>
                <w:sdt>
                  <w:sdtPr>
                    <w:alias w:val="citata"/>
                    <w:tag w:val="part_ed91a7fab5dd4729b432c9ca4219e173"/>
                    <w:lock w:val="sdtLocked"/>
                    <w:richText/>
                  </w:sdtPr>
                  <w:sdtContent>
                    <w:sdt>
                      <w:sdtPr>
                        <w:alias w:val="13 p."/>
                        <w:tag w:val="part_4fbd97b717174e1d8b4eb7e09c5e9240"/>
                        <w:lock w:val="sdtLocked"/>
                        <w:richText/>
                      </w:sdtPr>
                      <w:sdtContent>
                        <w:p>
                          <w:pPr>
                            <w:ind w:firstLine="1123"/>
                            <w:jc w:val="both"/>
                            <w:rPr>
                              <w:rFonts w:eastAsia="Calibri"/>
                              <w:szCs w:val="24"/>
                            </w:rPr>
                          </w:pPr>
                          <w:r>
                            <w:rPr>
                              <w:rFonts w:eastAsia="Calibri"/>
                              <w:szCs w:val="24"/>
                              <w:lang w:eastAsia="en-GB"/>
                            </w:rPr>
                            <w:t>„</w:t>
                          </w:r>
                          <w:sdt>
                            <w:sdtPr>
                              <w:alias w:val="Numeris"/>
                              <w:tag w:val="nr_4fbd97b717174e1d8b4eb7e09c5e9240"/>
                              <w:lock w:val="sdtLocked"/>
                              <w:richText/>
                            </w:sdtPr>
                            <w:sdtContent>
                              <w:r>
                                <w:rPr>
                                  <w:rFonts w:eastAsia="Calibri"/>
                                  <w:szCs w:val="24"/>
                                  <w:lang w:eastAsia="en-GB"/>
                                </w:rPr>
                                <w:t>13</w:t>
                              </w:r>
                            </w:sdtContent>
                          </w:sdt>
                          <w:r>
                            <w:rPr>
                              <w:rFonts w:eastAsia="Calibri"/>
                              <w:szCs w:val="24"/>
                              <w:lang w:eastAsia="en-GB"/>
                            </w:rPr>
                            <w:t xml:space="preserve">. </w:t>
                          </w:r>
                          <w:r>
                            <w:rPr>
                              <w:rFonts w:eastAsia="Calibri"/>
                              <w:szCs w:val="24"/>
                            </w:rPr>
                            <w:t>Išoriniam vertinimui atlikti Savivaldybės meras:“.</w:t>
                          </w:r>
                        </w:p>
                      </w:sdtContent>
                    </w:sdt>
                  </w:sdtContent>
                </w:sdt>
              </w:sdtContent>
            </w:sdt>
            <w:sdt>
              <w:sdtPr>
                <w:alias w:val="1.4 pp."/>
                <w:tag w:val="part_63d93d6818fe43129a044aba477031dc"/>
                <w:lock w:val="sdtLocked"/>
                <w:richText/>
              </w:sdtPr>
              <w:sdtContent>
                <w:p>
                  <w:pPr>
                    <w:ind w:firstLine="1123"/>
                    <w:jc w:val="both"/>
                    <w:rPr>
                      <w:rFonts w:eastAsia="Calibri"/>
                      <w:szCs w:val="24"/>
                      <w:lang w:eastAsia="en-GB"/>
                    </w:rPr>
                  </w:pPr>
                  <w:sdt>
                    <w:sdtPr>
                      <w:alias w:val="Numeris"/>
                      <w:tag w:val="nr_63d93d6818fe43129a044aba477031dc"/>
                      <w:lock w:val="sdtLocked"/>
                      <w:richText/>
                    </w:sdtPr>
                    <w:sdtContent>
                      <w:r>
                        <w:rPr>
                          <w:rFonts w:eastAsia="Calibri"/>
                          <w:szCs w:val="24"/>
                        </w:rPr>
                        <w:t>1.4</w:t>
                      </w:r>
                    </w:sdtContent>
                  </w:sdt>
                  <w:r>
                    <w:rPr>
                      <w:rFonts w:eastAsia="Calibri"/>
                      <w:szCs w:val="24"/>
                    </w:rPr>
                    <w:t xml:space="preserve">. </w:t>
                  </w:r>
                  <w:r>
                    <w:rPr>
                      <w:rFonts w:eastAsia="Calibri"/>
                      <w:szCs w:val="24"/>
                      <w:lang w:eastAsia="en-GB"/>
                    </w:rPr>
                    <w:t xml:space="preserve">Pakeisti 13.1  </w:t>
                  </w:r>
                  <w:r>
                    <w:rPr>
                      <w:szCs w:val="24"/>
                    </w:rPr>
                    <w:t>papunktį</w:t>
                  </w:r>
                  <w:r>
                    <w:rPr>
                      <w:rFonts w:eastAsia="Calibri"/>
                      <w:szCs w:val="24"/>
                      <w:lang w:eastAsia="en-GB"/>
                    </w:rPr>
                    <w:t xml:space="preserve"> </w:t>
                  </w:r>
                  <w:r>
                    <w:rPr>
                      <w:szCs w:val="24"/>
                    </w:rPr>
                    <w:t>ir jį išdėstyti taip:</w:t>
                  </w:r>
                </w:p>
                <w:sdt>
                  <w:sdtPr>
                    <w:alias w:val="citata"/>
                    <w:tag w:val="part_32ddf93fc75a4e2e848dc1a219694883"/>
                    <w:lock w:val="sdtLocked"/>
                    <w:richText/>
                  </w:sdtPr>
                  <w:sdtContent>
                    <w:sdt>
                      <w:sdtPr>
                        <w:alias w:val="13.1 pp."/>
                        <w:tag w:val="part_29e9ca331e624c07a538eff299d97405"/>
                        <w:lock w:val="sdtLocked"/>
                        <w:richText/>
                      </w:sdtPr>
                      <w:sdtContent>
                        <w:p>
                          <w:pPr>
                            <w:ind w:firstLine="1123"/>
                            <w:jc w:val="both"/>
                            <w:rPr>
                              <w:rFonts w:eastAsia="Calibri"/>
                              <w:szCs w:val="24"/>
                            </w:rPr>
                          </w:pPr>
                          <w:r>
                            <w:rPr>
                              <w:rFonts w:eastAsia="Calibri"/>
                              <w:szCs w:val="24"/>
                            </w:rPr>
                            <w:t>„</w:t>
                          </w:r>
                          <w:sdt>
                            <w:sdtPr>
                              <w:alias w:val="Numeris"/>
                              <w:tag w:val="nr_29e9ca331e624c07a538eff299d97405"/>
                              <w:lock w:val="sdtLocked"/>
                              <w:richText/>
                            </w:sdtPr>
                            <w:sdtContent>
                              <w:r>
                                <w:rPr>
                                  <w:rFonts w:eastAsia="Calibri"/>
                                  <w:szCs w:val="24"/>
                                </w:rPr>
                                <w:t>13.1</w:t>
                              </w:r>
                            </w:sdtContent>
                          </w:sdt>
                          <w:r>
                            <w:rPr>
                              <w:rFonts w:eastAsia="Calibri"/>
                              <w:szCs w:val="24"/>
                            </w:rPr>
                            <w:t xml:space="preserve">. potvarkiu patvirtina 3–5 narių NVŠ teikėjų išorinio vertinimo grupę iš Savivaldybės specialistų, NVŠ konsultantų, švietimo įstaigų atstovų, kurioje mažiausiai vienas narys (grupės vadovas) yra išorės vertintojas, įgijęs NVŠ kokybės vertinimo kompetencijų NVŠ vertintojų, kurie vadovaujasi Neformaliojo vaikų švietimo kokybės išorės vertintojų etikos principais, mokymuose (4 priedas); vertinant mokyklas, vykdančias formalųjį švietimą papildančio ugdymo programas, išorinio vertinimo grupėje būtų asmenys, turintys vertinamos NVŠ programos krypties išsilavinimą;“. </w:t>
                          </w:r>
                        </w:p>
                      </w:sdtContent>
                    </w:sdt>
                  </w:sdtContent>
                </w:sdt>
              </w:sdtContent>
            </w:sdt>
            <w:sdt>
              <w:sdtPr>
                <w:alias w:val="1.5 pp."/>
                <w:tag w:val="part_1d7842259a3c442cb3cfecaa337909e8"/>
                <w:lock w:val="sdtLocked"/>
                <w:richText/>
              </w:sdtPr>
              <w:sdtContent>
                <w:p>
                  <w:pPr>
                    <w:ind w:firstLine="1123"/>
                    <w:jc w:val="both"/>
                    <w:rPr>
                      <w:rFonts w:eastAsia="Calibri"/>
                      <w:szCs w:val="24"/>
                      <w:lang w:eastAsia="en-GB"/>
                    </w:rPr>
                  </w:pPr>
                  <w:sdt>
                    <w:sdtPr>
                      <w:alias w:val="Numeris"/>
                      <w:tag w:val="nr_1d7842259a3c442cb3cfecaa337909e8"/>
                      <w:lock w:val="sdtLocked"/>
                      <w:richText/>
                    </w:sdtPr>
                    <w:sdtContent>
                      <w:r>
                        <w:rPr>
                          <w:rFonts w:eastAsia="Calibri"/>
                          <w:szCs w:val="24"/>
                        </w:rPr>
                        <w:t>1.5</w:t>
                      </w:r>
                    </w:sdtContent>
                  </w:sdt>
                  <w:r>
                    <w:rPr>
                      <w:rFonts w:eastAsia="Calibri"/>
                      <w:szCs w:val="24"/>
                    </w:rPr>
                    <w:t xml:space="preserve">. </w:t>
                  </w:r>
                  <w:r>
                    <w:rPr>
                      <w:rFonts w:eastAsia="Calibri"/>
                      <w:szCs w:val="24"/>
                      <w:lang w:eastAsia="en-GB"/>
                    </w:rPr>
                    <w:t xml:space="preserve">Pakeisti 13.2  </w:t>
                  </w:r>
                  <w:r>
                    <w:rPr>
                      <w:szCs w:val="24"/>
                    </w:rPr>
                    <w:t>papunktį</w:t>
                  </w:r>
                  <w:r>
                    <w:rPr>
                      <w:rFonts w:eastAsia="Calibri"/>
                      <w:szCs w:val="24"/>
                      <w:lang w:eastAsia="en-GB"/>
                    </w:rPr>
                    <w:t xml:space="preserve"> </w:t>
                  </w:r>
                  <w:r>
                    <w:rPr>
                      <w:szCs w:val="24"/>
                    </w:rPr>
                    <w:t>ir jį išdėstyti taip:</w:t>
                  </w:r>
                </w:p>
                <w:sdt>
                  <w:sdtPr>
                    <w:alias w:val="citata"/>
                    <w:tag w:val="part_121cb4a2a3174d188fc3f5ef219f431a"/>
                    <w:lock w:val="sdtLocked"/>
                    <w:richText/>
                  </w:sdtPr>
                  <w:sdtContent>
                    <w:sdt>
                      <w:sdtPr>
                        <w:alias w:val="13.2 pp."/>
                        <w:tag w:val="part_86da3294c546464c91a672c8f6370907"/>
                        <w:lock w:val="sdtLocked"/>
                        <w:richText/>
                      </w:sdtPr>
                      <w:sdtContent>
                        <w:p>
                          <w:pPr>
                            <w:spacing w:line="259" w:lineRule="auto"/>
                            <w:ind w:firstLine="1123"/>
                            <w:jc w:val="both"/>
                            <w:rPr>
                              <w:rFonts w:eastAsia="Calibri"/>
                              <w:szCs w:val="24"/>
                            </w:rPr>
                          </w:pPr>
                          <w:r>
                            <w:rPr>
                              <w:rFonts w:eastAsia="Calibri"/>
                              <w:szCs w:val="24"/>
                            </w:rPr>
                            <w:t>„</w:t>
                          </w:r>
                          <w:sdt>
                            <w:sdtPr>
                              <w:alias w:val="Numeris"/>
                              <w:tag w:val="nr_86da3294c546464c91a672c8f6370907"/>
                              <w:lock w:val="sdtLocked"/>
                              <w:richText/>
                            </w:sdtPr>
                            <w:sdtContent>
                              <w:r>
                                <w:rPr>
                                  <w:rFonts w:eastAsia="Calibri"/>
                                  <w:szCs w:val="24"/>
                                </w:rPr>
                                <w:t>13.2</w:t>
                              </w:r>
                            </w:sdtContent>
                          </w:sdt>
                          <w:r>
                            <w:rPr>
                              <w:rFonts w:eastAsia="Calibri"/>
                              <w:szCs w:val="24"/>
                            </w:rPr>
                            <w:t>. paskiria asmenį, kuris atlieka išorinio vertinimo koordinatoriaus funkciją. Paskirtas asmuo ne vėliau kaip prieš 10 darbo dienų iki išorinio vertinimo pradžios išorinio vertinimo grupės nariams elektroniniu paštu išsiunčia vertinamo NVŠ teikėjo parengtą įsivertinimo medžiagą, derina vertinamojo vizito laiką, darbo sąlygas, padeda organizuoti susitikimus su atrinktomis grupėmis ir pan. Šis asmuo gali būti ir išorinio vertinimo grupės nariu, t. y. atlikti tiek išorės vertinimo koordinatoriaus, tiek išorinio vertinimo grupės nario funkcijas.“.</w:t>
                          </w:r>
                        </w:p>
                        <w:p>
                          <w:pPr>
                            <w:rPr>
                              <w:sz w:val="14"/>
                              <w:szCs w:val="14"/>
                            </w:rPr>
                          </w:pPr>
                        </w:p>
                        <w:p>
                          <w:pPr>
                            <w:ind w:firstLine="1123"/>
                            <w:jc w:val="both"/>
                            <w:rPr>
                              <w:rFonts w:eastAsia="Calibri"/>
                              <w:szCs w:val="24"/>
                            </w:rPr>
                          </w:pPr>
                        </w:p>
                      </w:sdtContent>
                    </w:sdt>
                  </w:sdtContent>
                </w:sdt>
              </w:sdtContent>
            </w:sdt>
            <w:sdt>
              <w:sdtPr>
                <w:alias w:val="1.6 pp."/>
                <w:tag w:val="part_dc64d5007a874d83bded964987c48cb6"/>
                <w:lock w:val="sdtLocked"/>
                <w:richText/>
              </w:sdtPr>
              <w:sdtContent>
                <w:p>
                  <w:pPr>
                    <w:ind w:firstLine="1123"/>
                    <w:jc w:val="both"/>
                    <w:rPr>
                      <w:szCs w:val="24"/>
                    </w:rPr>
                  </w:pPr>
                  <w:sdt>
                    <w:sdtPr>
                      <w:alias w:val="Numeris"/>
                      <w:tag w:val="nr_dc64d5007a874d83bded964987c48cb6"/>
                      <w:lock w:val="sdtLocked"/>
                      <w:richText/>
                    </w:sdtPr>
                    <w:sdtContent>
                      <w:r>
                        <w:rPr>
                          <w:rFonts w:eastAsia="Calibri"/>
                          <w:szCs w:val="24"/>
                        </w:rPr>
                        <w:t>1.6</w:t>
                      </w:r>
                    </w:sdtContent>
                  </w:sdt>
                  <w:r>
                    <w:rPr>
                      <w:rFonts w:eastAsia="Calibri"/>
                      <w:szCs w:val="24"/>
                    </w:rPr>
                    <w:t xml:space="preserve">. </w:t>
                  </w:r>
                  <w:r>
                    <w:rPr>
                      <w:rFonts w:eastAsia="Calibri"/>
                      <w:szCs w:val="24"/>
                      <w:lang w:eastAsia="en-GB"/>
                    </w:rPr>
                    <w:t xml:space="preserve">Pakeisti 14 punktą </w:t>
                  </w:r>
                  <w:r>
                    <w:rPr>
                      <w:szCs w:val="24"/>
                    </w:rPr>
                    <w:t>ir jį išdėstyti taip:</w:t>
                  </w:r>
                </w:p>
                <w:sdt>
                  <w:sdtPr>
                    <w:alias w:val="citata"/>
                    <w:tag w:val="part_bb6e13cd170248e6a35447cc764ee0bd"/>
                    <w:lock w:val="sdtLocked"/>
                    <w:richText/>
                  </w:sdtPr>
                  <w:sdtContent>
                    <w:sdt>
                      <w:sdtPr>
                        <w:alias w:val="14 p."/>
                        <w:tag w:val="part_fd594c7f17994e37956f8c185cc53104"/>
                        <w:lock w:val="sdtLocked"/>
                        <w:richText/>
                      </w:sdtPr>
                      <w:sdtContent>
                        <w:p>
                          <w:pPr>
                            <w:ind w:firstLine="1123"/>
                            <w:jc w:val="both"/>
                            <w:rPr>
                              <w:rFonts w:eastAsia="Calibri"/>
                              <w:szCs w:val="24"/>
                            </w:rPr>
                          </w:pPr>
                          <w:r>
                            <w:rPr>
                              <w:szCs w:val="24"/>
                            </w:rPr>
                            <w:t>„</w:t>
                          </w:r>
                          <w:sdt>
                            <w:sdtPr>
                              <w:alias w:val="Numeris"/>
                              <w:tag w:val="nr_fd594c7f17994e37956f8c185cc53104"/>
                              <w:lock w:val="sdtLocked"/>
                              <w:richText/>
                            </w:sdtPr>
                            <w:sdtContent>
                              <w:r>
                                <w:rPr>
                                  <w:rFonts w:eastAsia="Calibri"/>
                                  <w:szCs w:val="24"/>
                                </w:rPr>
                                <w:t>14</w:t>
                              </w:r>
                            </w:sdtContent>
                          </w:sdt>
                          <w:r>
                            <w:rPr>
                              <w:rFonts w:eastAsia="Calibri"/>
                              <w:szCs w:val="24"/>
                            </w:rPr>
                            <w:t>. Išorinio vertinimo grupė vykdo išorinį vertinimą NVŠ teikėjo įstaigoje 1–2 dienas.“.</w:t>
                          </w:r>
                        </w:p>
                      </w:sdtContent>
                    </w:sdt>
                  </w:sdtContent>
                </w:sdt>
              </w:sdtContent>
            </w:sdt>
            <w:sdt>
              <w:sdtPr>
                <w:alias w:val="1.7 pp."/>
                <w:tag w:val="part_a39c0bc6ea924571ad6d9ee6141f5936"/>
                <w:lock w:val="sdtLocked"/>
                <w:richText/>
              </w:sdtPr>
              <w:sdtContent>
                <w:p>
                  <w:pPr>
                    <w:ind w:firstLine="1123"/>
                    <w:jc w:val="both"/>
                    <w:rPr>
                      <w:rFonts w:eastAsia="Calibri"/>
                      <w:szCs w:val="24"/>
                    </w:rPr>
                  </w:pPr>
                  <w:sdt>
                    <w:sdtPr>
                      <w:alias w:val="Numeris"/>
                      <w:tag w:val="nr_a39c0bc6ea924571ad6d9ee6141f5936"/>
                      <w:lock w:val="sdtLocked"/>
                      <w:richText/>
                    </w:sdtPr>
                    <w:sdtContent>
                      <w:r>
                        <w:rPr>
                          <w:rFonts w:eastAsia="Calibri"/>
                          <w:szCs w:val="24"/>
                        </w:rPr>
                        <w:t>1.7</w:t>
                      </w:r>
                    </w:sdtContent>
                  </w:sdt>
                  <w:r>
                    <w:rPr>
                      <w:rFonts w:eastAsia="Calibri"/>
                      <w:szCs w:val="24"/>
                    </w:rPr>
                    <w:t xml:space="preserve">. </w:t>
                  </w:r>
                  <w:r>
                    <w:rPr>
                      <w:rFonts w:eastAsia="Calibri"/>
                      <w:szCs w:val="24"/>
                      <w:lang w:eastAsia="en-GB"/>
                    </w:rPr>
                    <w:t xml:space="preserve">Pakeisti 15 punktą </w:t>
                  </w:r>
                  <w:r>
                    <w:rPr>
                      <w:szCs w:val="24"/>
                    </w:rPr>
                    <w:t>ir jį išdėstyti taip:</w:t>
                  </w:r>
                </w:p>
                <w:sdt>
                  <w:sdtPr>
                    <w:alias w:val="citata"/>
                    <w:tag w:val="part_b5d96baf8f934f0fb334eaad5edcf156"/>
                    <w:lock w:val="sdtLocked"/>
                    <w:richText/>
                  </w:sdtPr>
                  <w:sdtContent>
                    <w:sdt>
                      <w:sdtPr>
                        <w:alias w:val="15 p."/>
                        <w:tag w:val="part_42bccce323784f238a855cc339c2fe5b"/>
                        <w:lock w:val="sdtLocked"/>
                        <w:richText/>
                      </w:sdtPr>
                      <w:sdtContent>
                        <w:p>
                          <w:pPr>
                            <w:ind w:firstLine="1123"/>
                            <w:jc w:val="both"/>
                            <w:rPr>
                              <w:rFonts w:eastAsia="Calibri"/>
                              <w:szCs w:val="24"/>
                            </w:rPr>
                          </w:pPr>
                          <w:r>
                            <w:rPr>
                              <w:rFonts w:eastAsia="Calibri"/>
                              <w:szCs w:val="24"/>
                            </w:rPr>
                            <w:t>„</w:t>
                          </w:r>
                          <w:sdt>
                            <w:sdtPr>
                              <w:alias w:val="Numeris"/>
                              <w:tag w:val="nr_42bccce323784f238a855cc339c2fe5b"/>
                              <w:lock w:val="sdtLocked"/>
                              <w:richText/>
                            </w:sdtPr>
                            <w:sdtContent>
                              <w:r>
                                <w:rPr>
                                  <w:rFonts w:eastAsia="Calibri"/>
                                  <w:szCs w:val="24"/>
                                </w:rPr>
                                <w:t>15</w:t>
                              </w:r>
                            </w:sdtContent>
                          </w:sdt>
                          <w:r>
                            <w:rPr>
                              <w:rFonts w:eastAsia="Calibri"/>
                              <w:szCs w:val="24"/>
                            </w:rPr>
                            <w:t xml:space="preserve">. Išorinio vertinimo metu analizuojami NVŠ teikėjų įsivertinimo ir kiti pateikti dokumentai, vykdomi pokalbiai su vaikais, tėvais (globėjais, rūpintojais), mokytojais, vadovais. Ugdymo proceso stebėjimas rekomenduojamas tuo atveju, jei išorinio vertinimo grupės išvados nesutampa su įstaigos NVŠ veiklos įsivertinimo išvadomis. Sprendimą dėl ugdymo proceso stebėjimo priima išorinio vertinimo grupė. Ugdymo proceso stebėjimo metu surinkti duomenys fiksuojami protokole nurodant stebėjimo tikslą ir rezultatus (išvadas).“. </w:t>
                          </w:r>
                        </w:p>
                      </w:sdtContent>
                    </w:sdt>
                  </w:sdtContent>
                </w:sdt>
              </w:sdtContent>
            </w:sdt>
            <w:sdt>
              <w:sdtPr>
                <w:alias w:val="1.8 pp."/>
                <w:tag w:val="part_a509b559285348ad825171ede28b4534"/>
                <w:lock w:val="sdtLocked"/>
                <w:richText/>
              </w:sdtPr>
              <w:sdtContent>
                <w:p>
                  <w:pPr>
                    <w:ind w:firstLine="1123"/>
                    <w:jc w:val="both"/>
                    <w:rPr>
                      <w:rFonts w:eastAsia="Calibri"/>
                      <w:szCs w:val="24"/>
                    </w:rPr>
                  </w:pPr>
                  <w:sdt>
                    <w:sdtPr>
                      <w:alias w:val="Numeris"/>
                      <w:tag w:val="nr_a509b559285348ad825171ede28b4534"/>
                      <w:lock w:val="sdtLocked"/>
                      <w:richText/>
                    </w:sdtPr>
                    <w:sdtContent>
                      <w:r>
                        <w:rPr>
                          <w:rFonts w:eastAsia="Calibri"/>
                          <w:szCs w:val="24"/>
                        </w:rPr>
                        <w:t>1.8</w:t>
                      </w:r>
                    </w:sdtContent>
                  </w:sdt>
                  <w:r>
                    <w:rPr>
                      <w:rFonts w:eastAsia="Calibri"/>
                      <w:szCs w:val="24"/>
                    </w:rPr>
                    <w:t xml:space="preserve">. </w:t>
                  </w:r>
                  <w:r>
                    <w:rPr>
                      <w:rFonts w:eastAsia="Calibri"/>
                      <w:szCs w:val="24"/>
                      <w:lang w:eastAsia="en-GB"/>
                    </w:rPr>
                    <w:t xml:space="preserve">Pakeisti 16 punktą </w:t>
                  </w:r>
                  <w:r>
                    <w:rPr>
                      <w:szCs w:val="24"/>
                    </w:rPr>
                    <w:t>ir jį išdėstyti taip:</w:t>
                  </w:r>
                </w:p>
                <w:sdt>
                  <w:sdtPr>
                    <w:alias w:val="citata"/>
                    <w:tag w:val="part_4637983e04644803bd118f96d659d846"/>
                    <w:lock w:val="sdtLocked"/>
                    <w:richText/>
                  </w:sdtPr>
                  <w:sdtContent>
                    <w:sdt>
                      <w:sdtPr>
                        <w:alias w:val="16 p."/>
                        <w:tag w:val="part_56bf9bcfb5384e929f6c01e1fc8b2781"/>
                        <w:lock w:val="sdtLocked"/>
                        <w:richText/>
                      </w:sdtPr>
                      <w:sdtContent>
                        <w:p>
                          <w:pPr>
                            <w:ind w:firstLine="1123"/>
                            <w:jc w:val="both"/>
                            <w:rPr>
                              <w:rFonts w:eastAsia="Calibri"/>
                              <w:szCs w:val="24"/>
                              <w:lang w:eastAsia="en-GB"/>
                            </w:rPr>
                          </w:pPr>
                          <w:r>
                            <w:rPr>
                              <w:rFonts w:eastAsia="Calibri"/>
                              <w:szCs w:val="24"/>
                            </w:rPr>
                            <w:t>„</w:t>
                          </w:r>
                          <w:sdt>
                            <w:sdtPr>
                              <w:alias w:val="Numeris"/>
                              <w:tag w:val="nr_56bf9bcfb5384e929f6c01e1fc8b2781"/>
                              <w:lock w:val="sdtLocked"/>
                              <w:richText/>
                            </w:sdtPr>
                            <w:sdtContent>
                              <w:r>
                                <w:rPr>
                                  <w:rFonts w:eastAsia="Calibri"/>
                                  <w:szCs w:val="24"/>
                                  <w:lang w:eastAsia="en-GB"/>
                                </w:rPr>
                                <w:t>16</w:t>
                              </w:r>
                            </w:sdtContent>
                          </w:sdt>
                          <w:r>
                            <w:rPr>
                              <w:rFonts w:eastAsia="Calibri"/>
                              <w:szCs w:val="24"/>
                              <w:lang w:eastAsia="en-GB"/>
                            </w:rPr>
                            <w:t xml:space="preserve">. Išorinio vertinimo grupė per 10 darbo dienų po </w:t>
                          </w:r>
                          <w:r>
                            <w:rPr>
                              <w:rFonts w:eastAsia="Calibri"/>
                              <w:szCs w:val="24"/>
                            </w:rPr>
                            <w:t xml:space="preserve">išorinio vertinimo pateikia NVŠ teikėjui preliminarios išorinio vertinimo ataskaitos ir išvadų projektus, o per 20 darbo dienų NVŠ teikėjui ir Savivaldybės merui arba teisės aktuose nustatytais atvejais jo įgaliotam asmeniui / valstybės tarnautojui – galutinę išorinio vertinimo ataskaitą ir išvadas </w:t>
                          </w:r>
                          <w:r>
                            <w:rPr>
                              <w:rFonts w:eastAsia="Calibri"/>
                              <w:szCs w:val="24"/>
                              <w:lang w:eastAsia="en-GB"/>
                            </w:rPr>
                            <w:t xml:space="preserve">pagal Aprašo 3 priedą.“. </w:t>
                          </w:r>
                        </w:p>
                      </w:sdtContent>
                    </w:sdt>
                  </w:sdtContent>
                </w:sdt>
              </w:sdtContent>
            </w:sdt>
            <w:sdt>
              <w:sdtPr>
                <w:alias w:val="1.9 pp."/>
                <w:tag w:val="part_162e2461d9be435bad40da060e2b1bc5"/>
                <w:lock w:val="sdtLocked"/>
                <w:richText/>
              </w:sdtPr>
              <w:sdtContent>
                <w:p>
                  <w:pPr>
                    <w:ind w:firstLine="1123"/>
                    <w:jc w:val="both"/>
                    <w:rPr>
                      <w:szCs w:val="24"/>
                    </w:rPr>
                  </w:pPr>
                  <w:sdt>
                    <w:sdtPr>
                      <w:alias w:val="Numeris"/>
                      <w:tag w:val="nr_162e2461d9be435bad40da060e2b1bc5"/>
                      <w:lock w:val="sdtLocked"/>
                      <w:richText/>
                    </w:sdtPr>
                    <w:sdtContent>
                      <w:r>
                        <w:rPr>
                          <w:rFonts w:eastAsia="Calibri"/>
                          <w:szCs w:val="24"/>
                          <w:lang w:eastAsia="en-GB"/>
                        </w:rPr>
                        <w:t>1.9</w:t>
                      </w:r>
                    </w:sdtContent>
                  </w:sdt>
                  <w:r>
                    <w:rPr>
                      <w:rFonts w:eastAsia="Calibri"/>
                      <w:szCs w:val="24"/>
                      <w:lang w:eastAsia="en-GB"/>
                    </w:rPr>
                    <w:t xml:space="preserve">. Pakeisti 18 punktą </w:t>
                  </w:r>
                  <w:r>
                    <w:rPr>
                      <w:szCs w:val="24"/>
                    </w:rPr>
                    <w:t>ir jį išdėstyti taip:</w:t>
                  </w:r>
                </w:p>
                <w:sdt>
                  <w:sdtPr>
                    <w:alias w:val="citata"/>
                    <w:tag w:val="part_1c20fe2158044bc58dc670f6333e95aa"/>
                    <w:lock w:val="sdtLocked"/>
                    <w:richText/>
                  </w:sdtPr>
                  <w:sdtContent>
                    <w:sdt>
                      <w:sdtPr>
                        <w:alias w:val="18 p."/>
                        <w:tag w:val="part_0d7ecdea4ad34372bf83cf53d2c600e1"/>
                        <w:lock w:val="sdtLocked"/>
                        <w:richText/>
                      </w:sdtPr>
                      <w:sdtContent>
                        <w:p>
                          <w:pPr>
                            <w:tabs>
                              <w:tab w:val="left" w:pos="0"/>
                            </w:tabs>
                            <w:suppressAutoHyphens/>
                            <w:ind w:firstLine="1092"/>
                            <w:jc w:val="both"/>
                            <w:rPr>
                              <w:rFonts w:eastAsia="Calibri"/>
                              <w:szCs w:val="24"/>
                              <w:lang w:eastAsia="ar-SA"/>
                            </w:rPr>
                          </w:pPr>
                          <w:r>
                            <w:rPr>
                              <w:rFonts w:eastAsia="Calibri"/>
                              <w:szCs w:val="24"/>
                              <w:lang w:eastAsia="ar-SA"/>
                            </w:rPr>
                            <w:t>„</w:t>
                          </w:r>
                          <w:sdt>
                            <w:sdtPr>
                              <w:alias w:val="Numeris"/>
                              <w:tag w:val="nr_0d7ecdea4ad34372bf83cf53d2c600e1"/>
                              <w:lock w:val="sdtLocked"/>
                              <w:richText/>
                            </w:sdtPr>
                            <w:sdtContent>
                              <w:r>
                                <w:rPr>
                                  <w:rFonts w:eastAsia="Calibri"/>
                                  <w:szCs w:val="24"/>
                                  <w:lang w:eastAsia="ar-SA"/>
                                </w:rPr>
                                <w:t>18</w:t>
                              </w:r>
                            </w:sdtContent>
                          </w:sdt>
                          <w:r>
                            <w:rPr>
                              <w:rFonts w:eastAsia="Calibri"/>
                              <w:szCs w:val="24"/>
                              <w:lang w:eastAsia="ar-SA"/>
                            </w:rPr>
                            <w:t xml:space="preserve">. Jeigu NVŠ teikėjo veikla įvertinama neigiamai arba nustatytu laiku NVŠ teikėjas nepateikia </w:t>
                          </w:r>
                          <w:r>
                            <w:rPr>
                              <w:rFonts w:eastAsia="Calibri"/>
                              <w:bCs/>
                              <w:szCs w:val="24"/>
                            </w:rPr>
                            <w:t>Priemonių plano išorinio vertinimo išvadoms įgyvendinti</w:t>
                          </w:r>
                          <w:r>
                            <w:rPr>
                              <w:rFonts w:eastAsia="Calibri"/>
                              <w:szCs w:val="24"/>
                              <w:lang w:eastAsia="ar-SA"/>
                            </w:rPr>
                            <w:t xml:space="preserve">, </w:t>
                          </w:r>
                          <w:r>
                            <w:rPr>
                              <w:rFonts w:eastAsia="Calibri"/>
                              <w:szCs w:val="24"/>
                            </w:rPr>
                            <w:t>Savivaldybės meras arba teisės aktuose nustatytais atvejais jo įgaliotas asmuo / valstybės tarnautojas</w:t>
                          </w:r>
                          <w:r>
                            <w:rPr>
                              <w:rFonts w:eastAsia="Calibri"/>
                              <w:szCs w:val="24"/>
                              <w:lang w:eastAsia="ar-SA"/>
                            </w:rPr>
                            <w:t xml:space="preserve"> teikia siūlymą dėl NVŠ teikėjo finansavimo perspektyvos.“.</w:t>
                          </w:r>
                        </w:p>
                      </w:sdtContent>
                    </w:sdt>
                  </w:sdtContent>
                </w:sdt>
              </w:sdtContent>
            </w:sdt>
            <w:sdt>
              <w:sdtPr>
                <w:alias w:val="1.10 pp."/>
                <w:tag w:val="part_ecf2ba846be94f29b4142378472a041b"/>
                <w:lock w:val="sdtLocked"/>
                <w:richText/>
              </w:sdtPr>
              <w:sdtContent>
                <w:p>
                  <w:pPr>
                    <w:ind w:firstLine="1123"/>
                    <w:jc w:val="both"/>
                    <w:rPr>
                      <w:rFonts w:eastAsia="Calibri"/>
                      <w:szCs w:val="24"/>
                    </w:rPr>
                  </w:pPr>
                  <w:sdt>
                    <w:sdtPr>
                      <w:alias w:val="Numeris"/>
                      <w:tag w:val="nr_ecf2ba846be94f29b4142378472a041b"/>
                      <w:lock w:val="sdtLocked"/>
                      <w:richText/>
                    </w:sdtPr>
                    <w:sdtContent>
                      <w:r>
                        <w:rPr>
                          <w:rFonts w:eastAsia="Calibri"/>
                          <w:szCs w:val="24"/>
                          <w:lang w:eastAsia="en-GB"/>
                        </w:rPr>
                        <w:t>1.10</w:t>
                      </w:r>
                    </w:sdtContent>
                  </w:sdt>
                  <w:r>
                    <w:rPr>
                      <w:rFonts w:eastAsia="Calibri"/>
                      <w:szCs w:val="24"/>
                      <w:lang w:eastAsia="en-GB"/>
                    </w:rPr>
                    <w:t xml:space="preserve">. Pakeisti 20 punktą </w:t>
                  </w:r>
                  <w:r>
                    <w:rPr>
                      <w:szCs w:val="24"/>
                    </w:rPr>
                    <w:t>ir jį išdėstyti taip:</w:t>
                  </w:r>
                </w:p>
                <w:sdt>
                  <w:sdtPr>
                    <w:alias w:val="citata"/>
                    <w:tag w:val="part_2d0c53943c2d46078060261dad68255e"/>
                    <w:lock w:val="sdtLocked"/>
                    <w:richText/>
                  </w:sdtPr>
                  <w:sdtContent>
                    <w:sdt>
                      <w:sdtPr>
                        <w:alias w:val="20 p."/>
                        <w:tag w:val="part_8db6c59a83fd4baa9b9f95fa869eefef"/>
                        <w:lock w:val="sdtLocked"/>
                        <w:richText/>
                      </w:sdtPr>
                      <w:sdtContent>
                        <w:p>
                          <w:pPr>
                            <w:ind w:firstLine="1123"/>
                            <w:jc w:val="both"/>
                            <w:rPr>
                              <w:rFonts w:eastAsia="Calibri"/>
                              <w:szCs w:val="24"/>
                            </w:rPr>
                          </w:pPr>
                          <w:r>
                            <w:rPr>
                              <w:rFonts w:eastAsia="Calibri"/>
                              <w:szCs w:val="24"/>
                            </w:rPr>
                            <w:t>„</w:t>
                          </w:r>
                          <w:sdt>
                            <w:sdtPr>
                              <w:alias w:val="Numeris"/>
                              <w:tag w:val="nr_8db6c59a83fd4baa9b9f95fa869eefef"/>
                              <w:lock w:val="sdtLocked"/>
                              <w:richText/>
                            </w:sdtPr>
                            <w:sdtContent>
                              <w:r>
                                <w:rPr>
                                  <w:rFonts w:eastAsia="Calibri"/>
                                  <w:szCs w:val="24"/>
                                </w:rPr>
                                <w:t>20</w:t>
                              </w:r>
                            </w:sdtContent>
                          </w:sdt>
                          <w:r>
                            <w:rPr>
                              <w:rFonts w:eastAsia="Calibri"/>
                              <w:szCs w:val="24"/>
                            </w:rPr>
                            <w:t>. Už Aprašo įgyvendinimą ir kontrolę yra atsakingas Savivaldybės meras arba teisės aktuose nustatytais atvejais jo įgaliotas asmuo / valstybės tarnautojas.“.</w:t>
                          </w:r>
                        </w:p>
                      </w:sdtContent>
                    </w:sdt>
                  </w:sdtContent>
                </w:sdt>
              </w:sdtContent>
            </w:sdt>
          </w:sdtContent>
        </w:sdt>
        <w:sdt>
          <w:sdtPr>
            <w:alias w:val="2 p."/>
            <w:tag w:val="part_6744e84ac29e42f8a15d0b1318b380ec"/>
            <w:lock w:val="sdtLocked"/>
            <w:richText/>
          </w:sdtPr>
          <w:sdtContent>
            <w:p>
              <w:pPr>
                <w:ind w:firstLine="1123"/>
                <w:jc w:val="both"/>
                <w:rPr>
                  <w:color w:val="FF0000"/>
                  <w:szCs w:val="24"/>
                </w:rPr>
              </w:pPr>
              <w:sdt>
                <w:sdtPr>
                  <w:alias w:val="Numeris"/>
                  <w:tag w:val="nr_6744e84ac29e42f8a15d0b1318b380ec"/>
                  <w:lock w:val="sdtLocked"/>
                  <w:richText/>
                </w:sdtPr>
                <w:sdtContent>
                  <w:r>
                    <w:rPr>
                      <w:rFonts w:eastAsia="Calibri"/>
                      <w:szCs w:val="24"/>
                    </w:rPr>
                    <w:t>2</w:t>
                  </w:r>
                </w:sdtContent>
              </w:sdt>
              <w:r>
                <w:rPr>
                  <w:rFonts w:eastAsia="Calibri"/>
                  <w:szCs w:val="24"/>
                </w:rPr>
                <w:t>. Nustatyti, kad šis sprendimas, išskyrus 3 punktą, įsigalioja 2023 m. balandžio 1 d., o jo nuostatos pradedamos taikyti, kai naujai išrinkta 2023–2027 metų kadencijos Šiaulių miesto savivaldybės taryba susirenka į pirmąjį posėdį.</w:t>
              </w:r>
            </w:p>
          </w:sdtContent>
        </w:sdt>
        <w:sdt>
          <w:sdtPr>
            <w:alias w:val="3 p."/>
            <w:tag w:val="part_184350496e5d426f9b32b3598d97f7c0"/>
            <w:lock w:val="sdtLocked"/>
            <w:richText/>
          </w:sdtPr>
          <w:sdtContent>
            <w:p>
              <w:pPr>
                <w:ind w:firstLine="1123"/>
                <w:jc w:val="both"/>
                <w:rPr>
                  <w:szCs w:val="24"/>
                </w:rPr>
              </w:pPr>
              <w:sdt>
                <w:sdtPr>
                  <w:alias w:val="Numeris"/>
                  <w:tag w:val="nr_184350496e5d426f9b32b3598d97f7c0"/>
                  <w:lock w:val="sdtLocked"/>
                  <w:richText/>
                </w:sdtPr>
                <w:sdtContent>
                  <w:r>
                    <w:rPr>
                      <w:rFonts w:eastAsia="Calibri"/>
                      <w:szCs w:val="24"/>
                    </w:rPr>
                    <w:t>3</w:t>
                  </w:r>
                </w:sdtContent>
              </w:sdt>
              <w:r>
                <w:rPr>
                  <w:rFonts w:eastAsia="Calibri"/>
                  <w:szCs w:val="24"/>
                </w:rPr>
                <w:t xml:space="preserve">. Įpareigoti Šiaulių miesto savivaldybės Tarybos ir mero sekretoriatą, paskelbus 2023–2027  metų kadencijos Šiaulių miesto savivaldybės tarybos susirinkimo datą, pranešti apie tai Teisės aktų registrui.</w:t>
              </w:r>
            </w:p>
            <w:p>
              <w:pPr>
                <w:widowControl w:val="0"/>
                <w:suppressAutoHyphens/>
                <w:spacing w:line="200" w:lineRule="atLeast"/>
                <w:ind w:firstLine="706"/>
                <w:jc w:val="both"/>
                <w:rPr>
                  <w:rFonts w:eastAsia="Andale Sans UI"/>
                  <w:kern w:val="2"/>
                  <w:szCs w:val="24"/>
                  <w:lang w:eastAsia="lt-LT"/>
                </w:rPr>
              </w:pPr>
            </w:p>
            <w:p>
              <w:pPr>
                <w:tabs>
                  <w:tab w:val="left" w:pos="1134"/>
                </w:tabs>
                <w:suppressAutoHyphens/>
                <w:ind w:firstLine="2160"/>
                <w:jc w:val="both"/>
                <w:rPr>
                  <w:b/>
                  <w:sz w:val="20"/>
                  <w:lang w:eastAsia="zh-CN"/>
                </w:rPr>
              </w:pPr>
            </w:p>
            <w:p>
              <w:pPr>
                <w:tabs>
                  <w:tab w:val="left" w:pos="0"/>
                </w:tabs>
                <w:suppressAutoHyphens/>
                <w:jc w:val="both"/>
                <w:rPr>
                  <w:szCs w:val="24"/>
                  <w:lang w:eastAsia="ar-SA"/>
                </w:rPr>
              </w:pPr>
            </w:p>
          </w:sdtContent>
        </w:sdt>
        <w:sdt>
          <w:sdtPr>
            <w:alias w:val="signatura"/>
            <w:tag w:val="part_449252e1cc7b4e3bb6f5b5386f096391"/>
            <w:lock w:val="sdtLocked"/>
            <w:richText/>
          </w:sdtPr>
          <w:sdtContent>
            <w:p>
              <w:pPr>
                <w:suppressAutoHyphens/>
                <w:jc w:val="both"/>
                <w:rPr>
                  <w:szCs w:val="24"/>
                  <w:shd w:val="clear" w:color="auto" w:fill="FFFFFF"/>
                  <w:lang w:eastAsia="ar-SA"/>
                </w:rPr>
              </w:pPr>
              <w:r>
                <w:rPr>
                  <w:szCs w:val="24"/>
                  <w:shd w:val="clear" w:color="auto" w:fill="FFFFFF"/>
                  <w:lang w:eastAsia="ar-SA"/>
                </w:rPr>
                <w:t>Savivaldybės meras</w:t>
                <w:tab/>
                <w:tab/>
                <w:tab/>
                <w:tab/>
                <w:tab/>
                <w:t xml:space="preserve"> </w:t>
              </w:r>
            </w:p>
            <w:p>
              <w:pPr>
                <w:suppressAutoHyphens/>
                <w:jc w:val="both"/>
                <w:rPr>
                  <w:szCs w:val="24"/>
                  <w:shd w:val="clear" w:color="auto" w:fill="FFFFFF"/>
                  <w:lang w:eastAsia="ar-SA"/>
                </w:rPr>
              </w:pPr>
            </w:p>
            <w:p>
              <w:pPr>
                <w:suppressAutoHyphens/>
                <w:jc w:val="both"/>
                <w:rPr>
                  <w:szCs w:val="24"/>
                  <w:shd w:val="clear" w:color="auto" w:fill="FFFFFF"/>
                  <w:lang w:eastAsia="ar-SA"/>
                </w:rPr>
              </w:pPr>
            </w:p>
            <w:p/>
            <w:p>
              <w:pPr>
                <w:spacing w:after="160" w:line="259" w:lineRule="auto"/>
                <w:rPr>
                  <w:rFonts w:ascii="Calibri" w:eastAsia="Calibri" w:hAnsi="Calibri"/>
                  <w:sz w:val="22"/>
                  <w:szCs w:val="22"/>
                </w:rPr>
              </w:pPr>
            </w:p>
            <w:p>
              <w:pPr>
                <w:spacing w:after="160" w:line="259" w:lineRule="auto"/>
                <w:rPr>
                  <w:rFonts w:ascii="Calibri" w:eastAsia="Calibri" w:hAnsi="Calibri"/>
                  <w:sz w:val="22"/>
                  <w:szCs w:val="22"/>
                </w:rPr>
              </w:pPr>
            </w:p>
            <w:p>
              <w:pPr>
                <w:spacing w:after="160" w:line="259" w:lineRule="auto"/>
                <w:rPr>
                  <w:rFonts w:ascii="Calibri" w:eastAsia="Calibri" w:hAnsi="Calibri"/>
                  <w:sz w:val="22"/>
                  <w:szCs w:val="22"/>
                </w:rPr>
              </w:pPr>
            </w:p>
            <w:p>
              <w:pPr>
                <w:spacing w:after="160" w:line="259" w:lineRule="auto"/>
                <w:rPr>
                  <w:rFonts w:ascii="Calibri" w:eastAsia="Calibri" w:hAnsi="Calibri"/>
                  <w:sz w:val="22"/>
                  <w:szCs w:val="22"/>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567" w:footer="72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charset w:val="BA"/>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rFonts w:ascii="Calibri" w:eastAsia="Calibri" w:hAnsi="Calibri"/>
        <w:sz w:val="22"/>
        <w:szCs w:val="22"/>
      </w:rPr>
    </w:pPr>
  </w:p>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01A"/>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35EF37B-D40F-4026-B037-62774CFE17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87401331">
      <w:bodyDiv w:val="1"/>
      <w:marLeft w:val="0"/>
      <w:marRight w:val="0"/>
      <w:marTop w:val="0"/>
      <w:marBottom w:val="0"/>
      <w:divBdr>
        <w:top w:val="none" w:sz="0" w:space="0" w:color="auto"/>
        <w:left w:val="none" w:sz="0" w:space="0" w:color="auto"/>
        <w:bottom w:val="none" w:sz="0" w:space="0" w:color="auto"/>
        <w:right w:val="none" w:sz="0" w:space="0" w:color="auto"/>
      </w:divBdr>
    </w:div>
    <w:div w:id="2082752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b59e70b5c38492c8a683b96c959c190" PartId="3bda798490d742568e3354b8e6857712">
    <Part Type="punktas" Nr="1" Abbr="1 p." DocPartId="b0ad14c11f5046bd8a7dbd03627bb70a" PartId="4f8b3701a02e416f9f53da0d7dfda0e8">
      <Part Type="papunktis" Nr="1.1" Abbr="1.1 pp." DocPartId="76fe02b9a1dc4855b3e682590b078db0" PartId="0d912dd2b5544aada43217aa56ad9134">
        <Part Type="citata" DocPartId="4b0e33894621471f9d1c237dd628e964" PartId="9e3e2d33f7a8425b9bd391e4f12be62f">
          <Part Type="papunktis" Nr="4.2" Abbr="4.2 pp." DocPartId="72112bbcb3834c368bdee4a13618e255" PartId="3fb3048631e940198d75cc1d128f3e60"/>
        </Part>
      </Part>
      <Part Type="papunktis" Nr="1.2" Abbr="1.2 pp." DocPartId="b86b93b66d9e4dcf86bd7a4f0f292344" PartId="2d36b61b27ad401691bba0f9b8b638c9">
        <Part Type="citata" DocPartId="3f5886af594a432fadaa5c14b4d48513" PartId="7d98a6aae37c4f75ac9d6dabf3cd03ee">
          <Part Type="papunktis" Nr="4.4" Abbr="4.4 pp." DocPartId="b67969a5c5924637a2e73d060344efc1" PartId="a1ac9eebb8e144e79425371a26712b0b"/>
        </Part>
      </Part>
      <Part Type="papunktis" Nr="1.3" Abbr="1.3 pp." DocPartId="7827a9618bf44226a31ecd4e07c2bdb7" PartId="52fd058dbc3d4c5782c28c6733eeda4b">
        <Part Type="citata" DocPartId="b3cb73c340ce4b80ad60cf0261c9d988" PartId="ed91a7fab5dd4729b432c9ca4219e173">
          <Part Type="punktas" Nr="13" Abbr="13 p." DocPartId="ab39d01a090044f091088ad0a0b869f1" PartId="4fbd97b717174e1d8b4eb7e09c5e9240"/>
        </Part>
      </Part>
      <Part Type="papunktis" Nr="1.4" Abbr="1.4 pp." DocPartId="732ea8ccade34b6887efc05c8adf3fd7" PartId="63d93d6818fe43129a044aba477031dc">
        <Part Type="citata" DocPartId="dde87a3741a84a1f8151f30a764faa7a" PartId="32ddf93fc75a4e2e848dc1a219694883">
          <Part Type="papunktis" Nr="13.1" Abbr="13.1 pp." DocPartId="5d7485567f044b339fc4c0c458b81708" PartId="29e9ca331e624c07a538eff299d97405"/>
        </Part>
      </Part>
      <Part Type="papunktis" Nr="1.5" Abbr="1.5 pp." DocPartId="15445e5d27f540f8baf6e30ada6ba4f4" PartId="1d7842259a3c442cb3cfecaa337909e8">
        <Part Type="citata" DocPartId="8ddca06db0b64189b785af0ee09d368d" PartId="121cb4a2a3174d188fc3f5ef219f431a">
          <Part Type="papunktis" Nr="13.2" Abbr="13.2 pp." DocPartId="3cbcefb32fe84ef98157cd385bbe642b" PartId="86da3294c546464c91a672c8f6370907"/>
        </Part>
      </Part>
      <Part Type="papunktis" Nr="1.6" Abbr="1.6 pp." DocPartId="c4830691d30d4a4cb4513e0e3130732a" PartId="dc64d5007a874d83bded964987c48cb6">
        <Part Type="citata" DocPartId="9a2e0171c8a74bd6be1c5e9406b1e5ab" PartId="bb6e13cd170248e6a35447cc764ee0bd">
          <Part Type="punktas" Nr="14" Abbr="14 p." DocPartId="443d6a57b3b045109e79eaade9279d9b" PartId="fd594c7f17994e37956f8c185cc53104"/>
        </Part>
      </Part>
      <Part Type="papunktis" Nr="1.7" Abbr="1.7 pp." DocPartId="04b860666a0e40dd8a3435a6ac36c63e" PartId="a39c0bc6ea924571ad6d9ee6141f5936">
        <Part Type="citata" DocPartId="edc82373c94047e9a81f87b133933751" PartId="b5d96baf8f934f0fb334eaad5edcf156">
          <Part Type="punktas" Nr="15" Abbr="15 p." DocPartId="75184ee1557f4b4987e29867677fc178" PartId="42bccce323784f238a855cc339c2fe5b"/>
        </Part>
      </Part>
      <Part Type="papunktis" Nr="1.8" Abbr="1.8 pp." DocPartId="414a7496fa1a4bbfb6743db55ebdb7ed" PartId="a509b559285348ad825171ede28b4534">
        <Part Type="citata" DocPartId="71faadba593849e69c19859adf460395" PartId="4637983e04644803bd118f96d659d846">
          <Part Type="punktas" Nr="16" Abbr="16 p." DocPartId="2d933615d435476eb5baebf526b6ecc6" PartId="56bf9bcfb5384e929f6c01e1fc8b2781"/>
        </Part>
      </Part>
      <Part Type="papunktis" Nr="1.9" Abbr="1.9 pp." DocPartId="c8cfda5a665f4d618c2510ddf0ee4d62" PartId="162e2461d9be435bad40da060e2b1bc5">
        <Part Type="citata" DocPartId="a9d3753e0659411f9c58740d966693d2" PartId="1c20fe2158044bc58dc670f6333e95aa">
          <Part Type="punktas" Nr="18" Abbr="18 p." DocPartId="0bf143f4c4ab41b18bad338e67b28504" PartId="0d7ecdea4ad34372bf83cf53d2c600e1"/>
        </Part>
      </Part>
      <Part Type="papunktis" Nr="1.10" Abbr="1.10 pp." DocPartId="e530541dc02f42299a92e70f6516e37c" PartId="ecf2ba846be94f29b4142378472a041b">
        <Part Type="citata" DocPartId="7bc021e6c7eb4ae5a80de992f14b7244" PartId="2d0c53943c2d46078060261dad68255e">
          <Part Type="punktas" Nr="20" Abbr="20 p." DocPartId="f567f71b4c2e416380c6c4a99bc9321e" PartId="8db6c59a83fd4baa9b9f95fa869eefef"/>
        </Part>
      </Part>
    </Part>
    <Part Type="punktas" Nr="2" Abbr="2 p." DocPartId="239afeeec3e44fe58931805efd688617" PartId="6744e84ac29e42f8a15d0b1318b380ec"/>
    <Part Type="punktas" Nr="3" Abbr="3 p." DocPartId="5426bd47011d491cbc3d38c545f7f55f" PartId="184350496e5d426f9b32b3598d97f7c0"/>
    <Part Type="signatura" DocPartId="dec629a641534cbfb9b200af7d912626" PartId="449252e1cc7b4e3bb6f5b5386f096391"/>
  </Part>
</Parts>
</file>

<file path=customXml/itemProps1.xml><?xml version="1.0" encoding="utf-8"?>
<ds:datastoreItem xmlns:ds="http://schemas.openxmlformats.org/officeDocument/2006/customXml" ds:itemID="{8FA79FAF-D204-4AFB-965E-1AD545E030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692</Words>
  <Characters>4576</Characters>
  <Application>Microsoft Office Word</Application>
  <DocSecurity>4</DocSecurity>
  <Lines>88</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2023-03-09T08:28:00Z</dcterms:created>
  <dc:creator>Simona Čerkesienė</dc:creator>
  <lastModifiedBy>adlibuser</lastModifiedBy>
  <dcterms:modified xsi:type="dcterms:W3CDTF">2023-03-09T08:28:00Z</dcterms:modified>
  <revision>2</revision>
</coreProperties>
</file>