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a14e29831e64fcfb60fd21ab469a936"/>
        <w:lock w:val="sdtLocked"/>
        <w:richText/>
      </w:sdtPr>
      <w:sdtContent>
        <w:p>
          <w:pPr>
            <w:tabs>
              <w:tab w:val="left" w:pos="7005"/>
            </w:tabs>
            <w:ind w:left="360" w:firstLine="9120"/>
            <w:rPr>
              <w:b/>
              <w:bCs/>
              <w:szCs w:val="24"/>
              <w:lang w:eastAsia="lt-LT"/>
            </w:rPr>
          </w:pPr>
          <w:r>
            <w:rPr>
              <w:b/>
              <w:bCs/>
              <w:szCs w:val="24"/>
              <w:lang w:eastAsia="lt-LT"/>
            </w:rPr>
            <w:t>Projektas</w:t>
          </w:r>
        </w:p>
        <w:p>
          <w:pPr>
            <w:tabs>
              <w:tab w:val="center" w:pos="4986"/>
              <w:tab w:val="right" w:pos="9972"/>
            </w:tabs>
            <w:jc w:val="center"/>
            <w:rPr>
              <w:b/>
              <w:szCs w:val="24"/>
            </w:rPr>
          </w:pPr>
          <w:r>
            <w:rPr>
              <w:b/>
              <w:color w:val="0000FF"/>
              <w:szCs w:val="24"/>
            </w:rPr>
            <w:object w:dxaOrig="4620" w:dyaOrig="5445" w14:anchorId="63755E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39pt" o:ole="" fillcolor="window">
                <v:imagedata r:id="rId8" o:title=""/>
              </v:shape>
              <o:OLEObject Type="Embed" ProgID="PBrush" ShapeID="_x0000_i1025" DrawAspect="Content" ObjectID="_1646549794" r:id="rId9"/>
            </w:object>
          </w:r>
        </w:p>
        <w:p>
          <w:pPr>
            <w:jc w:val="center"/>
            <w:rPr>
              <w:b/>
              <w:szCs w:val="24"/>
            </w:rPr>
          </w:pPr>
          <w:r>
            <w:rPr>
              <w:b/>
              <w:szCs w:val="24"/>
            </w:rPr>
            <w:t>LIETUVOS RESPUBLIKOS VIDAUS REIKALŲ MINISTRAS</w:t>
          </w:r>
        </w:p>
        <w:p>
          <w:pPr>
            <w:tabs>
              <w:tab w:val="center" w:pos="4986"/>
              <w:tab w:val="right" w:pos="9972"/>
            </w:tabs>
            <w:jc w:val="center"/>
            <w:rPr>
              <w:szCs w:val="24"/>
              <w:lang w:eastAsia="lt-LT"/>
            </w:rPr>
          </w:pPr>
        </w:p>
        <w:p>
          <w:pPr>
            <w:tabs>
              <w:tab w:val="center" w:pos="4986"/>
              <w:tab w:val="right" w:pos="9972"/>
            </w:tabs>
            <w:jc w:val="center"/>
            <w:rPr>
              <w:b/>
              <w:szCs w:val="24"/>
              <w:lang w:eastAsia="lt-LT"/>
            </w:rPr>
          </w:pPr>
          <w:r>
            <w:rPr>
              <w:b/>
              <w:szCs w:val="24"/>
              <w:lang w:eastAsia="lt-LT"/>
            </w:rPr>
            <w:t>ĮSAKYMAS</w:t>
          </w:r>
        </w:p>
        <w:p>
          <w:pPr>
            <w:tabs>
              <w:tab w:val="center" w:pos="4986"/>
              <w:tab w:val="right" w:pos="9972"/>
            </w:tabs>
            <w:jc w:val="center"/>
            <w:rPr>
              <w:b/>
              <w:szCs w:val="24"/>
              <w:lang w:eastAsia="lt-LT"/>
            </w:rPr>
          </w:pPr>
          <w:r>
            <w:rPr>
              <w:b/>
              <w:szCs w:val="24"/>
              <w:lang w:eastAsia="lt-LT"/>
            </w:rPr>
            <w:t xml:space="preserve">DĖL </w:t>
          </w:r>
          <w:r>
            <w:rPr>
              <w:b/>
              <w:szCs w:val="24"/>
            </w:rPr>
            <w:t xml:space="preserve">VIDAUS REIKALŲ MINISTRO </w:t>
          </w:r>
          <w:r>
            <w:rPr>
              <w:b/>
              <w:bCs/>
              <w:szCs w:val="24"/>
              <w:lang w:eastAsia="lt-LT"/>
            </w:rPr>
            <w:t xml:space="preserve">2016 M. KOVO 21 D. ĮSAKYMO NR. 1V-207 </w:t>
          </w:r>
          <w:r>
            <w:rPr>
              <w:b/>
              <w:szCs w:val="24"/>
              <w:lang w:eastAsia="lt-LT"/>
            </w:rPr>
            <w:t>„DĖL 2014–2020 METŲ EUROPOS SĄJUNGOS FONDŲ INVESTICIJŲ VEIKSMŲ PROGRAMOS 10 PRIORITETO „VISUOMENĖS POREIKIUS ATITINKANTIS IR PAŽANGUS VIEŠASIS VALDYMAS“ NR. 10.1.3-ESFA-V-918 PRIEMONĖS „VIEŠOJO ADMINISTRAVIMO SUBJEKTŲ INICIATYVOS, SKIRTOS PASLAUGŲ IR ASMENŲ APTARNAVIMO KOKYBĖS GERINIMUI“ PROJEKTŲ FINANSAVIMO SĄLYGŲ APRAŠO PATVIRTINIMO“ PAKEITIMO</w:t>
          </w:r>
        </w:p>
        <w:p>
          <w:pPr>
            <w:tabs>
              <w:tab w:val="center" w:pos="4986"/>
              <w:tab w:val="right" w:pos="9972"/>
            </w:tabs>
            <w:jc w:val="center"/>
            <w:rPr>
              <w:szCs w:val="24"/>
              <w:lang w:eastAsia="lt-LT"/>
            </w:rPr>
          </w:pPr>
        </w:p>
        <w:p>
          <w:pPr>
            <w:tabs>
              <w:tab w:val="center" w:pos="4986"/>
              <w:tab w:val="right" w:pos="9972"/>
            </w:tabs>
            <w:jc w:val="center"/>
            <w:rPr>
              <w:szCs w:val="24"/>
              <w:lang w:eastAsia="lt-LT"/>
            </w:rPr>
          </w:pPr>
          <w:r>
            <w:rPr>
              <w:szCs w:val="24"/>
              <w:lang w:eastAsia="lt-LT"/>
            </w:rPr>
            <w:t xml:space="preserve">Nr. </w:t>
          </w:r>
        </w:p>
        <w:p>
          <w:pPr>
            <w:tabs>
              <w:tab w:val="center" w:pos="4819"/>
              <w:tab w:val="center" w:pos="4986"/>
              <w:tab w:val="right" w:pos="9972"/>
            </w:tabs>
            <w:jc w:val="center"/>
            <w:rPr>
              <w:b/>
              <w:szCs w:val="24"/>
              <w:lang w:eastAsia="lt-LT"/>
            </w:rPr>
          </w:pPr>
          <w:r>
            <w:rPr>
              <w:szCs w:val="24"/>
              <w:lang w:eastAsia="lt-LT"/>
            </w:rPr>
            <w:t>Vilnius</w:t>
          </w:r>
        </w:p>
        <w:p>
          <w:pPr>
            <w:tabs>
              <w:tab w:val="center" w:pos="4986"/>
              <w:tab w:val="right" w:pos="9972"/>
            </w:tabs>
            <w:jc w:val="center"/>
            <w:rPr>
              <w:szCs w:val="24"/>
              <w:lang w:eastAsia="lt-LT"/>
            </w:rPr>
          </w:pPr>
        </w:p>
        <w:sdt>
          <w:sdtPr>
            <w:alias w:val="preambule"/>
            <w:tag w:val="part_6ada1a9e8f7d43e0adde65746f798dc8"/>
            <w:lock w:val="sdtLocked"/>
            <w:richText/>
          </w:sdtPr>
          <w:sdtContent>
            <w:p>
              <w:pPr>
                <w:spacing w:line="360" w:lineRule="auto"/>
                <w:ind w:firstLine="720"/>
                <w:jc w:val="both"/>
                <w:rPr>
                  <w:szCs w:val="24"/>
                  <w:lang w:eastAsia="lt-LT"/>
                </w:rPr>
              </w:pPr>
              <w:r>
                <w:rPr>
                  <w:spacing w:val="100"/>
                  <w:szCs w:val="24"/>
                </w:rPr>
                <w:t>Pakeičiu</w:t>
              </w:r>
              <w:r>
                <w:rPr>
                  <w:szCs w:val="24"/>
                </w:rPr>
                <w:t xml:space="preserve"> 2014–2020 metų Europos Sąjungos fondų investicijų veiksmų programos 10 prioriteto „Visuomenės poreikius atitinkantis ir pažangus viešasis valdymas“ </w:t>
                <w:br/>
                <w:t xml:space="preserve">Nr. 10.1.3-ESFA-V-918 priemonės „Viešojo administravimo subjektų iniciatyvos, skirtos paslaugų ir asmenų aptarnavimo kokybės gerinimui“ projektų finansavimo sąlygų aprašą, patvirtintą Lietuvos Respublikos vidaus reikalų ministro 2016 m. kovo 21 d. įsakymu Nr. 1V-207 „Dėl </w:t>
              </w:r>
              <w:r>
                <w:rPr>
                  <w:szCs w:val="24"/>
                  <w:lang w:eastAsia="lt-LT"/>
                </w:rPr>
                <w:t xml:space="preserve">2014–2020 metų Europos Sąjungos fondų investicijų veiksmų programos 10 prioriteto „Visuomenės poreikius atitinkantis ir pažangus viešasis valdymas“ </w:t>
              </w:r>
              <w:r>
                <w:rPr>
                  <w:szCs w:val="24"/>
                </w:rPr>
                <w:t xml:space="preserve">Nr. 10.1.3-ESFA-V-918 priemonės „Viešojo administravimo subjektų iniciatyvos, skirtos paslaugų ir asmenų aptarnavimo kokybės gerinimui“ </w:t>
              </w:r>
              <w:r>
                <w:rPr>
                  <w:szCs w:val="24"/>
                  <w:lang w:eastAsia="lt-LT"/>
                </w:rPr>
                <w:t xml:space="preserve"> projektų finansavimo sąlygų aprašo patvirtinimo“:</w:t>
              </w:r>
            </w:p>
          </w:sdtContent>
        </w:sdt>
        <w:sdt>
          <w:sdtPr>
            <w:alias w:val="1 p."/>
            <w:tag w:val="part_0f9941db643447689ce20f1c0400ac1f"/>
            <w:lock w:val="sdtLocked"/>
            <w:richText/>
          </w:sdtPr>
          <w:sdtContent>
            <w:p>
              <w:pPr>
                <w:suppressAutoHyphens/>
                <w:spacing w:line="360" w:lineRule="auto"/>
                <w:ind w:left="1069" w:hanging="360"/>
                <w:jc w:val="both"/>
                <w:textAlignment w:val="center"/>
                <w:rPr>
                  <w:szCs w:val="24"/>
                </w:rPr>
              </w:pPr>
              <w:sdt>
                <w:sdtPr>
                  <w:alias w:val="Numeris"/>
                  <w:tag w:val="nr_0f9941db643447689ce20f1c0400ac1f"/>
                  <w:lock w:val="sdtLocked"/>
                  <w:richText/>
                </w:sdtPr>
                <w:sdtContent>
                  <w:r>
                    <w:rPr>
                      <w:szCs w:val="24"/>
                    </w:rPr>
                    <w:t>1</w:t>
                  </w:r>
                </w:sdtContent>
              </w:sdt>
              <w:r>
                <w:rPr>
                  <w:szCs w:val="24"/>
                </w:rPr>
                <w:t>.</w:t>
                <w:tab/>
                <w:t>Pakeičiu 2.8 papunktį ir jį išdėstau taip:</w:t>
              </w:r>
            </w:p>
            <w:sdt>
              <w:sdtPr>
                <w:alias w:val="citata"/>
                <w:tag w:val="part_aff070c0ee01404fb2c79c8e19f412e5"/>
                <w:lock w:val="sdtLocked"/>
                <w:richText/>
              </w:sdtPr>
              <w:sdtContent>
                <w:sdt>
                  <w:sdtPr>
                    <w:alias w:val="2.8 pp."/>
                    <w:tag w:val="part_08c4eba45b5347f3bf03f5587bce631b"/>
                    <w:lock w:val="sdtLocked"/>
                    <w:richText/>
                  </w:sdtPr>
                  <w:sdtContent>
                    <w:p>
                      <w:pPr>
                        <w:suppressAutoHyphens/>
                        <w:spacing w:line="360" w:lineRule="auto"/>
                        <w:ind w:firstLine="851"/>
                        <w:jc w:val="both"/>
                        <w:textAlignment w:val="center"/>
                        <w:rPr>
                          <w:szCs w:val="24"/>
                        </w:rPr>
                      </w:pPr>
                      <w:r>
                        <w:rPr>
                          <w:color w:val="000000"/>
                          <w:szCs w:val="24"/>
                          <w:lang w:eastAsia="lt-LT"/>
                        </w:rPr>
                        <w:t>„</w:t>
                      </w:r>
                      <w:sdt>
                        <w:sdtPr>
                          <w:alias w:val="Numeris"/>
                          <w:tag w:val="nr_08c4eba45b5347f3bf03f5587bce631b"/>
                          <w:lock w:val="sdtLocked"/>
                          <w:richText/>
                        </w:sdtPr>
                        <w:sdtContent>
                          <w:r>
                            <w:rPr>
                              <w:color w:val="000000"/>
                              <w:szCs w:val="24"/>
                              <w:lang w:eastAsia="lt-LT"/>
                            </w:rPr>
                            <w:t>2.8</w:t>
                          </w:r>
                        </w:sdtContent>
                      </w:sdt>
                      <w:r>
                        <w:rPr>
                          <w:color w:val="000000"/>
                          <w:szCs w:val="24"/>
                          <w:lang w:eastAsia="lt-LT"/>
                        </w:rPr>
                        <w:t xml:space="preserve">. Viešojo valdymo tobulinimo 2012–2020 metų programos įgyvendinimo 2013–2015 metų veiksmų planą, patvirtintą Lietuvos Respublikos vidaus reikalų ministro 2013 m. gegužės </w:t>
                      </w:r>
                      <w:r>
                        <w:rPr>
                          <w:szCs w:val="24"/>
                          <w:lang w:eastAsia="lt-LT"/>
                        </w:rPr>
                        <w:t>20 d</w:t>
                      </w:r>
                      <w:r>
                        <w:rPr>
                          <w:color w:val="000000"/>
                          <w:szCs w:val="24"/>
                          <w:lang w:eastAsia="lt-LT"/>
                        </w:rPr>
                        <w:t xml:space="preserve">. įsakymu Nr. 1V-438 „Dėl Viešojo valdymo tobulinimo 2012–2020 metų programos įgyvendinimo 2013–2015 metų veiksmų plano patvirtinimo“, (toliau – 2013–2015 metų veiksmų planas), Viešojo valdymo tobulinimo 2012–2020 metų programos įgyvendinimo 2016–2018 metų veiksmų planą, patvirtintą Lietuvos Respublikos vidaus reikalų ministro 2016 m. balandžio 29 d. įsakymu Nr. 1V-329 „Dėl viešojo valdymo tobulinimo 2012–2020 metų programos įgyvendinimo 2016–2018 metų veiksmų plano patvirtinimo“, (toliau – 2016–2018 metų veiksmų planas) ir </w:t>
                      </w:r>
                      <w:r>
                        <w:t>Viešojo valdymo tobulinimo 2012–2020 metų programos įgyvendinimo 2019–2020 metų veiksmų planą, patvirtintą Lietuvos Respublikos vidaus reikalų ministro 2019 m. gegužės 14 d. įsakymu 1V-451 „Dėl Viešojo valdymo tobulinimo 2012–2020 metų programos įgyvendinimo 2019–2020 metų veiksmų plano patvirtinimo“.</w:t>
                      </w:r>
                    </w:p>
                  </w:sdtContent>
                </w:sdt>
                <w:sdt>
                  <w:sdtPr>
                    <w:alias w:val="2 p."/>
                    <w:tag w:val="part_8758fc3b24c543eba9bd89f83967395b"/>
                    <w:lock w:val="sdtLocked"/>
                    <w:richText/>
                  </w:sdtPr>
                  <w:sdtContent>
                    <w:p>
                      <w:pPr>
                        <w:suppressAutoHyphens/>
                        <w:spacing w:line="360" w:lineRule="auto"/>
                        <w:ind w:left="1069" w:hanging="360"/>
                        <w:jc w:val="both"/>
                        <w:textAlignment w:val="center"/>
                        <w:rPr>
                          <w:szCs w:val="24"/>
                        </w:rPr>
                      </w:pPr>
                      <w:sdt>
                        <w:sdtPr>
                          <w:alias w:val="Numeris"/>
                          <w:tag w:val="nr_8758fc3b24c543eba9bd89f83967395b"/>
                          <w:lock w:val="sdtLocked"/>
                          <w:richText/>
                        </w:sdtPr>
                        <w:sdtContent>
                          <w:r>
                            <w:rPr>
                              <w:szCs w:val="24"/>
                            </w:rPr>
                            <w:t>2</w:t>
                          </w:r>
                        </w:sdtContent>
                      </w:sdt>
                      <w:r>
                        <w:rPr>
                          <w:szCs w:val="24"/>
                        </w:rPr>
                        <w:t>.</w:t>
                        <w:tab/>
                        <w:t>Pakeičiu 8 punktą ir jį išdėstau taip:</w:t>
                      </w:r>
                    </w:p>
                    <w:p>
                      <w:pPr>
                        <w:suppressAutoHyphens/>
                        <w:spacing w:line="360" w:lineRule="auto"/>
                        <w:ind w:firstLine="709"/>
                        <w:jc w:val="both"/>
                        <w:textAlignment w:val="center"/>
                        <w:rPr>
                          <w:szCs w:val="24"/>
                        </w:rPr>
                      </w:pPr>
                      <w:r>
                        <w:rPr>
                          <w:color w:val="000000"/>
                          <w:szCs w:val="24"/>
                          <w:lang w:eastAsia="lt-LT"/>
                        </w:rPr>
                        <w:t xml:space="preserve">„8. </w:t>
                      </w:r>
                      <w:r>
                        <w:rPr>
                          <w:szCs w:val="24"/>
                          <w:lang w:eastAsia="lt-LT"/>
                        </w:rPr>
                        <w:t>Pagal Aprašą projektams įgyvendinti numatoma skirti iki 13 448 754 eurų (trylikos milijonų keturių šimtų keturiasdešimt aštuonių tūkstančių septynių šimtų penkiasdešimt keturių eurų), iš kurių iki 11 431 441 euro (vienuolikos milijonų keturių šimtų trisdešimt vieno tūkstančio keturių šimtų keturiasdešimt vieno euro) – Europos socialinio fondo lėšų, iki 2 017 313 eurų (dviejų milijonų septyniolikos tūkstančių trijų šimtų trylikos eurų) – Lietuvos Respublikos valstybės biudžeto lėšų“.</w:t>
                      </w:r>
                      <w:r>
                        <w:t xml:space="preserve"> </w:t>
                      </w:r>
                    </w:p>
                  </w:sdtContent>
                </w:sdt>
              </w:sdtContent>
            </w:sdt>
          </w:sdtContent>
        </w:sdt>
        <w:sdt>
          <w:sdtPr>
            <w:alias w:val="3 p."/>
            <w:tag w:val="part_41a0b187444b44c5be3d9f0a41af6473"/>
            <w:lock w:val="sdtLocked"/>
            <w:richText/>
          </w:sdtPr>
          <w:sdtContent>
            <w:p>
              <w:pPr>
                <w:suppressAutoHyphens/>
                <w:spacing w:line="360" w:lineRule="auto"/>
                <w:ind w:firstLine="709"/>
                <w:jc w:val="both"/>
                <w:textAlignment w:val="center"/>
                <w:rPr>
                  <w:szCs w:val="24"/>
                </w:rPr>
              </w:pPr>
              <w:sdt>
                <w:sdtPr>
                  <w:alias w:val="Numeris"/>
                  <w:tag w:val="nr_41a0b187444b44c5be3d9f0a41af6473"/>
                  <w:lock w:val="sdtLocked"/>
                  <w:richText/>
                </w:sdtPr>
                <w:sdtContent>
                  <w:r>
                    <w:rPr>
                      <w:szCs w:val="24"/>
                    </w:rPr>
                    <w:t>3</w:t>
                  </w:r>
                </w:sdtContent>
              </w:sdt>
              <w:r>
                <w:rPr>
                  <w:szCs w:val="24"/>
                </w:rPr>
                <w:t>. Pakeičiu 10.6 papunktį ir jį išdėstau taip:</w:t>
              </w:r>
            </w:p>
            <w:sdt>
              <w:sdtPr>
                <w:alias w:val="citata"/>
                <w:tag w:val="part_2b718014c59d490a9b29a3fbce51eced"/>
                <w:lock w:val="sdtLocked"/>
                <w:richText/>
              </w:sdtPr>
              <w:sdtContent>
                <w:sdt>
                  <w:sdtPr>
                    <w:alias w:val="10.6 pp."/>
                    <w:tag w:val="part_c01d9cd7ec4c480a9557f6c7cc9c32b7"/>
                    <w:lock w:val="sdtLocked"/>
                    <w:richText/>
                  </w:sdtPr>
                  <w:sdtContent>
                    <w:p>
                      <w:pPr>
                        <w:suppressAutoHyphens/>
                        <w:spacing w:line="360" w:lineRule="auto"/>
                        <w:ind w:firstLine="709"/>
                        <w:jc w:val="both"/>
                        <w:textAlignment w:val="center"/>
                        <w:rPr>
                          <w:szCs w:val="24"/>
                        </w:rPr>
                      </w:pPr>
                      <w:r>
                        <w:rPr>
                          <w:szCs w:val="24"/>
                        </w:rPr>
                        <w:t>„</w:t>
                      </w:r>
                      <w:sdt>
                        <w:sdtPr>
                          <w:alias w:val="Numeris"/>
                          <w:tag w:val="nr_c01d9cd7ec4c480a9557f6c7cc9c32b7"/>
                          <w:lock w:val="sdtLocked"/>
                          <w:richText/>
                        </w:sdtPr>
                        <w:sdtContent>
                          <w:r>
                            <w:rPr>
                              <w:szCs w:val="24"/>
                            </w:rPr>
                            <w:t>10.6</w:t>
                          </w:r>
                        </w:sdtContent>
                      </w:sdt>
                      <w:r>
                        <w:rPr>
                          <w:szCs w:val="24"/>
                        </w:rPr>
                        <w:t xml:space="preserve">. viešojo valdymo institucijų darbuotojų kompetencijų, reikalingų gerinti paslaugų ir (ar) asmenų aptarnavimo kokybę, stiprinimas (mokymo programų rengimas </w:t>
                      </w:r>
                      <w:r>
                        <w:rPr>
                          <w:strike/>
                          <w:szCs w:val="24"/>
                        </w:rPr>
                        <w:t>(</w:t>
                      </w:r>
                      <w:r>
                        <w:rPr>
                          <w:szCs w:val="24"/>
                        </w:rPr>
                        <w:t>remiamas tik tokiu atveju, kai tai reikalinga projekte numatytoms mokymo veikloms vykdyti ir kai esamos mokymo programos neatitinka projekto tikslinės grupės poreikių), mokymas, keitimasis gerąja patirtimi); kompetencijų stiprinimas finansuojamas tiek, kiek tai reikalinga:“.</w:t>
                      </w:r>
                    </w:p>
                  </w:sdtContent>
                </w:sdt>
              </w:sdtContent>
            </w:sdt>
          </w:sdtContent>
        </w:sdt>
        <w:sdt>
          <w:sdtPr>
            <w:alias w:val="4 p."/>
            <w:tag w:val="part_0e0f6bf80bf84a38b837fc5663a8da48"/>
            <w:lock w:val="sdtLocked"/>
            <w:richText/>
          </w:sdtPr>
          <w:sdtContent>
            <w:p>
              <w:pPr>
                <w:suppressAutoHyphens/>
                <w:spacing w:line="360" w:lineRule="auto"/>
                <w:ind w:firstLine="709"/>
                <w:jc w:val="both"/>
                <w:textAlignment w:val="center"/>
                <w:rPr>
                  <w:szCs w:val="24"/>
                </w:rPr>
              </w:pPr>
              <w:sdt>
                <w:sdtPr>
                  <w:alias w:val="Numeris"/>
                  <w:tag w:val="nr_0e0f6bf80bf84a38b837fc5663a8da48"/>
                  <w:lock w:val="sdtLocked"/>
                  <w:richText/>
                </w:sdtPr>
                <w:sdtContent>
                  <w:r>
                    <w:rPr>
                      <w:szCs w:val="24"/>
                    </w:rPr>
                    <w:t>4</w:t>
                  </w:r>
                </w:sdtContent>
              </w:sdt>
              <w:r>
                <w:rPr>
                  <w:szCs w:val="24"/>
                </w:rPr>
                <w:t>. Pakeičiu 19.2 papunktį ir jį išdėstau taip:</w:t>
              </w:r>
            </w:p>
            <w:sdt>
              <w:sdtPr>
                <w:alias w:val="citata"/>
                <w:tag w:val="part_bfa89e54f4dc449b9647fb921b8d5a3f"/>
                <w:lock w:val="sdtLocked"/>
                <w:richText/>
              </w:sdtPr>
              <w:sdtContent>
                <w:sdt>
                  <w:sdtPr>
                    <w:alias w:val="19.2 pp."/>
                    <w:tag w:val="part_6195bdfb5ed549d0bfe0d39383fc77f6"/>
                    <w:lock w:val="sdtLocked"/>
                    <w:richText/>
                  </w:sdtPr>
                  <w:sdtContent>
                    <w:p>
                      <w:pPr>
                        <w:suppressAutoHyphens/>
                        <w:spacing w:line="360" w:lineRule="auto"/>
                        <w:ind w:firstLine="709"/>
                        <w:jc w:val="both"/>
                        <w:textAlignment w:val="center"/>
                      </w:pPr>
                      <w:r>
                        <w:rPr>
                          <w:szCs w:val="24"/>
                        </w:rPr>
                        <w:t>„</w:t>
                      </w:r>
                      <w:sdt>
                        <w:sdtPr>
                          <w:alias w:val="Numeris"/>
                          <w:tag w:val="nr_6195bdfb5ed549d0bfe0d39383fc77f6"/>
                          <w:lock w:val="sdtLocked"/>
                          <w:richText/>
                        </w:sdtPr>
                        <w:sdtContent>
                          <w:r>
                            <w:rPr>
                              <w:rFonts w:eastAsia="Calibri"/>
                              <w:szCs w:val="24"/>
                              <w:lang w:eastAsia="lt-LT"/>
                            </w:rPr>
                            <w:t>19.2</w:t>
                          </w:r>
                        </w:sdtContent>
                      </w:sdt>
                      <w:r>
                        <w:rPr>
                          <w:rFonts w:eastAsia="Calibri"/>
                          <w:szCs w:val="24"/>
                          <w:lang w:eastAsia="lt-LT"/>
                        </w:rPr>
                        <w:t>. bent vieną iš 2016–2018 metų veiksmų plano 2 tikslo „Užtikrinti visuomenės poreikius atitinkančių paslaugų teikimą“ 2.1 uždavinio „Gerinti asmenų aptarnavimo viešojo valdymo institucijose kokybę ir didinti teikiamų paslaugų prieinamumą visuomenei“ 2.1.1 priemonės „Užtikrinti asmenų aptarnavimo kokybę – taikyti vieno langelio principą“ įgyvendinimo veiksmų; laikoma, kad projektas atitinka šį specialiųjų projektų atrankos kriterijų, jei projektas (projekto tikslas, projekto pareiškėjas, projektui prašoma skirti lėšų suma ir finansavimo šaltinis) atitinka bent vieną iš 2.1.1 priemonės „Užtikrinti asmenų aptarnavimo kokybę – taikyti vieno langelio principą“ įgyvendinimo veiksmų, pateiktą informaciją apie projekto tikslą, įgyvendinančią instituciją, lėšų sumą, reikalingą projekto vykdymui (laikoma, kad šį reikalavimą atitinka, jeigu projektui prašoma skirti lėšų suma neviršija 2016–2018 metų veiksmų plane konkrečiam veiksmui įgyvendinti numatytos lėšų sumos), ir finansavimo šaltinį, arba“.</w:t>
                      </w:r>
                      <w:r>
                        <w:t xml:space="preserve"> </w:t>
                      </w:r>
                    </w:p>
                  </w:sdtContent>
                </w:sdt>
              </w:sdtContent>
            </w:sdt>
          </w:sdtContent>
        </w:sdt>
        <w:sdt>
          <w:sdtPr>
            <w:alias w:val="5 p."/>
            <w:tag w:val="part_65822813fb0140cebf0b4fcf7481c138"/>
            <w:lock w:val="sdtLocked"/>
            <w:richText/>
          </w:sdtPr>
          <w:sdtContent>
            <w:p>
              <w:pPr>
                <w:spacing w:line="360" w:lineRule="auto"/>
                <w:ind w:firstLine="851"/>
                <w:jc w:val="both"/>
                <w:rPr>
                  <w:szCs w:val="24"/>
                </w:rPr>
              </w:pPr>
              <w:sdt>
                <w:sdtPr>
                  <w:alias w:val="Numeris"/>
                  <w:tag w:val="nr_65822813fb0140cebf0b4fcf7481c138"/>
                  <w:lock w:val="sdtLocked"/>
                  <w:richText/>
                </w:sdtPr>
                <w:sdtContent>
                  <w:r>
                    <w:rPr>
                      <w:szCs w:val="24"/>
                    </w:rPr>
                    <w:t>5</w:t>
                  </w:r>
                </w:sdtContent>
              </w:sdt>
              <w:r>
                <w:rPr>
                  <w:szCs w:val="24"/>
                </w:rPr>
                <w:t>. Papildau nauju 19.3 papunkčiu:</w:t>
              </w:r>
            </w:p>
            <w:sdt>
              <w:sdtPr>
                <w:alias w:val="citata"/>
                <w:tag w:val="part_f64f713b4ec34d29846c35276d8f4047"/>
                <w:lock w:val="sdtLocked"/>
                <w:richText/>
              </w:sdtPr>
              <w:sdtContent>
                <w:sdt>
                  <w:sdtPr>
                    <w:alias w:val="9.3 pp."/>
                    <w:tag w:val="part_39c40d75dc594da2804f5c1dd217b86b"/>
                    <w:lock w:val="sdtLocked"/>
                    <w:richText/>
                  </w:sdtPr>
                  <w:sdtContent>
                    <w:p>
                      <w:pPr>
                        <w:spacing w:line="360" w:lineRule="auto"/>
                        <w:ind w:firstLine="851"/>
                        <w:jc w:val="both"/>
                        <w:rPr>
                          <w:bCs/>
                        </w:rPr>
                      </w:pPr>
                      <w:r>
                        <w:rPr>
                          <w:szCs w:val="24"/>
                        </w:rPr>
                        <w:t>„</w:t>
                      </w:r>
                      <w:sdt>
                        <w:sdtPr>
                          <w:alias w:val="Numeris"/>
                          <w:tag w:val="nr_39c40d75dc594da2804f5c1dd217b86b"/>
                          <w:lock w:val="sdtLocked"/>
                          <w:richText/>
                        </w:sdtPr>
                        <w:sdtContent>
                          <w:r>
                            <w:rPr>
                              <w:szCs w:val="24"/>
                            </w:rPr>
                            <w:t>9.3</w:t>
                          </w:r>
                        </w:sdtContent>
                      </w:sdt>
                      <w:r>
                        <w:rPr>
                          <w:szCs w:val="24"/>
                        </w:rPr>
                        <w:t xml:space="preserve">. </w:t>
                      </w:r>
                      <w:r>
                        <w:rPr>
                          <w:bCs/>
                        </w:rPr>
                        <w:t xml:space="preserve">bent vieno iš Viešojo valdymo tobulinimo 2012–2020 metų programos įgyvendinimo 2019–2020 metų veiksmų plano </w:t>
                      </w:r>
                      <w:r>
                        <w:rPr>
                          <w:bCs/>
                          <w:sz w:val="23"/>
                          <w:szCs w:val="23"/>
                        </w:rPr>
                        <w:t>(toliau – 2019–2020 metų veiksmų planas)</w:t>
                      </w:r>
                      <w:r>
                        <w:rPr>
                          <w:bCs/>
                        </w:rPr>
                        <w:t xml:space="preserve"> </w:t>
                      </w:r>
                      <w:r>
                        <w:rPr>
                          <w:bCs/>
                          <w:sz w:val="23"/>
                          <w:szCs w:val="23"/>
                        </w:rPr>
                        <w:t>2 tikslo „Užtikrinti visuomenės poreikius atitinkančių paslaugų teikimą“ 2.1 uždavinio „Gerinti asmenų aptarnavimo viešojo valdymo institucijose kokybę ir didinti teikiamų paslaugų prieinamumą visuomenei“ 2.1.1 priemonės „Užtikrinti asmenų aptarnavimo kokybę – taikyti vieno langelio principą“ įgyvendinimo veiksmų</w:t>
                      </w:r>
                      <w:r>
                        <w:rPr>
                          <w:bCs/>
                        </w:rPr>
                        <w:t xml:space="preserve">, pateiktą informaciją apie projekto tikslą, įgyvendinančią instituciją, lėšų sumą, reikalingą projektui vykdyti (laikoma, kad šį reikalavimą atitinka, jeigu projektui prašoma skirti lėšų suma neviršija </w:t>
                      </w:r>
                      <w:r>
                        <w:rPr>
                          <w:bCs/>
                          <w:sz w:val="23"/>
                          <w:szCs w:val="23"/>
                        </w:rPr>
                        <w:t xml:space="preserve">2019–2020 metų veiksmų plane </w:t>
                      </w:r>
                      <w:r>
                        <w:rPr>
                          <w:bCs/>
                        </w:rPr>
                        <w:t>konkrečiam veiksmui įgyvendinti numatytos lėšų sumos) ir finansavimo šaltinį „2014–2020 m. Europos Sąjungos fondų investicijų veiksmų programos prioriteto „Visuomenės poreikius atitinkantis ir pažangus viešasis valdymas“ priemonei 10.1.3-ESFA-V-918 Viešojo administravimo subjektų iniciatyvos, skirtos paslaugų ir asmenų aptarnavimo kokybei gerinti“ skirtos lėšos.“</w:t>
                      </w:r>
                    </w:p>
                  </w:sdtContent>
                </w:sdt>
              </w:sdtContent>
            </w:sdt>
          </w:sdtContent>
        </w:sdt>
        <w:sdt>
          <w:sdtPr>
            <w:alias w:val="6 p."/>
            <w:tag w:val="part_991649103aef466a825b926def528062"/>
            <w:lock w:val="sdtLocked"/>
            <w:richText/>
          </w:sdtPr>
          <w:sdtContent>
            <w:p>
              <w:pPr>
                <w:spacing w:line="360" w:lineRule="auto"/>
                <w:ind w:firstLine="851"/>
                <w:jc w:val="both"/>
                <w:rPr>
                  <w:szCs w:val="24"/>
                </w:rPr>
              </w:pPr>
              <w:sdt>
                <w:sdtPr>
                  <w:alias w:val="Numeris"/>
                  <w:tag w:val="nr_991649103aef466a825b926def528062"/>
                  <w:lock w:val="sdtLocked"/>
                  <w:richText/>
                </w:sdtPr>
                <w:sdtContent>
                  <w:r>
                    <w:rPr>
                      <w:bCs/>
                    </w:rPr>
                    <w:t>6</w:t>
                  </w:r>
                </w:sdtContent>
              </w:sdt>
              <w:r>
                <w:rPr>
                  <w:bCs/>
                </w:rPr>
                <w:t xml:space="preserve">. </w:t>
              </w:r>
              <w:r>
                <w:rPr>
                  <w:szCs w:val="24"/>
                </w:rPr>
                <w:t xml:space="preserve">Pakeičiu 27.1.2 papunktį  ir jį išdėstau taip:</w:t>
              </w:r>
            </w:p>
            <w:sdt>
              <w:sdtPr>
                <w:alias w:val="citata"/>
                <w:tag w:val="part_96ef380a3f2949cf8f9cc3abe6f8edf5"/>
                <w:lock w:val="sdtLocked"/>
                <w:richText/>
              </w:sdtPr>
              <w:sdtContent>
                <w:sdt>
                  <w:sdtPr>
                    <w:alias w:val="27.1.2 pp."/>
                    <w:tag w:val="part_71aa20062e7f48dc942419cdff49444b"/>
                    <w:lock w:val="sdtLocked"/>
                    <w:richText/>
                  </w:sdtPr>
                  <w:sdtContent>
                    <w:p>
                      <w:pPr>
                        <w:spacing w:line="360" w:lineRule="auto"/>
                        <w:ind w:firstLine="851"/>
                        <w:jc w:val="both"/>
                        <w:rPr>
                          <w:szCs w:val="24"/>
                        </w:rPr>
                      </w:pPr>
                      <w:r>
                        <w:rPr>
                          <w:szCs w:val="24"/>
                        </w:rPr>
                        <w:t>„</w:t>
                      </w:r>
                      <w:sdt>
                        <w:sdtPr>
                          <w:alias w:val="Numeris"/>
                          <w:tag w:val="nr_71aa20062e7f48dc942419cdff49444b"/>
                          <w:lock w:val="sdtLocked"/>
                          <w:richText/>
                        </w:sdtPr>
                        <w:sdtContent>
                          <w:r>
                            <w:rPr>
                              <w:szCs w:val="24"/>
                            </w:rPr>
                            <w:t>27.1.2</w:t>
                          </w:r>
                        </w:sdtContent>
                      </w:sdt>
                      <w:r>
                        <w:rPr>
                          <w:szCs w:val="24"/>
                        </w:rPr>
                        <w:t>. pateikti investicijų projektą, kuris rengiamas vadovaujantis Aprašo 27.1.1.2 papunkčiu, vertinti Informacinės visuomenės plėtros komitetui (toliau – IVPK) pagal Lietuvos Respublikos Vyriausybės 2015 m. gegužės 13 d. nutarimo Nr. 498 „Dėl valstybės informacinių technologijų infrastruktūros konsolidavimo ir jos valdymo optimizavimo“ (toliau – Nutarimas Nr. 498);“.</w:t>
                      </w:r>
                    </w:p>
                  </w:sdtContent>
                </w:sdt>
              </w:sdtContent>
            </w:sdt>
          </w:sdtContent>
        </w:sdt>
        <w:sdt>
          <w:sdtPr>
            <w:alias w:val="7 p."/>
            <w:tag w:val="part_b86646cb51604c28b8ffd484c321ddfd"/>
            <w:lock w:val="sdtLocked"/>
            <w:richText/>
          </w:sdtPr>
          <w:sdtContent>
            <w:p>
              <w:pPr>
                <w:spacing w:line="360" w:lineRule="auto"/>
                <w:ind w:firstLine="851"/>
                <w:jc w:val="both"/>
                <w:rPr>
                  <w:szCs w:val="24"/>
                </w:rPr>
              </w:pPr>
              <w:sdt>
                <w:sdtPr>
                  <w:alias w:val="Numeris"/>
                  <w:tag w:val="nr_b86646cb51604c28b8ffd484c321ddfd"/>
                  <w:lock w:val="sdtLocked"/>
                  <w:richText/>
                </w:sdtPr>
                <w:sdtContent>
                  <w:r>
                    <w:rPr>
                      <w:szCs w:val="24"/>
                    </w:rPr>
                    <w:t>7</w:t>
                  </w:r>
                </w:sdtContent>
              </w:sdt>
              <w:r>
                <w:rPr>
                  <w:szCs w:val="24"/>
                </w:rPr>
                <w:t>. Pakeičiu 28 punktą ir jį išdėstau taip:</w:t>
              </w:r>
            </w:p>
            <w:sdt>
              <w:sdtPr>
                <w:alias w:val="citata"/>
                <w:tag w:val="part_6f0e5882f2d64b04b802cd5f798bb549"/>
                <w:lock w:val="sdtLocked"/>
                <w:richText/>
              </w:sdtPr>
              <w:sdtContent>
                <w:sdt>
                  <w:sdtPr>
                    <w:alias w:val="28 p."/>
                    <w:tag w:val="part_3d23703905fa47f5862e5802f1abfa51"/>
                    <w:lock w:val="sdtLocked"/>
                    <w:richText/>
                  </w:sdtPr>
                  <w:sdtContent>
                    <w:p>
                      <w:pPr>
                        <w:spacing w:line="360" w:lineRule="auto"/>
                        <w:ind w:firstLine="851"/>
                        <w:jc w:val="both"/>
                        <w:rPr>
                          <w:rFonts w:eastAsia="Calibri"/>
                          <w:szCs w:val="24"/>
                          <w:lang w:eastAsia="lt-LT"/>
                        </w:rPr>
                      </w:pPr>
                      <w:r>
                        <w:rPr>
                          <w:color w:val="000000"/>
                          <w:szCs w:val="24"/>
                          <w:lang w:eastAsia="lt-LT"/>
                        </w:rPr>
                        <w:t>„</w:t>
                      </w:r>
                      <w:sdt>
                        <w:sdtPr>
                          <w:alias w:val="Numeris"/>
                          <w:tag w:val="nr_3d23703905fa47f5862e5802f1abfa51"/>
                          <w:lock w:val="sdtLocked"/>
                          <w:richText/>
                        </w:sdtPr>
                        <w:sdtContent>
                          <w:r>
                            <w:rPr>
                              <w:color w:val="000000"/>
                              <w:szCs w:val="24"/>
                              <w:lang w:eastAsia="lt-LT"/>
                            </w:rPr>
                            <w:t>28</w:t>
                          </w:r>
                        </w:sdtContent>
                      </w:sdt>
                      <w:r>
                        <w:rPr>
                          <w:color w:val="000000"/>
                          <w:szCs w:val="24"/>
                          <w:lang w:eastAsia="lt-LT"/>
                        </w:rPr>
                        <w:t>.</w:t>
                      </w:r>
                      <w:r>
                        <w:rPr>
                          <w:rFonts w:eastAsia="Calibri"/>
                          <w:szCs w:val="24"/>
                          <w:lang w:eastAsia="lt-LT"/>
                        </w:rPr>
                        <w:t xml:space="preserve"> Investicijų projektas rengiamas vadovaujantis Investicijų projektų metodika, kuri skelbiama interneto svetainėje www.esinvesticijos.lt, ir šiais reikalavimais: </w:t>
                      </w:r>
                    </w:p>
                    <w:sdt>
                      <w:sdtPr>
                        <w:alias w:val="28.1 pp."/>
                        <w:tag w:val="part_c30b66fd3c7743fcaf8627efd8c75b81"/>
                        <w:lock w:val="sdtLocked"/>
                        <w:richText/>
                      </w:sdtPr>
                      <w:sdtContent>
                        <w:p>
                          <w:pPr>
                            <w:spacing w:line="360" w:lineRule="auto"/>
                            <w:ind w:firstLine="851"/>
                            <w:jc w:val="both"/>
                            <w:rPr>
                              <w:color w:val="000000"/>
                              <w:szCs w:val="24"/>
                              <w:lang w:eastAsia="lt-LT"/>
                            </w:rPr>
                          </w:pPr>
                          <w:sdt>
                            <w:sdtPr>
                              <w:alias w:val="Numeris"/>
                              <w:tag w:val="nr_c30b66fd3c7743fcaf8627efd8c75b81"/>
                              <w:lock w:val="sdtLocked"/>
                              <w:richText/>
                            </w:sdtPr>
                            <w:sdtContent>
                              <w:r>
                                <w:rPr>
                                  <w:rFonts w:eastAsia="Calibri"/>
                                  <w:szCs w:val="24"/>
                                  <w:lang w:eastAsia="lt-LT"/>
                                </w:rPr>
                                <w:t>28.1</w:t>
                              </w:r>
                            </w:sdtContent>
                          </w:sdt>
                          <w:r>
                            <w:rPr>
                              <w:rFonts w:eastAsia="Calibri"/>
                              <w:szCs w:val="24"/>
                              <w:lang w:eastAsia="lt-LT"/>
                            </w:rPr>
                            <w:t xml:space="preserve">. </w:t>
                          </w:r>
                          <w:r>
                            <w:rPr>
                              <w:color w:val="000000"/>
                              <w:szCs w:val="24"/>
                              <w:lang w:eastAsia="lt-LT"/>
                            </w:rPr>
                            <w:t>projekto įgyvendinimo alternatyvų analizė investicijų projekte turi būti atlikta taikant sąnaudų naudos analizės metodą (SNA) ir (ar) sąnaudų veiksmingumo analizės (SVA) metodą; investicijų projekte turi būti pagrįsta projekto įgyvendinimo alternatyvų analizės pasirinkto metodo atitiktis Investicijų projektų rengimo metodikos</w:t>
                          </w:r>
                          <w:r>
                            <w:rPr>
                              <w:b/>
                              <w:color w:val="000000"/>
                              <w:szCs w:val="24"/>
                              <w:lang w:eastAsia="lt-LT"/>
                            </w:rPr>
                            <w:t xml:space="preserve"> </w:t>
                          </w:r>
                          <w:r>
                            <w:rPr>
                              <w:color w:val="000000"/>
                              <w:szCs w:val="24"/>
                              <w:lang w:eastAsia="lt-LT"/>
                            </w:rPr>
                            <w:t>nuostatoms;</w:t>
                          </w:r>
                        </w:p>
                      </w:sdtContent>
                    </w:sdt>
                    <w:sdt>
                      <w:sdtPr>
                        <w:alias w:val="28.2 pp."/>
                        <w:tag w:val="part_8339b8d57fe34c2ba2535e3a4338dce5"/>
                        <w:lock w:val="sdtLocked"/>
                        <w:richText/>
                      </w:sdtPr>
                      <w:sdtContent>
                        <w:p>
                          <w:pPr>
                            <w:spacing w:line="360" w:lineRule="auto"/>
                            <w:ind w:firstLine="851"/>
                            <w:jc w:val="both"/>
                            <w:rPr>
                              <w:rFonts w:eastAsia="Calibri"/>
                              <w:szCs w:val="24"/>
                              <w:lang w:eastAsia="lt-LT"/>
                            </w:rPr>
                          </w:pPr>
                          <w:sdt>
                            <w:sdtPr>
                              <w:alias w:val="Numeris"/>
                              <w:tag w:val="nr_8339b8d57fe34c2ba2535e3a4338dce5"/>
                              <w:lock w:val="sdtLocked"/>
                              <w:richText/>
                            </w:sdtPr>
                            <w:sdtContent>
                              <w:r>
                                <w:rPr>
                                  <w:rFonts w:eastAsia="Calibri"/>
                                  <w:szCs w:val="24"/>
                                  <w:lang w:eastAsia="lt-LT"/>
                                </w:rPr>
                                <w:t>28.2</w:t>
                              </w:r>
                            </w:sdtContent>
                          </w:sdt>
                          <w:r>
                            <w:rPr>
                              <w:rFonts w:eastAsia="Calibri"/>
                              <w:szCs w:val="24"/>
                              <w:lang w:eastAsia="lt-LT"/>
                            </w:rPr>
                            <w:t>. jeigu Aprašo 28.1 papunktyje numatytos išnagrinėti ir palyginti projekto įgyvendinimo alternatyvos neleidžia objektyviai įvertinti visų realių projekto įgyvendinimo galimybių, pareiškėjas turi investicijų projekto aprašomojoje dalyje pateikti pagrindimą, kodėl šios alternatyvos yra nepakankamos ir papildomai suformuluoti ir išnagrinėti naują (papildomą) projekto alternatyvą, kuri leistų įsitikinti, kad planuojamas įgyvendinti projektas yra geriausia problemos (-ų) sprendimo alternatyva;</w:t>
                          </w:r>
                        </w:p>
                      </w:sdtContent>
                    </w:sdt>
                    <w:sdt>
                      <w:sdtPr>
                        <w:alias w:val="28.3 pp."/>
                        <w:tag w:val="part_e3dcab2be6004d139f9229774fa60814"/>
                        <w:lock w:val="sdtLocked"/>
                        <w:richText/>
                      </w:sdtPr>
                      <w:sdtContent>
                        <w:p>
                          <w:pPr>
                            <w:spacing w:line="360" w:lineRule="auto"/>
                            <w:ind w:firstLine="851"/>
                            <w:jc w:val="both"/>
                            <w:rPr>
                              <w:rFonts w:eastAsia="Calibri"/>
                              <w:szCs w:val="24"/>
                              <w:lang w:eastAsia="lt-LT"/>
                            </w:rPr>
                          </w:pPr>
                          <w:sdt>
                            <w:sdtPr>
                              <w:alias w:val="Numeris"/>
                              <w:tag w:val="nr_e3dcab2be6004d139f9229774fa60814"/>
                              <w:lock w:val="sdtLocked"/>
                              <w:richText/>
                            </w:sdtPr>
                            <w:sdtContent>
                              <w:r>
                                <w:rPr>
                                  <w:rFonts w:eastAsia="Calibri"/>
                                  <w:szCs w:val="24"/>
                                  <w:lang w:eastAsia="lt-LT"/>
                                </w:rPr>
                                <w:t>28.3</w:t>
                              </w:r>
                            </w:sdtContent>
                          </w:sdt>
                          <w:r>
                            <w:rPr>
                              <w:rFonts w:eastAsia="Calibri"/>
                              <w:szCs w:val="24"/>
                              <w:lang w:eastAsia="lt-LT"/>
                            </w:rPr>
                            <w:t xml:space="preserve">. </w:t>
                          </w:r>
                          <w:r>
                            <w:rPr>
                              <w:color w:val="000000"/>
                              <w:szCs w:val="24"/>
                              <w:lang w:eastAsia="lt-LT"/>
                            </w:rPr>
                            <w:t xml:space="preserve">investicijų projekto įgyvendinimo alternatyvų analizės duomenys turi būti apibendrinti užpildant Investicijų projektų rengimo metodikos 10 priede nustatytą </w:t>
                          </w:r>
                          <w:r>
                            <w:rPr>
                              <w:color w:val="000000"/>
                              <w:szCs w:val="24"/>
                            </w:rPr>
                            <w:t>Investicijų projektų skaičiuoklę</w:t>
                          </w:r>
                          <w:r>
                            <w:rPr>
                              <w:color w:val="000000"/>
                              <w:szCs w:val="24"/>
                              <w:lang w:eastAsia="lt-LT"/>
                            </w:rPr>
                            <w:t>;</w:t>
                          </w:r>
                        </w:p>
                      </w:sdtContent>
                    </w:sdt>
                    <w:sdt>
                      <w:sdtPr>
                        <w:alias w:val="28.4 pp."/>
                        <w:tag w:val="part_839f2fc5084745ce9846ba790d874a8c"/>
                        <w:lock w:val="sdtLocked"/>
                        <w:richText/>
                      </w:sdtPr>
                      <w:sdtContent>
                        <w:p>
                          <w:pPr>
                            <w:suppressAutoHyphens/>
                            <w:spacing w:line="360" w:lineRule="auto"/>
                            <w:ind w:firstLine="851"/>
                            <w:jc w:val="both"/>
                            <w:textAlignment w:val="center"/>
                          </w:pPr>
                          <w:sdt>
                            <w:sdtPr>
                              <w:alias w:val="Numeris"/>
                              <w:tag w:val="nr_839f2fc5084745ce9846ba790d874a8c"/>
                              <w:lock w:val="sdtLocked"/>
                              <w:richText/>
                            </w:sdtPr>
                            <w:sdtContent>
                              <w:r>
                                <w:rPr>
                                  <w:rFonts w:eastAsia="Calibri"/>
                                  <w:szCs w:val="24"/>
                                  <w:lang w:eastAsia="lt-LT"/>
                                </w:rPr>
                                <w:t>28.4</w:t>
                              </w:r>
                            </w:sdtContent>
                          </w:sdt>
                          <w:r>
                            <w:rPr>
                              <w:rFonts w:eastAsia="Calibri"/>
                              <w:szCs w:val="24"/>
                              <w:lang w:eastAsia="lt-LT"/>
                            </w:rPr>
                            <w:t>. kai rengiamas projektas, kuriam įgyvendinti planuojamos investicijos į IS ir (arba) registrų kūrimą ar modernizavimą, papildomai investicijų projekte turi būti pateikta informacija, atsižvelgiant į Informacinės sistemos gyvavimo ciklo valdymo metodikos, patvirtintos Informacinės visuomenės plėtros komiteto prie Susisiekimo ministerijos direktoriaus 2014 m. vasario 25 d. įsakymu Nr. T-29 „Dėl Valstybės informacinės sistemos gyvavimo ciklo</w:t>
                          </w:r>
                          <w:r>
                            <w:rPr>
                              <w:sz w:val="22"/>
                              <w:szCs w:val="22"/>
                              <w:lang w:eastAsia="lt-LT"/>
                            </w:rPr>
                            <w:t xml:space="preserve"> </w:t>
                          </w:r>
                          <w:r>
                            <w:rPr>
                              <w:rFonts w:eastAsia="Calibri"/>
                              <w:szCs w:val="24"/>
                              <w:lang w:eastAsia="lt-LT"/>
                            </w:rPr>
                            <w:t>valdymo metodikos patvirtinimo“, 3 priede nustatytus Galimybių studijos rengimo reikalavimus.</w:t>
                          </w:r>
                          <w:r>
                            <w:t>“</w:t>
                          </w:r>
                        </w:p>
                      </w:sdtContent>
                    </w:sdt>
                  </w:sdtContent>
                </w:sdt>
              </w:sdtContent>
            </w:sdt>
          </w:sdtContent>
        </w:sdt>
        <w:sdt>
          <w:sdtPr>
            <w:alias w:val="8 p."/>
            <w:tag w:val="part_bd28060c2030418ba36efc44083d59cf"/>
            <w:lock w:val="sdtLocked"/>
            <w:richText/>
          </w:sdtPr>
          <w:sdtContent>
            <w:p>
              <w:pPr>
                <w:suppressAutoHyphens/>
                <w:spacing w:line="360" w:lineRule="auto"/>
                <w:ind w:firstLine="851"/>
                <w:jc w:val="both"/>
                <w:textAlignment w:val="center"/>
              </w:pPr>
              <w:sdt>
                <w:sdtPr>
                  <w:alias w:val="Numeris"/>
                  <w:tag w:val="nr_bd28060c2030418ba36efc44083d59cf"/>
                  <w:lock w:val="sdtLocked"/>
                  <w:richText/>
                </w:sdtPr>
                <w:sdtContent>
                  <w:r>
                    <w:t>8</w:t>
                  </w:r>
                </w:sdtContent>
              </w:sdt>
              <w:r>
                <w:t>. Pripažįstu netekusiu galios 29 punktą.</w:t>
              </w:r>
            </w:p>
          </w:sdtContent>
        </w:sdt>
        <w:sdt>
          <w:sdtPr>
            <w:alias w:val="9 p."/>
            <w:tag w:val="part_a9ad00b6a5c949ae941d4ccc50c8471b"/>
            <w:lock w:val="sdtLocked"/>
            <w:richText/>
          </w:sdtPr>
          <w:sdtContent>
            <w:p>
              <w:pPr>
                <w:spacing w:line="360" w:lineRule="auto"/>
                <w:ind w:firstLine="851"/>
                <w:jc w:val="both"/>
                <w:rPr>
                  <w:rFonts w:eastAsia="Calibri"/>
                  <w:szCs w:val="24"/>
                </w:rPr>
              </w:pPr>
              <w:sdt>
                <w:sdtPr>
                  <w:alias w:val="Numeris"/>
                  <w:tag w:val="nr_a9ad00b6a5c949ae941d4ccc50c8471b"/>
                  <w:lock w:val="sdtLocked"/>
                  <w:richText/>
                </w:sdtPr>
                <w:sdtContent>
                  <w:r>
                    <w:rPr>
                      <w:rFonts w:eastAsia="Calibri"/>
                      <w:szCs w:val="24"/>
                    </w:rPr>
                    <w:t>9</w:t>
                  </w:r>
                </w:sdtContent>
              </w:sdt>
              <w:r>
                <w:rPr>
                  <w:rFonts w:eastAsia="Calibri"/>
                  <w:szCs w:val="24"/>
                </w:rPr>
                <w:t xml:space="preserve">. </w:t>
              </w:r>
              <w:r>
                <w:rPr>
                  <w:szCs w:val="24"/>
                </w:rPr>
                <w:t>Pakeičiu 44 punktą ir jį išdėstau taip:</w:t>
              </w:r>
            </w:p>
            <w:sdt>
              <w:sdtPr>
                <w:alias w:val="citata"/>
                <w:tag w:val="part_dd2f3c30f0d0428d90952c11f4a382ee"/>
                <w:lock w:val="sdtLocked"/>
                <w:richText/>
              </w:sdtPr>
              <w:sdtContent>
                <w:sdt>
                  <w:sdtPr>
                    <w:alias w:val="44 p."/>
                    <w:tag w:val="part_0490ab37e15f49aaa226ad6dd9c0b011"/>
                    <w:lock w:val="sdtLocked"/>
                    <w:richText/>
                  </w:sdtPr>
                  <w:sdtContent>
                    <w:p>
                      <w:pPr>
                        <w:spacing w:line="360" w:lineRule="auto"/>
                        <w:ind w:firstLine="851"/>
                        <w:jc w:val="both"/>
                        <w:rPr>
                          <w:szCs w:val="24"/>
                        </w:rPr>
                      </w:pPr>
                      <w:r>
                        <w:rPr>
                          <w:szCs w:val="24"/>
                        </w:rPr>
                        <w:t>„</w:t>
                      </w:r>
                      <w:sdt>
                        <w:sdtPr>
                          <w:alias w:val="Numeris"/>
                          <w:tag w:val="nr_0490ab37e15f49aaa226ad6dd9c0b011"/>
                          <w:lock w:val="sdtLocked"/>
                          <w:richText/>
                        </w:sdtPr>
                        <w:sdtContent>
                          <w:r>
                            <w:rPr>
                              <w:szCs w:val="24"/>
                            </w:rPr>
                            <w:t>44</w:t>
                          </w:r>
                        </w:sdtContent>
                      </w:sdt>
                      <w:r>
                        <w:rPr>
                          <w:szCs w:val="24"/>
                        </w:rPr>
                        <w:t>.</w:t>
                      </w:r>
                      <w:r>
                        <w:rPr>
                          <w:i/>
                          <w:szCs w:val="24"/>
                        </w:rPr>
                        <w:t xml:space="preserve"> </w:t>
                      </w:r>
                      <w:r>
                        <w:rPr>
                          <w:szCs w:val="24"/>
                        </w:rPr>
                        <w:t>Galimi pareiškėjai iki kvietime teikti projektinį pasiūlymą nustatytos datos turi Ministerijai pateikti projektinį pasiūlymą pagal formą, nustatytą Valstybės projektų atrankos tvarkos apraše. Kartu su projektiniu pasiūlymu galimi pareiškėjai turi pateikti:</w:t>
                      </w:r>
                    </w:p>
                    <w:sdt>
                      <w:sdtPr>
                        <w:alias w:val="44.1 pp."/>
                        <w:tag w:val="part_a0730b78b7b64404b113e93a21b110da"/>
                        <w:lock w:val="sdtLocked"/>
                        <w:richText/>
                      </w:sdtPr>
                      <w:sdtContent>
                        <w:p>
                          <w:pPr>
                            <w:spacing w:line="360" w:lineRule="auto"/>
                            <w:ind w:firstLine="851"/>
                            <w:jc w:val="both"/>
                            <w:rPr>
                              <w:szCs w:val="24"/>
                            </w:rPr>
                          </w:pPr>
                          <w:sdt>
                            <w:sdtPr>
                              <w:alias w:val="Numeris"/>
                              <w:tag w:val="nr_a0730b78b7b64404b113e93a21b110da"/>
                              <w:lock w:val="sdtLocked"/>
                              <w:richText/>
                            </w:sdtPr>
                            <w:sdtContent>
                              <w:r>
                                <w:rPr>
                                  <w:szCs w:val="24"/>
                                </w:rPr>
                                <w:t>44.1</w:t>
                              </w:r>
                            </w:sdtContent>
                          </w:sdt>
                          <w:r>
                            <w:rPr>
                              <w:szCs w:val="24"/>
                            </w:rPr>
                            <w:t xml:space="preserve">. investicijų projektą (jeigu taikoma pagal Aprašo 27.1.1 papunktį); </w:t>
                          </w:r>
                        </w:p>
                      </w:sdtContent>
                    </w:sdt>
                    <w:sdt>
                      <w:sdtPr>
                        <w:alias w:val="44.2 pp."/>
                        <w:tag w:val="part_f357779dde7a4436930a10192b33f0d3"/>
                        <w:lock w:val="sdtLocked"/>
                        <w:richText/>
                      </w:sdtPr>
                      <w:sdtContent>
                        <w:p>
                          <w:pPr>
                            <w:suppressAutoHyphens/>
                            <w:spacing w:line="360" w:lineRule="auto"/>
                            <w:ind w:firstLine="851"/>
                            <w:jc w:val="both"/>
                            <w:textAlignment w:val="center"/>
                            <w:rPr>
                              <w:szCs w:val="24"/>
                            </w:rPr>
                          </w:pPr>
                          <w:sdt>
                            <w:sdtPr>
                              <w:alias w:val="Numeris"/>
                              <w:tag w:val="nr_f357779dde7a4436930a10192b33f0d3"/>
                              <w:lock w:val="sdtLocked"/>
                              <w:richText/>
                            </w:sdtPr>
                            <w:sdtContent>
                              <w:r>
                                <w:rPr>
                                  <w:color w:val="000000"/>
                                  <w:szCs w:val="24"/>
                                  <w:lang w:eastAsia="lt-LT"/>
                                </w:rPr>
                                <w:t>44.2</w:t>
                              </w:r>
                            </w:sdtContent>
                          </w:sdt>
                          <w:r>
                            <w:rPr>
                              <w:color w:val="000000"/>
                              <w:szCs w:val="24"/>
                              <w:lang w:eastAsia="lt-LT"/>
                            </w:rPr>
                            <w:t xml:space="preserve">. </w:t>
                          </w:r>
                          <w:r>
                            <w:rPr>
                              <w:color w:val="000000"/>
                              <w:szCs w:val="24"/>
                            </w:rPr>
                            <w:t>Investicijų projektų skaičiuoklę</w:t>
                          </w:r>
                          <w:r>
                            <w:rPr>
                              <w:color w:val="000000"/>
                              <w:szCs w:val="24"/>
                              <w:lang w:eastAsia="lt-LT"/>
                            </w:rPr>
                            <w:t xml:space="preserve"> (jeigu taikoma pagal Aprašo 28.</w:t>
                          </w:r>
                          <w:r>
                            <w:rPr>
                              <w:strike/>
                              <w:color w:val="000000"/>
                              <w:szCs w:val="24"/>
                              <w:lang w:eastAsia="lt-LT"/>
                            </w:rPr>
                            <w:t>4</w:t>
                          </w:r>
                          <w:r>
                            <w:rPr>
                              <w:color w:val="000000"/>
                              <w:szCs w:val="24"/>
                              <w:lang w:eastAsia="lt-LT"/>
                            </w:rPr>
                            <w:t>3 papunktį);</w:t>
                          </w:r>
                          <w:r>
                            <w:t xml:space="preserve"> </w:t>
                          </w:r>
                        </w:p>
                      </w:sdtContent>
                    </w:sdt>
                    <w:sdt>
                      <w:sdtPr>
                        <w:alias w:val="44.3 pp."/>
                        <w:tag w:val="part_0aeea3d5419943b7bfa388369f16151c"/>
                        <w:lock w:val="sdtLocked"/>
                        <w:richText/>
                      </w:sdtPr>
                      <w:sdtContent>
                        <w:p>
                          <w:pPr>
                            <w:spacing w:line="360" w:lineRule="auto"/>
                            <w:ind w:firstLine="851"/>
                            <w:jc w:val="both"/>
                            <w:rPr>
                              <w:szCs w:val="24"/>
                            </w:rPr>
                          </w:pPr>
                          <w:sdt>
                            <w:sdtPr>
                              <w:alias w:val="Numeris"/>
                              <w:tag w:val="nr_0aeea3d5419943b7bfa388369f16151c"/>
                              <w:lock w:val="sdtLocked"/>
                              <w:richText/>
                            </w:sdtPr>
                            <w:sdtContent>
                              <w:r>
                                <w:rPr>
                                  <w:szCs w:val="24"/>
                                </w:rPr>
                                <w:t>44.3</w:t>
                              </w:r>
                            </w:sdtContent>
                          </w:sdt>
                          <w:r>
                            <w:rPr>
                              <w:szCs w:val="24"/>
                            </w:rPr>
                            <w:t>. IVPK vertinimo išvadą (jeigu taikoma</w:t>
                          </w:r>
                          <w:r>
                            <w:rPr>
                              <w:rFonts w:ascii="Calibri" w:hAnsi="Calibri"/>
                              <w:sz w:val="22"/>
                              <w:szCs w:val="22"/>
                              <w:lang w:eastAsia="lt-LT"/>
                            </w:rPr>
                            <w:t xml:space="preserve"> </w:t>
                          </w:r>
                          <w:r>
                            <w:rPr>
                              <w:szCs w:val="24"/>
                            </w:rPr>
                            <w:t>pagal Aprašo 27.1.2 papunktį);</w:t>
                          </w:r>
                        </w:p>
                      </w:sdtContent>
                    </w:sdt>
                    <w:sdt>
                      <w:sdtPr>
                        <w:alias w:val="44.4 pp."/>
                        <w:tag w:val="part_9d9edbc30eca4de4b113c73ec1fe9ddf"/>
                        <w:lock w:val="sdtLocked"/>
                        <w:richText/>
                      </w:sdtPr>
                      <w:sdtContent>
                        <w:p>
                          <w:pPr>
                            <w:spacing w:line="360" w:lineRule="auto"/>
                            <w:ind w:firstLine="851"/>
                            <w:jc w:val="both"/>
                            <w:rPr>
                              <w:szCs w:val="24"/>
                            </w:rPr>
                          </w:pPr>
                          <w:sdt>
                            <w:sdtPr>
                              <w:alias w:val="Numeris"/>
                              <w:tag w:val="nr_9d9edbc30eca4de4b113c73ec1fe9ddf"/>
                              <w:lock w:val="sdtLocked"/>
                              <w:richText/>
                            </w:sdtPr>
                            <w:sdtContent>
                              <w:r>
                                <w:rPr>
                                  <w:szCs w:val="24"/>
                                </w:rPr>
                                <w:t>44.4</w:t>
                              </w:r>
                            </w:sdtContent>
                          </w:sdt>
                          <w:r>
                            <w:rPr>
                              <w:szCs w:val="24"/>
                            </w:rPr>
                            <w:t>. dokumentą, kuriame pateikta informacija apie atliktą numatomų automatizuoti paslaugų teikimo ir asmenų aptarnavimo funkcijų atlikimo procedūrų (procesų) analizę ir vertinimą (jeigu taikoma pagal Aprašo 27.1.3 papunktį); šis dokumentas gali būti neteikiamas, jeigu Aprašo 27.1.3.2 papunktyje nurodyta informacija yra įtraukta į investicijų projektą.“</w:t>
                          </w:r>
                        </w:p>
                      </w:sdtContent>
                    </w:sdt>
                  </w:sdtContent>
                </w:sdt>
              </w:sdtContent>
            </w:sdt>
          </w:sdtContent>
        </w:sdt>
        <w:sdt>
          <w:sdtPr>
            <w:alias w:val="10 p."/>
            <w:tag w:val="part_e63c30306c9d423e9f710ae892dd43b8"/>
            <w:lock w:val="sdtLocked"/>
            <w:richText/>
          </w:sdtPr>
          <w:sdtContent>
            <w:p>
              <w:pPr>
                <w:spacing w:line="360" w:lineRule="auto"/>
                <w:ind w:firstLine="851"/>
                <w:jc w:val="both"/>
                <w:rPr>
                  <w:szCs w:val="24"/>
                </w:rPr>
              </w:pPr>
              <w:sdt>
                <w:sdtPr>
                  <w:alias w:val="Numeris"/>
                  <w:tag w:val="nr_e63c30306c9d423e9f710ae892dd43b8"/>
                  <w:lock w:val="sdtLocked"/>
                  <w:richText/>
                </w:sdtPr>
                <w:sdtContent>
                  <w:r>
                    <w:rPr>
                      <w:rFonts w:eastAsia="Calibri"/>
                      <w:szCs w:val="24"/>
                    </w:rPr>
                    <w:t>10</w:t>
                  </w:r>
                </w:sdtContent>
              </w:sdt>
              <w:r>
                <w:rPr>
                  <w:rFonts w:eastAsia="Calibri"/>
                  <w:szCs w:val="24"/>
                </w:rPr>
                <w:t xml:space="preserve">. </w:t>
              </w:r>
              <w:r>
                <w:t xml:space="preserve">Pripažįstu netekusiu galios </w:t>
              </w:r>
              <w:r>
                <w:rPr>
                  <w:szCs w:val="24"/>
                  <w:lang w:eastAsia="lt-LT"/>
                </w:rPr>
                <w:t>64.3</w:t>
              </w:r>
              <w:r>
                <w:t xml:space="preserve"> papunktį</w:t>
              </w:r>
              <w:r>
                <w:rPr>
                  <w:szCs w:val="24"/>
                </w:rPr>
                <w:t>.</w:t>
              </w:r>
            </w:p>
          </w:sdtContent>
        </w:sdt>
        <w:sdt>
          <w:sdtPr>
            <w:alias w:val="11 p."/>
            <w:tag w:val="part_2fc769b4396441caaaee89bc9a89aa8e"/>
            <w:lock w:val="sdtLocked"/>
            <w:richText/>
          </w:sdtPr>
          <w:sdtContent>
            <w:p>
              <w:pPr>
                <w:spacing w:line="360" w:lineRule="auto"/>
                <w:ind w:firstLine="851"/>
                <w:jc w:val="both"/>
                <w:rPr>
                  <w:szCs w:val="24"/>
                  <w:lang w:eastAsia="lt-LT"/>
                </w:rPr>
              </w:pPr>
              <w:sdt>
                <w:sdtPr>
                  <w:alias w:val="Numeris"/>
                  <w:tag w:val="nr_2fc769b4396441caaaee89bc9a89aa8e"/>
                  <w:lock w:val="sdtLocked"/>
                  <w:richText/>
                </w:sdtPr>
                <w:sdtContent>
                  <w:r>
                    <w:rPr>
                      <w:szCs w:val="24"/>
                      <w:lang w:eastAsia="lt-LT"/>
                    </w:rPr>
                    <w:t>11</w:t>
                  </w:r>
                </w:sdtContent>
              </w:sdt>
              <w:r>
                <w:rPr>
                  <w:szCs w:val="24"/>
                  <w:lang w:eastAsia="lt-LT"/>
                </w:rPr>
                <w:t xml:space="preserve">. </w:t>
              </w:r>
              <w:r>
                <w:rPr>
                  <w:iCs/>
                  <w:szCs w:val="24"/>
                </w:rPr>
                <w:t>Pakeičiu 1 priedą ir jį</w:t>
              </w:r>
              <w:r>
                <w:rPr>
                  <w:szCs w:val="24"/>
                  <w:lang w:eastAsia="lt-LT"/>
                </w:rPr>
                <w:t xml:space="preserve"> išdėstau nauja redakcija (pridedama).</w:t>
              </w:r>
            </w:p>
            <w:p>
              <w:pPr>
                <w:spacing w:line="360" w:lineRule="auto"/>
                <w:ind w:firstLine="851"/>
                <w:jc w:val="both"/>
                <w:rPr>
                  <w:szCs w:val="24"/>
                </w:rPr>
              </w:pPr>
            </w:p>
            <w:p>
              <w:pPr>
                <w:spacing w:line="360" w:lineRule="auto"/>
                <w:jc w:val="both"/>
                <w:rPr>
                  <w:szCs w:val="24"/>
                </w:rPr>
              </w:pPr>
            </w:p>
            <w:p>
              <w:pPr>
                <w:spacing w:line="360" w:lineRule="auto"/>
                <w:jc w:val="both"/>
                <w:rPr>
                  <w:szCs w:val="24"/>
                </w:rPr>
              </w:pPr>
            </w:p>
            <w:p>
              <w:pPr>
                <w:spacing w:line="360" w:lineRule="auto"/>
                <w:jc w:val="both"/>
                <w:rPr>
                  <w:rFonts w:eastAsia="Calibri"/>
                  <w:szCs w:val="24"/>
                </w:rPr>
              </w:pPr>
              <w:r>
                <w:rPr>
                  <w:szCs w:val="24"/>
                </w:rPr>
                <w:t xml:space="preserve">Vidaus reikalų ministrė                                                                                           Rita Tamašunienė</w:t>
              </w:r>
            </w:p>
            <w:p/>
            <w:p>
              <w:pPr>
                <w:spacing w:line="360" w:lineRule="auto"/>
                <w:rPr>
                  <w:rFonts w:ascii="Calibri" w:hAnsi="Calibri"/>
                  <w:sz w:val="22"/>
                  <w:szCs w:val="22"/>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5" w:right="567" w:bottom="1134" w:left="1701" w:header="567" w:footer="567" w:gutter="0"/>
                  <w:pgNumType w:start="1"/>
                  <w:cols w:space="1296"/>
                  <w:titlePg/>
                  <w:docGrid w:linePitch="360"/>
                </w:sectPr>
              </w:pPr>
            </w:p>
          </w:sdtContent>
        </w:sdt>
        <w:sdt>
          <w:sdtPr>
            <w:alias w:val="skirsnis"/>
            <w:tag w:val="part_fb89618d9a7043288c6485596d4f6743"/>
            <w:lock w:val="sdtLocked"/>
            <w:richText/>
          </w:sdtPr>
          <w:sdtContent>
            <w:p>
              <w:pPr>
                <w:tabs>
                  <w:tab w:val="center" w:pos="4680"/>
                  <w:tab w:val="right" w:pos="9360"/>
                </w:tabs>
                <w:ind w:firstLine="15504"/>
                <w:rPr>
                  <w:b/>
                  <w:bCs/>
                  <w:szCs w:val="24"/>
                  <w:lang w:eastAsia="lt-LT"/>
                </w:rPr>
              </w:pPr>
              <w:sdt>
                <w:sdtPr>
                  <w:alias w:val="Pavadinimas"/>
                  <w:tag w:val="title_fb89618d9a7043288c6485596d4f6743"/>
                  <w:lock w:val="sdtLocked"/>
                  <w:richText/>
                </w:sdtPr>
                <w:sdtContent>
                  <w:r>
                    <w:rPr>
                      <w:b/>
                      <w:bCs/>
                      <w:szCs w:val="24"/>
                      <w:lang w:eastAsia="lt-LT"/>
                    </w:rPr>
                    <w:t>Projektas</w:t>
                  </w:r>
                </w:sdtContent>
              </w:sdt>
            </w:p>
          </w:sdtContent>
        </w:sdt>
      </w:sdtContent>
    </w:sdt>
    <w:sdt>
      <w:sdtPr>
        <w:alias w:val="1 pr."/>
        <w:tag w:val="part_ba7176940a18467dbfbf696cd4958062"/>
        <w:lock w:val="sdtLocked"/>
        <w:richText/>
      </w:sdtPr>
      <w:sdtContent>
        <w:p>
          <w:pPr>
            <w:ind w:firstLine="8789"/>
            <w:rPr>
              <w:lang w:eastAsia="lt-LT"/>
            </w:rPr>
          </w:pPr>
          <w:r>
            <w:rPr>
              <w:lang w:eastAsia="lt-LT"/>
            </w:rPr>
            <w:t>2014–2020 metų Europos Sąjungos fondų investicijų</w:t>
          </w:r>
        </w:p>
        <w:p>
          <w:pPr>
            <w:ind w:firstLine="8789"/>
            <w:rPr>
              <w:lang w:eastAsia="lt-LT"/>
            </w:rPr>
          </w:pPr>
          <w:r>
            <w:rPr>
              <w:lang w:eastAsia="lt-LT"/>
            </w:rPr>
            <w:t xml:space="preserve">veiksmų programos 10 prioriteto „Visuomenės poreikius </w:t>
          </w:r>
        </w:p>
        <w:p>
          <w:pPr>
            <w:ind w:left="8789"/>
            <w:rPr>
              <w:lang w:eastAsia="lt-LT"/>
            </w:rPr>
          </w:pPr>
          <w:r>
            <w:rPr>
              <w:lang w:eastAsia="lt-LT"/>
            </w:rPr>
            <w:t>atitinkantis ir pažangus viešasis valdymas“</w:t>
          </w:r>
          <w:r>
            <w:rPr>
              <w:rFonts w:ascii="Calibri" w:hAnsi="Calibri"/>
              <w:sz w:val="22"/>
              <w:szCs w:val="22"/>
              <w:lang w:eastAsia="lt-LT"/>
            </w:rPr>
            <w:t xml:space="preserve"> </w:t>
          </w:r>
          <w:r>
            <w:rPr>
              <w:lang w:eastAsia="lt-LT"/>
            </w:rPr>
            <w:t xml:space="preserve">priemonės Nr. 10.1.3-ESFA-V-918 „Viešojo administravimo subjektų </w:t>
          </w:r>
        </w:p>
        <w:p>
          <w:pPr>
            <w:ind w:firstLine="8789"/>
            <w:rPr>
              <w:lang w:eastAsia="lt-LT"/>
            </w:rPr>
          </w:pPr>
          <w:r>
            <w:rPr>
              <w:lang w:eastAsia="lt-LT"/>
            </w:rPr>
            <w:t xml:space="preserve">iniciatyvos, skirtos paslaugų ir asmenų aptarnavimo </w:t>
          </w:r>
        </w:p>
        <w:p>
          <w:pPr>
            <w:ind w:firstLine="8789"/>
            <w:rPr>
              <w:lang w:eastAsia="lt-LT"/>
            </w:rPr>
          </w:pPr>
          <w:r>
            <w:rPr>
              <w:lang w:eastAsia="lt-LT"/>
            </w:rPr>
            <w:t>kokybės gerinimui“ projektų finansavimo sąlygų aprašo</w:t>
          </w:r>
        </w:p>
        <w:p>
          <w:pPr>
            <w:ind w:firstLine="8789"/>
            <w:rPr>
              <w:lang w:eastAsia="lt-LT"/>
            </w:rPr>
          </w:pPr>
          <w:sdt>
            <w:sdtPr>
              <w:alias w:val="Numeris"/>
              <w:tag w:val="nr_ba7176940a18467dbfbf696cd4958062"/>
              <w:lock w:val="sdtLocked"/>
              <w:richText/>
            </w:sdtPr>
            <w:sdtContent>
              <w:r>
                <w:rPr>
                  <w:lang w:eastAsia="lt-LT"/>
                </w:rPr>
                <w:t>1</w:t>
              </w:r>
            </w:sdtContent>
          </w:sdt>
          <w:r>
            <w:rPr>
              <w:lang w:eastAsia="lt-LT"/>
            </w:rPr>
            <w:t xml:space="preserve"> priedas</w:t>
          </w:r>
        </w:p>
        <w:p>
          <w:pPr>
            <w:jc w:val="right"/>
            <w:rPr>
              <w:b/>
              <w:bCs/>
              <w:kern w:val="28"/>
              <w:sz w:val="22"/>
              <w:szCs w:val="22"/>
              <w:lang w:eastAsia="lt-LT"/>
            </w:rPr>
          </w:pPr>
        </w:p>
        <w:p>
          <w:pPr>
            <w:ind w:firstLine="680"/>
            <w:jc w:val="center"/>
            <w:rPr>
              <w:b/>
              <w:szCs w:val="24"/>
              <w:lang w:eastAsia="lt-LT"/>
            </w:rPr>
          </w:pPr>
          <w:sdt>
            <w:sdtPr>
              <w:alias w:val="Pavadinimas"/>
              <w:tag w:val="title_ba7176940a18467dbfbf696cd4958062"/>
              <w:lock w:val="sdtLocked"/>
              <w:richText/>
            </w:sdtPr>
            <w:sdtContent>
              <w:r>
                <w:rPr>
                  <w:b/>
                  <w:szCs w:val="24"/>
                  <w:lang w:eastAsia="lt-LT"/>
                </w:rPr>
                <w:t>PROJEKTO TINKAMUMO FINANSUOTI VERTINIMO LENTELĖ</w:t>
              </w:r>
            </w:sdtContent>
          </w:sdt>
        </w:p>
        <w:p>
          <w:pPr>
            <w:spacing w:line="276" w:lineRule="auto"/>
            <w:ind w:left="142"/>
            <w:rPr>
              <w:i/>
              <w:sz w:val="22"/>
              <w:szCs w:val="22"/>
            </w:rPr>
          </w:pPr>
        </w:p>
        <w:p>
          <w:pPr>
            <w:rPr>
              <w:sz w:val="18"/>
              <w:szCs w:val="18"/>
            </w:rPr>
          </w:pPr>
        </w:p>
        <w:p>
          <w:pPr>
            <w:spacing w:line="276" w:lineRule="auto"/>
            <w:ind w:left="142"/>
            <w:rPr>
              <w:sz w:val="22"/>
              <w:szCs w:val="22"/>
              <w:lang w:eastAsia="lt-LT"/>
            </w:rPr>
          </w:pPr>
          <w:r>
            <w:rPr>
              <w:i/>
              <w:sz w:val="22"/>
              <w:szCs w:val="22"/>
            </w:rPr>
            <w:t>(Projekto tinkamumo finansuoti vertinimo metu ši lentelė pildoma kiekvienam projektui individualiai)</w:t>
          </w:r>
        </w:p>
        <w:p>
          <w:pPr>
            <w:rPr>
              <w:sz w:val="18"/>
              <w:szCs w:val="18"/>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1"/>
            <w:gridCol w:w="10014"/>
          </w:tblGrid>
          <w:tr>
            <w:tc>
              <w:tcPr>
                <w:tcW w:w="4521" w:type="dxa"/>
              </w:tcPr>
              <w:p>
                <w:pPr>
                  <w:rPr>
                    <w:b/>
                    <w:bCs/>
                    <w:sz w:val="22"/>
                    <w:szCs w:val="22"/>
                    <w:lang w:eastAsia="lt-LT"/>
                  </w:rPr>
                </w:pPr>
                <w:r>
                  <w:rPr>
                    <w:b/>
                    <w:bCs/>
                    <w:sz w:val="22"/>
                    <w:szCs w:val="22"/>
                    <w:lang w:eastAsia="lt-LT"/>
                  </w:rPr>
                  <w:t>Paraiškos kodas</w:t>
                </w:r>
              </w:p>
            </w:tc>
            <w:tc>
              <w:tcPr>
                <w:tcW w:w="10014" w:type="dxa"/>
              </w:tcPr>
              <w:p>
                <w:pPr>
                  <w:rPr>
                    <w:bCs/>
                    <w:i/>
                    <w:sz w:val="22"/>
                    <w:szCs w:val="22"/>
                    <w:lang w:eastAsia="lt-LT"/>
                  </w:rPr>
                </w:pPr>
                <w:r>
                  <w:rPr>
                    <w:bCs/>
                    <w:i/>
                    <w:sz w:val="22"/>
                    <w:szCs w:val="22"/>
                    <w:lang w:eastAsia="lt-LT"/>
                  </w:rPr>
                  <w:t>(įrašomas paraiškos kodas)</w:t>
                </w:r>
              </w:p>
            </w:tc>
          </w:tr>
          <w:tr>
            <w:tc>
              <w:tcPr>
                <w:tcW w:w="4521" w:type="dxa"/>
              </w:tcPr>
              <w:p>
                <w:pPr>
                  <w:rPr>
                    <w:b/>
                    <w:bCs/>
                    <w:sz w:val="22"/>
                    <w:szCs w:val="22"/>
                    <w:lang w:eastAsia="lt-LT"/>
                  </w:rPr>
                </w:pPr>
                <w:r>
                  <w:rPr>
                    <w:b/>
                    <w:bCs/>
                    <w:sz w:val="22"/>
                    <w:szCs w:val="22"/>
                    <w:lang w:eastAsia="lt-LT"/>
                  </w:rPr>
                  <w:t>Pareiškėjo pavadinimas</w:t>
                </w:r>
              </w:p>
            </w:tc>
            <w:tc>
              <w:tcPr>
                <w:tcW w:w="10014" w:type="dxa"/>
              </w:tcPr>
              <w:p>
                <w:pPr>
                  <w:rPr>
                    <w:bCs/>
                    <w:i/>
                    <w:sz w:val="22"/>
                    <w:szCs w:val="22"/>
                    <w:lang w:eastAsia="lt-LT"/>
                  </w:rPr>
                </w:pPr>
                <w:r>
                  <w:rPr>
                    <w:bCs/>
                    <w:i/>
                    <w:sz w:val="22"/>
                    <w:szCs w:val="22"/>
                    <w:lang w:eastAsia="lt-LT"/>
                  </w:rPr>
                  <w:t>(įrašomas pareiškėjo pavadinimas)</w:t>
                </w:r>
              </w:p>
            </w:tc>
          </w:tr>
          <w:tr>
            <w:tc>
              <w:tcPr>
                <w:tcW w:w="4521" w:type="dxa"/>
              </w:tcPr>
              <w:p>
                <w:pPr>
                  <w:rPr>
                    <w:b/>
                    <w:bCs/>
                    <w:sz w:val="22"/>
                    <w:szCs w:val="22"/>
                    <w:lang w:eastAsia="lt-LT"/>
                  </w:rPr>
                </w:pPr>
                <w:r>
                  <w:rPr>
                    <w:b/>
                    <w:bCs/>
                    <w:sz w:val="22"/>
                    <w:szCs w:val="22"/>
                    <w:lang w:eastAsia="lt-LT"/>
                  </w:rPr>
                  <w:t>Projekto pavadinimas</w:t>
                </w:r>
              </w:p>
            </w:tc>
            <w:tc>
              <w:tcPr>
                <w:tcW w:w="10014" w:type="dxa"/>
              </w:tcPr>
              <w:p>
                <w:pPr>
                  <w:rPr>
                    <w:bCs/>
                    <w:i/>
                    <w:sz w:val="22"/>
                    <w:szCs w:val="22"/>
                    <w:lang w:eastAsia="lt-LT"/>
                  </w:rPr>
                </w:pPr>
                <w:r>
                  <w:rPr>
                    <w:bCs/>
                    <w:i/>
                    <w:sz w:val="22"/>
                    <w:szCs w:val="22"/>
                    <w:lang w:eastAsia="lt-LT"/>
                  </w:rPr>
                  <w:t>(įrašomas projekto pavadinimas)</w:t>
                </w:r>
              </w:p>
            </w:tc>
          </w:tr>
          <w:tr>
            <w:tc>
              <w:tcPr>
                <w:tcW w:w="14535" w:type="dxa"/>
                <w:gridSpan w:val="2"/>
              </w:tcPr>
              <w:p>
                <w:pPr>
                  <w:rPr>
                    <w:b/>
                    <w:bCs/>
                    <w:sz w:val="22"/>
                    <w:szCs w:val="22"/>
                    <w:lang w:eastAsia="lt-LT"/>
                  </w:rPr>
                </w:pPr>
                <w:r>
                  <w:rPr>
                    <w:b/>
                    <w:bCs/>
                    <w:sz w:val="22"/>
                    <w:szCs w:val="22"/>
                    <w:lang w:eastAsia="lt-LT"/>
                  </w:rPr>
                  <w:t>Projektą planuojama įgyvendinti:</w:t>
                </w:r>
              </w:p>
              <w:p>
                <w:pPr>
                  <w:rPr>
                    <w:sz w:val="10"/>
                    <w:szCs w:val="10"/>
                  </w:rPr>
                </w:pPr>
              </w:p>
              <w:p>
                <w:pPr>
                  <w:rPr>
                    <w:b/>
                    <w:bCs/>
                    <w:sz w:val="22"/>
                    <w:szCs w:val="22"/>
                    <w:lang w:eastAsia="lt-LT"/>
                  </w:rPr>
                </w:pPr>
                <w:r>
                  <w:rPr>
                    <w:b/>
                    <w:bCs/>
                    <w:sz w:val="22"/>
                    <w:szCs w:val="22"/>
                    <w:lang w:eastAsia="lt-LT"/>
                  </w:rPr>
                  <w:t xml:space="preserve"> su partneriu (-iais)               be partnerio (-ių)</w:t>
                </w:r>
              </w:p>
            </w:tc>
          </w:tr>
          <w:tr>
            <w:tc>
              <w:tcPr>
                <w:tcW w:w="14535" w:type="dxa"/>
                <w:gridSpan w:val="2"/>
              </w:tcPr>
              <w:p>
                <w:pPr>
                  <w:rPr>
                    <w:sz w:val="10"/>
                    <w:szCs w:val="10"/>
                  </w:rPr>
                </w:pPr>
              </w:p>
              <w:p>
                <w:pPr>
                  <w:rPr>
                    <w:b/>
                    <w:bCs/>
                    <w:sz w:val="22"/>
                    <w:szCs w:val="22"/>
                    <w:lang w:eastAsia="lt-LT"/>
                  </w:rPr>
                </w:pPr>
                <w:r>
                  <w:rPr>
                    <w:b/>
                    <w:bCs/>
                    <w:sz w:val="22"/>
                    <w:szCs w:val="22"/>
                    <w:lang w:eastAsia="lt-LT"/>
                  </w:rPr>
                  <w:t xml:space="preserve"> PIRMINĖ               PATIKSLINTA</w:t>
                </w:r>
              </w:p>
              <w:p>
                <w:pPr>
                  <w:rPr>
                    <w:sz w:val="10"/>
                    <w:szCs w:val="10"/>
                  </w:rPr>
                </w:pPr>
              </w:p>
              <w:p>
                <w:pPr>
                  <w:rPr>
                    <w:b/>
                    <w:bCs/>
                    <w:sz w:val="22"/>
                    <w:szCs w:val="22"/>
                    <w:lang w:eastAsia="lt-LT"/>
                  </w:rPr>
                </w:pPr>
                <w:r>
                  <w:rPr>
                    <w:bCs/>
                    <w:i/>
                    <w:sz w:val="22"/>
                    <w:szCs w:val="22"/>
                    <w:lang w:eastAsia="lt-LT"/>
                  </w:rPr>
                  <w:t>(Žymima „Patikslinta“ tais atvejais, kai ši lentelė tikslinama po to, kai paraiška grąžinama pakartotiniam vertinimui)</w:t>
                </w:r>
              </w:p>
            </w:tc>
          </w:tr>
        </w:tbl>
        <w:p>
          <w:pPr>
            <w:spacing w:line="276" w:lineRule="auto"/>
            <w:ind w:firstLine="60"/>
            <w:rPr>
              <w:i/>
              <w:szCs w:val="24"/>
            </w:rPr>
          </w:pPr>
        </w:p>
        <w:p>
          <w:pPr>
            <w:rPr>
              <w:sz w:val="18"/>
              <w:szCs w:val="18"/>
            </w:rPr>
          </w:pPr>
        </w:p>
        <w:tbl>
          <w:tblPr>
            <w:tblW w:w="1460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20"/>
            <w:gridCol w:w="141"/>
            <w:gridCol w:w="4536"/>
            <w:gridCol w:w="2127"/>
            <w:gridCol w:w="2976"/>
          </w:tblGrid>
          <w:tr>
            <w:trPr>
              <w:trHeight w:val="20"/>
            </w:trPr>
            <w:tc>
              <w:tcPr>
                <w:tcW w:w="4820" w:type="dxa"/>
                <w:vMerge w:val="restart"/>
                <w:tcBorders>
                  <w:top w:val="single" w:sz="4" w:space="0" w:color="auto"/>
                  <w:left w:val="single" w:sz="4" w:space="0" w:color="000000"/>
                  <w:bottom w:val="single" w:sz="4" w:space="0" w:color="000000"/>
                  <w:right w:val="single" w:sz="4" w:space="0" w:color="000000"/>
                </w:tcBorders>
                <w:shd w:val="clear" w:color="auto" w:fill="D9D9D9"/>
                <w:hideMark/>
              </w:tcPr>
              <w:p>
                <w:pPr>
                  <w:jc w:val="center"/>
                  <w:rPr>
                    <w:b/>
                    <w:bCs/>
                    <w:sz w:val="22"/>
                    <w:szCs w:val="22"/>
                    <w:lang w:eastAsia="lt-LT"/>
                  </w:rPr>
                </w:pPr>
                <w:r>
                  <w:rPr>
                    <w:b/>
                    <w:bCs/>
                    <w:sz w:val="22"/>
                    <w:szCs w:val="22"/>
                    <w:lang w:eastAsia="lt-LT"/>
                  </w:rPr>
                  <w:t>Bendrasis reikalavimas</w:t>
                </w:r>
                <w:r>
                  <w:rPr>
                    <w:rFonts w:ascii="Calibri" w:hAnsi="Calibri"/>
                    <w:sz w:val="22"/>
                    <w:szCs w:val="22"/>
                    <w:lang w:eastAsia="lt-LT"/>
                  </w:rPr>
                  <w:t> </w:t>
                </w:r>
                <w:r>
                  <w:rPr>
                    <w:b/>
                    <w:bCs/>
                    <w:sz w:val="22"/>
                    <w:szCs w:val="22"/>
                    <w:lang w:eastAsia="lt-LT"/>
                  </w:rPr>
                  <w:t>/</w:t>
                </w:r>
              </w:p>
              <w:p>
                <w:pPr>
                  <w:jc w:val="center"/>
                  <w:rPr>
                    <w:b/>
                    <w:bCs/>
                    <w:sz w:val="22"/>
                    <w:szCs w:val="22"/>
                    <w:lang w:eastAsia="lt-LT"/>
                  </w:rPr>
                </w:pPr>
                <w:r>
                  <w:rPr>
                    <w:b/>
                    <w:bCs/>
                    <w:sz w:val="22"/>
                    <w:szCs w:val="22"/>
                    <w:lang w:eastAsia="lt-LT"/>
                  </w:rPr>
                  <w:t>specialusis projektų atrankos kriterijus (toliau – specialusis kriterijus), jo vertinimo aspektai ir paaiškinimai</w:t>
                </w:r>
              </w:p>
              <w:p>
                <w:pPr>
                  <w:jc w:val="center"/>
                  <w:rPr>
                    <w:sz w:val="22"/>
                    <w:szCs w:val="22"/>
                    <w:lang w:eastAsia="lt-LT"/>
                  </w:rPr>
                </w:pPr>
              </w:p>
            </w:tc>
            <w:tc>
              <w:tcPr>
                <w:tcW w:w="4677" w:type="dxa"/>
                <w:gridSpan w:val="2"/>
                <w:vMerge w:val="restart"/>
                <w:tcBorders>
                  <w:top w:val="single" w:sz="4" w:space="0" w:color="000000"/>
                  <w:left w:val="single" w:sz="4" w:space="0" w:color="000000"/>
                  <w:right w:val="single" w:sz="4" w:space="0" w:color="000000"/>
                </w:tcBorders>
                <w:shd w:val="clear" w:color="auto" w:fill="D9D9D9"/>
              </w:tcPr>
              <w:p>
                <w:pPr>
                  <w:jc w:val="center"/>
                  <w:rPr>
                    <w:b/>
                    <w:bCs/>
                    <w:sz w:val="22"/>
                    <w:szCs w:val="22"/>
                    <w:lang w:eastAsia="lt-LT"/>
                  </w:rPr>
                </w:pPr>
                <w:r>
                  <w:rPr>
                    <w:b/>
                    <w:bCs/>
                    <w:sz w:val="22"/>
                    <w:szCs w:val="22"/>
                    <w:lang w:eastAsia="lt-LT"/>
                  </w:rPr>
                  <w:t>Bendrojo reikalavimo / specialiojo kriterijaus detalizavimas</w:t>
                </w:r>
              </w:p>
              <w:p>
                <w:pPr>
                  <w:rPr>
                    <w:bCs/>
                    <w:i/>
                    <w:sz w:val="22"/>
                    <w:szCs w:val="22"/>
                    <w:lang w:eastAsia="lt-LT"/>
                  </w:rPr>
                </w:pPr>
              </w:p>
            </w:tc>
            <w:tc>
              <w:tcPr>
                <w:tcW w:w="5103" w:type="dxa"/>
                <w:gridSpan w:val="2"/>
                <w:tcBorders>
                  <w:top w:val="single" w:sz="4" w:space="0" w:color="000000"/>
                  <w:left w:val="single" w:sz="4" w:space="0" w:color="000000"/>
                  <w:bottom w:val="single" w:sz="4" w:space="0" w:color="000000"/>
                  <w:right w:val="single" w:sz="4" w:space="0" w:color="000000"/>
                </w:tcBorders>
                <w:shd w:val="clear" w:color="auto" w:fill="D9D9D9"/>
                <w:hideMark/>
              </w:tcPr>
              <w:p>
                <w:pPr>
                  <w:jc w:val="center"/>
                  <w:rPr>
                    <w:sz w:val="22"/>
                    <w:szCs w:val="22"/>
                    <w:lang w:eastAsia="lt-LT"/>
                  </w:rPr>
                </w:pPr>
                <w:r>
                  <w:rPr>
                    <w:b/>
                    <w:bCs/>
                    <w:sz w:val="22"/>
                    <w:szCs w:val="22"/>
                    <w:lang w:eastAsia="lt-LT"/>
                  </w:rPr>
                  <w:t>Bendrojo reikalavimo / specialiojo kriterijaus vertinimas</w:t>
                </w:r>
              </w:p>
            </w:tc>
          </w:tr>
          <w:tr>
            <w:trPr>
              <w:trHeight w:val="20"/>
            </w:trPr>
            <w:tc>
              <w:tcPr>
                <w:tcW w:w="4820"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lang w:eastAsia="lt-LT"/>
                  </w:rPr>
                </w:pPr>
              </w:p>
            </w:tc>
            <w:tc>
              <w:tcPr>
                <w:tcW w:w="4677" w:type="dxa"/>
                <w:gridSpan w:val="2"/>
                <w:vMerge/>
                <w:tcBorders>
                  <w:left w:val="single" w:sz="4" w:space="0" w:color="000000"/>
                  <w:bottom w:val="single" w:sz="4" w:space="0" w:color="000000"/>
                  <w:right w:val="single" w:sz="4" w:space="0" w:color="000000"/>
                </w:tcBorders>
                <w:shd w:val="clear" w:color="auto" w:fill="D9D9D9"/>
              </w:tcPr>
              <w:p>
                <w:pPr>
                  <w:jc w:val="center"/>
                  <w:rPr>
                    <w:b/>
                    <w:bCs/>
                    <w:sz w:val="22"/>
                    <w:szCs w:val="22"/>
                    <w:lang w:eastAsia="lt-LT"/>
                  </w:rPr>
                </w:pPr>
              </w:p>
            </w:tc>
            <w:tc>
              <w:tcPr>
                <w:tcW w:w="2127" w:type="dxa"/>
                <w:tcBorders>
                  <w:top w:val="single" w:sz="4" w:space="0" w:color="000000"/>
                  <w:left w:val="single" w:sz="4" w:space="0" w:color="000000"/>
                  <w:bottom w:val="single" w:sz="4" w:space="0" w:color="000000"/>
                  <w:right w:val="single" w:sz="4" w:space="0" w:color="000000"/>
                </w:tcBorders>
                <w:shd w:val="clear" w:color="auto" w:fill="D9D9D9"/>
                <w:hideMark/>
              </w:tcPr>
              <w:p>
                <w:pPr>
                  <w:jc w:val="center"/>
                  <w:rPr>
                    <w:sz w:val="22"/>
                    <w:szCs w:val="22"/>
                    <w:lang w:eastAsia="lt-LT"/>
                  </w:rPr>
                </w:pPr>
                <w:r>
                  <w:rPr>
                    <w:b/>
                    <w:bCs/>
                    <w:sz w:val="22"/>
                    <w:szCs w:val="22"/>
                    <w:lang w:eastAsia="lt-LT"/>
                  </w:rPr>
                  <w:t>Taip / Ne / Netaikoma / Taip su išlyga</w:t>
                </w:r>
              </w:p>
            </w:tc>
            <w:tc>
              <w:tcPr>
                <w:tcW w:w="2976" w:type="dxa"/>
                <w:tcBorders>
                  <w:top w:val="single" w:sz="4" w:space="0" w:color="000000"/>
                  <w:left w:val="single" w:sz="4" w:space="0" w:color="000000"/>
                  <w:bottom w:val="single" w:sz="4" w:space="0" w:color="000000"/>
                  <w:right w:val="single" w:sz="4" w:space="0" w:color="000000"/>
                </w:tcBorders>
                <w:shd w:val="clear" w:color="auto" w:fill="D9D9D9"/>
                <w:hideMark/>
              </w:tcPr>
              <w:p>
                <w:pPr>
                  <w:jc w:val="center"/>
                  <w:rPr>
                    <w:b/>
                    <w:bCs/>
                    <w:sz w:val="22"/>
                    <w:szCs w:val="22"/>
                  </w:rPr>
                </w:pPr>
                <w:r>
                  <w:rPr>
                    <w:b/>
                    <w:bCs/>
                    <w:sz w:val="22"/>
                    <w:szCs w:val="22"/>
                  </w:rPr>
                  <w:t>Komentarai</w:t>
                </w:r>
              </w:p>
              <w:p>
                <w:pPr>
                  <w:jc w:val="center"/>
                  <w:rPr>
                    <w:sz w:val="22"/>
                    <w:szCs w:val="22"/>
                    <w:lang w:eastAsia="lt-LT"/>
                  </w:rPr>
                </w:pPr>
              </w:p>
            </w:tc>
          </w:tr>
          <w:tr>
            <w:trPr>
              <w:trHeight w:val="20"/>
            </w:trPr>
            <w:tc>
              <w:tcPr>
                <w:tcW w:w="4820" w:type="dxa"/>
                <w:tcBorders>
                  <w:top w:val="single" w:sz="4" w:space="0" w:color="000000"/>
                  <w:left w:val="single" w:sz="4" w:space="0" w:color="000000"/>
                  <w:bottom w:val="single" w:sz="4" w:space="0" w:color="000000"/>
                  <w:right w:val="single" w:sz="4" w:space="0" w:color="000000"/>
                </w:tcBorders>
                <w:shd w:val="clear" w:color="auto" w:fill="auto"/>
              </w:tcPr>
              <w:p>
                <w:pPr>
                  <w:rPr>
                    <w:sz w:val="22"/>
                    <w:szCs w:val="22"/>
                    <w:lang w:eastAsia="lt-LT"/>
                  </w:rPr>
                </w:pPr>
              </w:p>
            </w:tc>
            <w:tc>
              <w:tcPr>
                <w:tcW w:w="4677" w:type="dxa"/>
                <w:gridSpan w:val="2"/>
                <w:tcBorders>
                  <w:left w:val="single" w:sz="4" w:space="0" w:color="000000"/>
                  <w:bottom w:val="single" w:sz="4" w:space="0" w:color="000000"/>
                  <w:right w:val="single" w:sz="4" w:space="0" w:color="000000"/>
                </w:tcBorders>
                <w:shd w:val="clear" w:color="auto" w:fill="auto"/>
              </w:tcPr>
              <w:p>
                <w:pPr>
                  <w:rPr>
                    <w:b/>
                    <w:bCs/>
                    <w:sz w:val="22"/>
                    <w:szCs w:val="22"/>
                    <w:lang w:eastAsia="lt-LT"/>
                  </w:rPr>
                </w:pPr>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pPr>
                  <w:rPr>
                    <w:b/>
                    <w:bCs/>
                    <w:sz w:val="22"/>
                    <w:szCs w:val="22"/>
                    <w:lang w:eastAsia="lt-LT"/>
                  </w:rPr>
                </w:pPr>
              </w:p>
            </w:tc>
            <w:tc>
              <w:tcPr>
                <w:tcW w:w="2976" w:type="dxa"/>
                <w:tcBorders>
                  <w:top w:val="single" w:sz="4" w:space="0" w:color="000000"/>
                  <w:left w:val="single" w:sz="4" w:space="0" w:color="000000"/>
                  <w:bottom w:val="single" w:sz="4" w:space="0" w:color="000000"/>
                  <w:right w:val="single" w:sz="4" w:space="0" w:color="000000"/>
                </w:tcBorders>
                <w:shd w:val="clear" w:color="auto" w:fill="auto"/>
              </w:tcPr>
              <w:p>
                <w:pPr>
                  <w:rPr>
                    <w:b/>
                    <w:bCs/>
                    <w:sz w:val="22"/>
                    <w:szCs w:val="22"/>
                    <w:lang w:eastAsia="lt-LT"/>
                  </w:rPr>
                </w:pPr>
                <w:r>
                  <w:rPr>
                    <w:bCs/>
                    <w:i/>
                    <w:sz w:val="22"/>
                    <w:szCs w:val="22"/>
                    <w:lang w:eastAsia="lt-LT"/>
                  </w:rPr>
                  <w:t>(Šiame stulpelyje pagrindžiamas kiekvieno bendrojo reikalavimo / specialiojo kriterijaus ir jų vertinimo aspekto įvertinimas; jei bendrąjį reikalavimą, specialųjį kriterijų ar jų vertinimo aspektą vertina ne įgyvendinančioji institucija, tai taip pat pažymima šiame stulpelyje)</w:t>
                </w:r>
              </w:p>
            </w:tc>
          </w:tr>
          <w:tr>
            <w:trPr>
              <w:trHeight w:val="20"/>
            </w:trPr>
            <w:tc>
              <w:tcPr>
                <w:tcW w:w="14600" w:type="dxa"/>
                <w:gridSpan w:val="5"/>
                <w:tcBorders>
                  <w:top w:val="single" w:sz="4" w:space="0" w:color="000000"/>
                  <w:left w:val="single" w:sz="4" w:space="0" w:color="000000"/>
                  <w:bottom w:val="single" w:sz="4" w:space="0" w:color="auto"/>
                  <w:right w:val="single" w:sz="4" w:space="0" w:color="000000"/>
                </w:tcBorders>
                <w:shd w:val="clear" w:color="auto" w:fill="D9D9D9" w:themeFill="background1" w:themeFillShade="D9"/>
              </w:tcPr>
              <w:p>
                <w:pPr>
                  <w:rPr>
                    <w:sz w:val="22"/>
                    <w:szCs w:val="22"/>
                    <w:lang w:eastAsia="lt-LT"/>
                  </w:rPr>
                </w:pPr>
                <w:r>
                  <w:rPr>
                    <w:b/>
                    <w:bCs/>
                    <w:sz w:val="22"/>
                    <w:szCs w:val="22"/>
                    <w:lang w:eastAsia="lt-LT"/>
                  </w:rPr>
                  <w:t>1. P</w:t>
                </w:r>
                <w:r>
                  <w:rPr>
                    <w:b/>
                    <w:sz w:val="22"/>
                    <w:szCs w:val="22"/>
                    <w:lang w:eastAsia="lt-LT"/>
                  </w:rPr>
                  <w:t>lanuojamu</w:t>
                </w:r>
                <w:r>
                  <w:rPr>
                    <w:b/>
                    <w:bCs/>
                    <w:sz w:val="22"/>
                    <w:szCs w:val="22"/>
                    <w:lang w:eastAsia="lt-LT"/>
                  </w:rPr>
                  <w:t xml:space="preserve"> </w:t>
                </w:r>
                <w:r>
                  <w:rPr>
                    <w:b/>
                    <w:sz w:val="22"/>
                    <w:szCs w:val="22"/>
                    <w:lang w:eastAsia="lt-LT"/>
                  </w:rPr>
                  <w:t xml:space="preserve">finansuoti projektu </w:t>
                </w:r>
                <w:r>
                  <w:rPr>
                    <w:b/>
                    <w:bCs/>
                    <w:sz w:val="22"/>
                    <w:szCs w:val="22"/>
                    <w:lang w:eastAsia="lt-LT"/>
                  </w:rPr>
                  <w:t>prisidedama prie bent vieno veiksmų programos</w:t>
                </w:r>
                <w:r>
                  <w:rPr>
                    <w:b/>
                    <w:sz w:val="22"/>
                    <w:szCs w:val="22"/>
                    <w:lang w:eastAsia="lt-LT"/>
                  </w:rPr>
                  <w:t xml:space="preserve"> </w:t>
                </w:r>
                <w:r>
                  <w:rPr>
                    <w:b/>
                    <w:bCs/>
                    <w:sz w:val="22"/>
                    <w:szCs w:val="22"/>
                    <w:lang w:eastAsia="lt-LT"/>
                  </w:rPr>
                  <w:t>prioriteto konkretaus uždavinio įgyvendinimo, rezultato pasiekimo ir įgyvendinama bent viena pagal projektų finansavimo sąlygų aprašą numatoma finansuoti veikla.</w:t>
                </w: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1.1. Projekto tikslai ir uždaviniai atitinka bent vieną veiksmų programos prioriteto konkretų uždavinį ir siekiamą rezultatą.</w:t>
                </w:r>
              </w:p>
              <w:p>
                <w:pPr>
                  <w:rPr>
                    <w:sz w:val="22"/>
                    <w:szCs w:val="22"/>
                    <w:lang w:eastAsia="lt-LT"/>
                  </w:rPr>
                </w:pPr>
                <w:r>
                  <w:rPr>
                    <w:i/>
                    <w:sz w:val="22"/>
                    <w:szCs w:val="22"/>
                    <w:lang w:eastAsia="lt-LT"/>
                  </w:rPr>
                  <w:t>(Atitiktį šiam vertinimo aspektui vertina Lietuvos Respublikos vidaus reikalų ministerija (toliau − ministerija)</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r>
                  <w:rPr>
                    <w:sz w:val="22"/>
                    <w:szCs w:val="22"/>
                    <w:lang w:eastAsia="lt-LT"/>
                  </w:rPr>
                  <w:t>Projekto tikslas ir uždaviniai turi atitikti 2014–2020 m. ES fondų investicijų veiksmų programos, patvirtintos Europos Komisijos 2014 m. rugsėjo 8 d. sprendimu Nr. C(2014)6397, (toliau – veiksmų programa) 10 prioriteto „Visuomenės poreikius atitinkantis ir pažangus viešasis valdymas“ (toliau – 10 prioritetas) 10.1.3 konkretų uždavinį „Pagerinti visuomenei teikiamų paslaugų kokybę, didinant jų atitikimą visuomenės poreikiams“ ir siekiamą rezultatą.</w:t>
                </w: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r>
                  <w:rPr>
                    <w:i/>
                    <w:sz w:val="22"/>
                    <w:szCs w:val="22"/>
                    <w:lang w:eastAsia="lt-LT"/>
                  </w:rPr>
                  <w:t>(Įgyvendinančioji institucija, pildydama projekto tinkamumo finansuoti vertinimo lentelę, nurodo ministerijos atlikto projektinio pasiūlymo dėl valstybės projekto įgyvendinimo (toliau – projektinis pasiūlymas) vertinimo išvadą ir skiltyje „Komentarai“ nurodo šios išvados pavadinimą ir datą)</w:t>
                </w: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4820" w:type="dxa"/>
                <w:tcBorders>
                  <w:top w:val="single" w:sz="4" w:space="0" w:color="auto"/>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1.2. Projekto tikslai, uždaviniai ir veiklos atitinka bent vieną iš Apraše nurodytų veiklų.</w:t>
                </w:r>
              </w:p>
            </w:tc>
            <w:tc>
              <w:tcPr>
                <w:tcW w:w="4677" w:type="dxa"/>
                <w:gridSpan w:val="2"/>
                <w:tcBorders>
                  <w:top w:val="single" w:sz="4" w:space="0" w:color="auto"/>
                  <w:left w:val="single" w:sz="4" w:space="0" w:color="000000"/>
                  <w:bottom w:val="single" w:sz="4" w:space="0" w:color="000000"/>
                  <w:right w:val="single" w:sz="4" w:space="0" w:color="000000"/>
                </w:tcBorders>
              </w:tcPr>
              <w:p>
                <w:pPr>
                  <w:rPr>
                    <w:sz w:val="22"/>
                    <w:szCs w:val="22"/>
                    <w:lang w:eastAsia="lt-LT"/>
                  </w:rPr>
                </w:pPr>
                <w:r>
                  <w:rPr>
                    <w:sz w:val="22"/>
                    <w:szCs w:val="22"/>
                  </w:rPr>
                  <w:t xml:space="preserve">Projekto tikslas, uždaviniai ir veiklos turi atitikti bent vieną iš veiklų, nurodytų </w:t>
                </w:r>
                <w:r>
                  <w:rPr>
                    <w:sz w:val="22"/>
                    <w:szCs w:val="22"/>
                    <w:lang w:eastAsia="lt-LT"/>
                  </w:rPr>
                  <w:t>2014–2020 metų Europos Sąjungos fondų investicijų veiksmų programos 10 prioriteto „Visuomenės poreikius atitinkantis ir pažangus viešasis valdymas“ Nr. 10.1.3-ESFA-V-918 priemonės „Viešojo administravimo subjektų iniciatyvos, skirtos paslaugų ir asmenų aptarnavimo kokybės gerinimui“ projektų finansavimo sąlygų aprašo</w:t>
                </w:r>
                <w:r>
                  <w:rPr>
                    <w:sz w:val="22"/>
                    <w:szCs w:val="22"/>
                  </w:rPr>
                  <w:t xml:space="preserve"> (toliau – Aprašas) 10 punkte.</w:t>
                </w:r>
              </w:p>
            </w:tc>
            <w:tc>
              <w:tcPr>
                <w:tcW w:w="2127" w:type="dxa"/>
                <w:tcBorders>
                  <w:top w:val="single" w:sz="4" w:space="0" w:color="auto"/>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r>
          <w:tr>
            <w:trPr>
              <w:trHeight w:val="20"/>
            </w:trPr>
            <w:tc>
              <w:tcPr>
                <w:tcW w:w="4820" w:type="dxa"/>
                <w:tcBorders>
                  <w:top w:val="single" w:sz="4" w:space="0" w:color="auto"/>
                  <w:left w:val="single" w:sz="4" w:space="0" w:color="000000"/>
                  <w:bottom w:val="single" w:sz="4" w:space="0" w:color="000000"/>
                  <w:right w:val="single" w:sz="4" w:space="0" w:color="000000"/>
                </w:tcBorders>
                <w:hideMark/>
              </w:tcPr>
              <w:p>
                <w:pPr>
                  <w:rPr>
                    <w:sz w:val="22"/>
                    <w:szCs w:val="22"/>
                  </w:rPr>
                </w:pPr>
                <w:r>
                  <w:rPr>
                    <w:sz w:val="22"/>
                    <w:szCs w:val="22"/>
                    <w:lang w:eastAsia="lt-LT"/>
                  </w:rPr>
                  <w:t>1.3. Projektas atitinka kitus su projekto veiklomis susijusius Apraše nustatytus reikalavimus.</w:t>
                </w:r>
                <w:r>
                  <w:rPr>
                    <w:i/>
                    <w:sz w:val="22"/>
                    <w:szCs w:val="22"/>
                    <w:lang w:eastAsia="lt-LT"/>
                  </w:rPr>
                  <w:tab/>
                </w:r>
              </w:p>
            </w:tc>
            <w:tc>
              <w:tcPr>
                <w:tcW w:w="4677" w:type="dxa"/>
                <w:gridSpan w:val="2"/>
                <w:tcBorders>
                  <w:top w:val="single" w:sz="4" w:space="0" w:color="auto"/>
                  <w:left w:val="single" w:sz="4" w:space="0" w:color="000000"/>
                  <w:bottom w:val="single" w:sz="4" w:space="0" w:color="000000"/>
                  <w:right w:val="single" w:sz="4" w:space="0" w:color="000000"/>
                </w:tcBorders>
              </w:tcPr>
              <w:p>
                <w:pPr>
                  <w:rPr>
                    <w:sz w:val="22"/>
                    <w:szCs w:val="22"/>
                    <w:lang w:eastAsia="lt-LT"/>
                  </w:rPr>
                </w:pPr>
                <w:r>
                  <w:rPr>
                    <w:sz w:val="22"/>
                    <w:szCs w:val="22"/>
                    <w:lang w:eastAsia="lt-LT"/>
                  </w:rPr>
                  <w:t>Projektas turi atitikti kitus su projekto veiklomis susijusius Aprašo 11 punkte nustatytus reikalavimus.</w:t>
                </w:r>
              </w:p>
            </w:tc>
            <w:tc>
              <w:tcPr>
                <w:tcW w:w="2127" w:type="dxa"/>
                <w:tcBorders>
                  <w:top w:val="single" w:sz="4" w:space="0" w:color="auto"/>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r>
          <w:tr>
            <w:trPr>
              <w:trHeight w:val="20"/>
            </w:trPr>
            <w:tc>
              <w:tcPr>
                <w:tcW w:w="14600" w:type="dxa"/>
                <w:gridSpan w:val="5"/>
                <w:tcBorders>
                  <w:top w:val="single" w:sz="4" w:space="0" w:color="auto"/>
                  <w:left w:val="single" w:sz="4" w:space="0" w:color="000000"/>
                  <w:bottom w:val="single" w:sz="4" w:space="0" w:color="000000"/>
                  <w:right w:val="single" w:sz="4" w:space="0" w:color="000000"/>
                </w:tcBorders>
                <w:shd w:val="clear" w:color="auto" w:fill="D9D9D9"/>
              </w:tcPr>
              <w:p>
                <w:pPr>
                  <w:rPr>
                    <w:sz w:val="22"/>
                    <w:szCs w:val="22"/>
                    <w:lang w:eastAsia="lt-LT"/>
                  </w:rPr>
                </w:pPr>
                <w:r>
                  <w:rPr>
                    <w:b/>
                    <w:bCs/>
                    <w:sz w:val="22"/>
                    <w:szCs w:val="22"/>
                    <w:lang w:eastAsia="lt-LT"/>
                  </w:rPr>
                  <w:t>2. Projektas atitinka strateginio planavimo dokumentų nuostatas.</w:t>
                </w: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2.1. Projektas atitinka strateginio planavimo dokumentų nuostatas</w:t>
                </w:r>
                <w:r>
                  <w:rPr>
                    <w:sz w:val="22"/>
                    <w:szCs w:val="22"/>
                  </w:rPr>
                  <w:t>.</w:t>
                </w:r>
                <w:r>
                  <w:rPr>
                    <w:sz w:val="22"/>
                    <w:szCs w:val="22"/>
                    <w:lang w:eastAsia="lt-LT"/>
                  </w:rPr>
                  <w:t xml:space="preserve"> </w:t>
                </w:r>
              </w:p>
              <w:p>
                <w:pPr>
                  <w:rPr>
                    <w:sz w:val="22"/>
                    <w:szCs w:val="22"/>
                    <w:lang w:eastAsia="lt-LT"/>
                  </w:rPr>
                </w:pPr>
                <w:r>
                  <w:rPr>
                    <w:i/>
                    <w:sz w:val="22"/>
                    <w:szCs w:val="22"/>
                    <w:lang w:eastAsia="lt-LT"/>
                  </w:rPr>
                  <w:t>(Atitiktį šiam reikalavimui vertina ministerija</w:t>
                </w:r>
                <w:r>
                  <w:rPr>
                    <w:sz w:val="22"/>
                    <w:szCs w:val="22"/>
                    <w:lang w:eastAsia="lt-LT"/>
                  </w:rPr>
                  <w:t>)</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r>
                  <w:rPr>
                    <w:sz w:val="22"/>
                    <w:szCs w:val="22"/>
                  </w:rPr>
                  <w:t>Projektas turi atitikti strateginio planavimo dokumentą, nurodytą Aprašo 19</w:t>
                </w:r>
                <w:r>
                  <w:rPr>
                    <w:i/>
                    <w:sz w:val="22"/>
                    <w:szCs w:val="22"/>
                  </w:rPr>
                  <w:t xml:space="preserve"> </w:t>
                </w:r>
                <w:r>
                  <w:rPr>
                    <w:sz w:val="22"/>
                    <w:szCs w:val="22"/>
                  </w:rPr>
                  <w:t>punkte.</w:t>
                </w: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r>
                  <w:rPr>
                    <w:i/>
                    <w:sz w:val="22"/>
                    <w:szCs w:val="22"/>
                    <w:lang w:eastAsia="lt-LT"/>
                  </w:rPr>
                  <w:t>(Įgyvendinančioji institucija, pildydama projekto tinkamumo finansuoti vertinimo lentelę, nurodo ministerijos atlikto projektinio pasiūlymo vertinimo išvadą ir skiltyje „Komentarai“ nurodo šios išvados pavadinimą ir datą)</w:t>
                </w: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tcPr>
              <w:p>
                <w:pPr>
                  <w:rPr>
                    <w:bCs/>
                    <w:sz w:val="22"/>
                    <w:szCs w:val="22"/>
                    <w:lang w:eastAsia="lt-LT"/>
                  </w:rPr>
                </w:pPr>
                <w:r>
                  <w:rPr>
                    <w:sz w:val="22"/>
                    <w:szCs w:val="22"/>
                    <w:lang w:eastAsia="lt-LT"/>
                  </w:rPr>
                  <w:t xml:space="preserve">2.2. Projektu prisidedama prie bent vieno 2009 m. spalio 30 d. Europos Vadovų Tarybos išvadomis Nr. 15265/09 patvirtintos Europos Sąjungos Baltijos jūros regiono strategijos, atnaujintos Europos Komisijos 2012 m. kovo 23 d. komunikatu Nr. COM (2012) 128, tikslo įgyvendinimo pagal bent vieną Europos Sąjungos Baltijos jūros regiono strategijos veiksmų plane, </w:t>
                </w:r>
                <w:r>
                  <w:rPr>
                    <w:iCs/>
                    <w:sz w:val="22"/>
                    <w:szCs w:val="22"/>
                    <w:lang w:eastAsia="lt-LT"/>
                  </w:rPr>
                  <w:t xml:space="preserve">patvirtintame Europos Komisijos </w:t>
                </w:r>
                <w:r>
                  <w:rPr>
                    <w:rFonts w:eastAsia="Calibri"/>
                    <w:iCs/>
                    <w:sz w:val="22"/>
                    <w:szCs w:val="22"/>
                    <w:lang w:eastAsia="lt-LT"/>
                  </w:rPr>
                  <w:t>2017 m. kovo 20 d. sprendimu Nr. SWD(2017)118</w:t>
                </w:r>
                <w:r>
                  <w:rPr>
                    <w:iCs/>
                    <w:sz w:val="22"/>
                    <w:szCs w:val="22"/>
                    <w:lang w:eastAsia="lt-LT"/>
                  </w:rPr>
                  <w:t>,</w:t>
                </w:r>
                <w:r>
                  <w:rPr>
                    <w:sz w:val="22"/>
                    <w:szCs w:val="22"/>
                    <w:lang w:eastAsia="lt-LT"/>
                  </w:rPr>
                  <w:t xml:space="preserve"> numatytą politinę sritį, horizontalųjį veiksmą ar įgyvendinimo pavyzdį.</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r>
                  <w:rPr>
                    <w:sz w:val="22"/>
                    <w:szCs w:val="22"/>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14600" w:type="dxa"/>
                <w:gridSpan w:val="5"/>
                <w:tcBorders>
                  <w:top w:val="single" w:sz="4" w:space="0" w:color="auto"/>
                  <w:left w:val="single" w:sz="4" w:space="0" w:color="000000"/>
                  <w:bottom w:val="single" w:sz="4" w:space="0" w:color="000000"/>
                  <w:right w:val="single" w:sz="4" w:space="0" w:color="000000"/>
                </w:tcBorders>
                <w:shd w:val="clear" w:color="auto" w:fill="D9D9D9"/>
              </w:tcPr>
              <w:p>
                <w:pPr>
                  <w:rPr>
                    <w:sz w:val="22"/>
                    <w:szCs w:val="22"/>
                    <w:lang w:eastAsia="lt-LT"/>
                  </w:rPr>
                </w:pPr>
                <w:r>
                  <w:rPr>
                    <w:b/>
                    <w:bCs/>
                    <w:sz w:val="22"/>
                    <w:szCs w:val="22"/>
                    <w:lang w:eastAsia="lt-LT"/>
                  </w:rPr>
                  <w:t>3. Projektu siekiama aiškių ir realių kiekybinių uždavinių.</w:t>
                </w: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 xml:space="preserve">3.1. Projektu prisidedama prie </w:t>
                </w:r>
                <w:r>
                  <w:rPr>
                    <w:sz w:val="22"/>
                    <w:szCs w:val="22"/>
                  </w:rPr>
                  <w:t xml:space="preserve">bent vieno Apraše nustatyto veiksmų programos  ir (arba) ministerijos priemonių įgyvendinimo plane nurodyto nacionalinio produkto ir (arba) rezultato rodiklio</w:t>
                </w:r>
                <w:r>
                  <w:rPr>
                    <w:sz w:val="22"/>
                    <w:szCs w:val="22"/>
                    <w:lang w:eastAsia="lt-LT"/>
                  </w:rPr>
                  <w:t xml:space="preserve"> pasiekimo.</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r>
                  <w:rPr>
                    <w:sz w:val="22"/>
                    <w:szCs w:val="22"/>
                  </w:rPr>
                  <w:t>Projektas turi siekti stebėsenos rodiklių, nurodytų Aprašo 24 punkte.</w:t>
                </w:r>
              </w:p>
            </w:tc>
            <w:tc>
              <w:tcPr>
                <w:tcW w:w="2127"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c>
              <w:tcPr>
                <w:tcW w:w="4820" w:type="dxa"/>
                <w:tcBorders>
                  <w:top w:val="single" w:sz="4" w:space="0" w:color="auto"/>
                  <w:left w:val="single" w:sz="4" w:space="0" w:color="000000"/>
                  <w:bottom w:val="single" w:sz="4" w:space="0" w:color="000000"/>
                  <w:right w:val="single" w:sz="4" w:space="0" w:color="000000"/>
                </w:tcBorders>
                <w:hideMark/>
              </w:tcPr>
              <w:p>
                <w:pPr>
                  <w:rPr>
                    <w:bCs/>
                    <w:sz w:val="22"/>
                    <w:szCs w:val="22"/>
                    <w:lang w:eastAsia="lt-LT"/>
                  </w:rPr>
                </w:pPr>
                <w:r>
                  <w:rPr>
                    <w:bCs/>
                    <w:sz w:val="22"/>
                    <w:szCs w:val="22"/>
                    <w:lang w:eastAsia="lt-LT"/>
                  </w:rPr>
                  <w:t>3.2. Išlaikyta nuosekli vidinė projekto logika, t. y. projekto rezultatai yra projekto veiklų padarinys, projekto veiklos sudaro prielaidas įgyvendinti projekto uždavinius, o pastarieji – pasiekti nustatytą projekto tikslą.</w:t>
                </w:r>
              </w:p>
            </w:tc>
            <w:tc>
              <w:tcPr>
                <w:tcW w:w="4677" w:type="dxa"/>
                <w:gridSpan w:val="2"/>
                <w:tcBorders>
                  <w:top w:val="single" w:sz="4" w:space="0" w:color="auto"/>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auto"/>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r>
          <w:tr>
            <w:trPr>
              <w:trHeight w:val="20"/>
            </w:trPr>
            <w:tc>
              <w:tcPr>
                <w:tcW w:w="4820" w:type="dxa"/>
                <w:tcBorders>
                  <w:top w:val="single" w:sz="4" w:space="0" w:color="auto"/>
                  <w:left w:val="single" w:sz="4" w:space="0" w:color="000000"/>
                  <w:bottom w:val="single" w:sz="4" w:space="0" w:color="000000"/>
                  <w:right w:val="single" w:sz="4" w:space="0" w:color="000000"/>
                </w:tcBorders>
                <w:hideMark/>
              </w:tcPr>
              <w:p>
                <w:pPr>
                  <w:rPr>
                    <w:sz w:val="22"/>
                    <w:szCs w:val="22"/>
                  </w:rPr>
                </w:pPr>
                <w:r>
                  <w:rPr>
                    <w:bCs/>
                    <w:sz w:val="22"/>
                    <w:szCs w:val="22"/>
                    <w:lang w:eastAsia="lt-LT"/>
                  </w:rPr>
                  <w:t>3.3.</w:t>
                </w:r>
                <w:r>
                  <w:rPr>
                    <w:sz w:val="22"/>
                    <w:szCs w:val="22"/>
                  </w:rPr>
                  <w:t xml:space="preserve"> </w:t>
                </w:r>
                <w:r>
                  <w:rPr>
                    <w:bCs/>
                    <w:sz w:val="22"/>
                    <w:szCs w:val="22"/>
                    <w:lang w:eastAsia="lt-LT"/>
                  </w:rPr>
                  <w:t>Projekto uždaviniai yra specifiniai (parodo projekto esmę ir charakteristikas), išmatuojami (kiekybiškai išreikšti ir matuojami) ir įvykdomi, aiški veiklų pradžios ir pabaigos data.</w:t>
                </w:r>
              </w:p>
            </w:tc>
            <w:tc>
              <w:tcPr>
                <w:tcW w:w="4677" w:type="dxa"/>
                <w:gridSpan w:val="2"/>
                <w:tcBorders>
                  <w:top w:val="single" w:sz="4" w:space="0" w:color="auto"/>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auto"/>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r>
          <w:tr>
            <w:trPr>
              <w:trHeight w:val="20"/>
            </w:trPr>
            <w:tc>
              <w:tcPr>
                <w:tcW w:w="14600" w:type="dxa"/>
                <w:gridSpan w:val="5"/>
                <w:tcBorders>
                  <w:top w:val="single" w:sz="4" w:space="0" w:color="auto"/>
                  <w:left w:val="single" w:sz="4" w:space="0" w:color="000000"/>
                  <w:bottom w:val="single" w:sz="4" w:space="0" w:color="000000"/>
                  <w:right w:val="single" w:sz="4" w:space="0" w:color="000000"/>
                </w:tcBorders>
                <w:shd w:val="clear" w:color="auto" w:fill="D9D9D9"/>
              </w:tcPr>
              <w:p>
                <w:pPr>
                  <w:rPr>
                    <w:sz w:val="22"/>
                    <w:szCs w:val="22"/>
                    <w:lang w:eastAsia="lt-LT"/>
                  </w:rPr>
                </w:pPr>
                <w:r>
                  <w:rPr>
                    <w:b/>
                    <w:bCs/>
                    <w:sz w:val="22"/>
                    <w:szCs w:val="22"/>
                    <w:lang w:eastAsia="lt-LT"/>
                  </w:rPr>
                  <w:t>4. Projektas atitinka horizontaliuosius (darnaus vystymosi bei moterų ir vyrų lygybės ir nediskriminavimo) principus, projekto įgyvendinimas yra suderinamas su ES konkurencijos politikos nuostatomis.</w:t>
                </w:r>
              </w:p>
            </w:tc>
          </w:tr>
          <w:tr>
            <w:trPr>
              <w:trHeight w:val="20"/>
            </w:trPr>
            <w:tc>
              <w:tcPr>
                <w:tcW w:w="4961" w:type="dxa"/>
                <w:gridSpan w:val="2"/>
                <w:tcBorders>
                  <w:top w:val="single" w:sz="4" w:space="0" w:color="auto"/>
                  <w:left w:val="single" w:sz="4" w:space="0" w:color="000000"/>
                  <w:bottom w:val="single" w:sz="4" w:space="0" w:color="000000"/>
                  <w:right w:val="single" w:sz="4" w:space="0" w:color="000000"/>
                </w:tcBorders>
                <w:hideMark/>
              </w:tcPr>
              <w:p>
                <w:pPr>
                  <w:rPr>
                    <w:bCs/>
                    <w:sz w:val="22"/>
                    <w:szCs w:val="22"/>
                    <w:lang w:eastAsia="lt-LT"/>
                  </w:rPr>
                </w:pPr>
                <w:r>
                  <w:rPr>
                    <w:bCs/>
                    <w:sz w:val="22"/>
                    <w:szCs w:val="22"/>
                    <w:lang w:eastAsia="lt-LT"/>
                  </w:rPr>
                  <w:t>4.1. Projekte nėra numatyti veiksmai, kurie turėtų neigiamą poveikį darnaus vystymosi principo įgyvendinimui:</w:t>
                </w:r>
              </w:p>
            </w:tc>
            <w:tc>
              <w:tcPr>
                <w:tcW w:w="453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auto"/>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r>
          <w:tr>
            <w:trPr>
              <w:trHeight w:val="20"/>
            </w:trPr>
            <w:tc>
              <w:tcPr>
                <w:tcW w:w="4961" w:type="dxa"/>
                <w:gridSpan w:val="2"/>
                <w:tcBorders>
                  <w:top w:val="single" w:sz="4" w:space="0" w:color="auto"/>
                  <w:left w:val="single" w:sz="4" w:space="0" w:color="000000"/>
                  <w:bottom w:val="single" w:sz="4" w:space="0" w:color="000000"/>
                  <w:right w:val="single" w:sz="4" w:space="0" w:color="000000"/>
                </w:tcBorders>
                <w:hideMark/>
              </w:tcPr>
              <w:p>
                <w:pPr>
                  <w:rPr>
                    <w:bCs/>
                    <w:sz w:val="22"/>
                    <w:szCs w:val="22"/>
                    <w:lang w:eastAsia="lt-LT"/>
                  </w:rPr>
                </w:pPr>
                <w:r>
                  <w:rPr>
                    <w:bCs/>
                    <w:sz w:val="22"/>
                    <w:szCs w:val="22"/>
                    <w:lang w:eastAsia="lt-LT"/>
                  </w:rPr>
                  <w:t xml:space="preserve">4.1.1. aplinkosaugos srityje (aplinkos kokybė ir gamtos ištekliai, kraštovaizdžio ir biologinės įvairovės apsauga, klimato kaita, aplinkos apsauga ir kt.); </w:t>
                </w:r>
              </w:p>
            </w:tc>
            <w:tc>
              <w:tcPr>
                <w:tcW w:w="4536" w:type="dxa"/>
                <w:tcBorders>
                  <w:top w:val="single" w:sz="4" w:space="0" w:color="auto"/>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Netaikoma. </w:t>
                </w:r>
              </w:p>
            </w:tc>
            <w:tc>
              <w:tcPr>
                <w:tcW w:w="2127" w:type="dxa"/>
                <w:tcBorders>
                  <w:top w:val="single" w:sz="4" w:space="0" w:color="auto"/>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r>
          <w:tr>
            <w:trPr>
              <w:trHeight w:val="20"/>
            </w:trPr>
            <w:tc>
              <w:tcPr>
                <w:tcW w:w="4961" w:type="dxa"/>
                <w:gridSpan w:val="2"/>
                <w:tcBorders>
                  <w:top w:val="single" w:sz="4" w:space="0" w:color="auto"/>
                  <w:left w:val="single" w:sz="4" w:space="0" w:color="000000"/>
                  <w:bottom w:val="single" w:sz="4" w:space="0" w:color="000000"/>
                  <w:right w:val="single" w:sz="4" w:space="0" w:color="000000"/>
                </w:tcBorders>
                <w:hideMark/>
              </w:tcPr>
              <w:p>
                <w:pPr>
                  <w:rPr>
                    <w:bCs/>
                    <w:sz w:val="22"/>
                    <w:szCs w:val="22"/>
                    <w:lang w:eastAsia="lt-LT"/>
                  </w:rPr>
                </w:pPr>
                <w:r>
                  <w:rPr>
                    <w:bCs/>
                    <w:sz w:val="22"/>
                    <w:szCs w:val="22"/>
                    <w:lang w:eastAsia="lt-LT"/>
                  </w:rPr>
                  <w:t>4.1.2. socialinėje srityje (užimtumas, skurdas ir socialinė atskirtis, visuomenės sveikata, švietimas ir mokslas, kultūros savitumo išsaugojimas, tausojantis vartojimas);</w:t>
                </w:r>
              </w:p>
            </w:tc>
            <w:tc>
              <w:tcPr>
                <w:tcW w:w="453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auto"/>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r>
          <w:tr>
            <w:trPr>
              <w:trHeight w:val="20"/>
            </w:trPr>
            <w:tc>
              <w:tcPr>
                <w:tcW w:w="4961" w:type="dxa"/>
                <w:gridSpan w:val="2"/>
                <w:tcBorders>
                  <w:top w:val="single" w:sz="4" w:space="0" w:color="auto"/>
                  <w:left w:val="single" w:sz="4" w:space="0" w:color="000000"/>
                  <w:bottom w:val="single" w:sz="4" w:space="0" w:color="000000"/>
                  <w:right w:val="single" w:sz="4" w:space="0" w:color="000000"/>
                </w:tcBorders>
                <w:hideMark/>
              </w:tcPr>
              <w:p>
                <w:pPr>
                  <w:rPr>
                    <w:bCs/>
                    <w:sz w:val="22"/>
                    <w:szCs w:val="22"/>
                    <w:lang w:eastAsia="lt-LT"/>
                  </w:rPr>
                </w:pPr>
                <w:r>
                  <w:rPr>
                    <w:bCs/>
                    <w:sz w:val="22"/>
                    <w:szCs w:val="22"/>
                    <w:lang w:eastAsia="lt-LT"/>
                  </w:rPr>
                  <w:t>4.1.3. ekonomikos srityje (darnus pagrindinių ūkio šakų ir regionų vystymas);</w:t>
                </w:r>
              </w:p>
            </w:tc>
            <w:tc>
              <w:tcPr>
                <w:tcW w:w="453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auto"/>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r>
          <w:tr>
            <w:trPr>
              <w:trHeight w:val="20"/>
            </w:trPr>
            <w:tc>
              <w:tcPr>
                <w:tcW w:w="4961" w:type="dxa"/>
                <w:gridSpan w:val="2"/>
                <w:tcBorders>
                  <w:top w:val="single" w:sz="4" w:space="0" w:color="auto"/>
                  <w:left w:val="single" w:sz="4" w:space="0" w:color="000000"/>
                  <w:bottom w:val="single" w:sz="4" w:space="0" w:color="000000"/>
                  <w:right w:val="single" w:sz="4" w:space="0" w:color="000000"/>
                </w:tcBorders>
                <w:hideMark/>
              </w:tcPr>
              <w:p>
                <w:pPr>
                  <w:rPr>
                    <w:bCs/>
                    <w:sz w:val="22"/>
                    <w:szCs w:val="22"/>
                    <w:lang w:eastAsia="lt-LT"/>
                  </w:rPr>
                </w:pPr>
                <w:r>
                  <w:rPr>
                    <w:bCs/>
                    <w:sz w:val="22"/>
                    <w:szCs w:val="22"/>
                    <w:lang w:eastAsia="lt-LT"/>
                  </w:rPr>
                  <w:t>4.1.4. teritorijų vystymo srityje (aplinkosauginių, socialinių ir ekonominių skirtumų mažinimas);</w:t>
                </w:r>
              </w:p>
            </w:tc>
            <w:tc>
              <w:tcPr>
                <w:tcW w:w="453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auto"/>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r>
          <w:tr>
            <w:trPr>
              <w:trHeight w:val="20"/>
            </w:trPr>
            <w:tc>
              <w:tcPr>
                <w:tcW w:w="4961" w:type="dxa"/>
                <w:gridSpan w:val="2"/>
                <w:tcBorders>
                  <w:top w:val="single" w:sz="4" w:space="0" w:color="auto"/>
                  <w:left w:val="single" w:sz="4" w:space="0" w:color="000000"/>
                  <w:bottom w:val="single" w:sz="4" w:space="0" w:color="000000"/>
                  <w:right w:val="single" w:sz="4" w:space="0" w:color="000000"/>
                </w:tcBorders>
                <w:hideMark/>
              </w:tcPr>
              <w:p>
                <w:pPr>
                  <w:rPr>
                    <w:bCs/>
                    <w:sz w:val="22"/>
                    <w:szCs w:val="22"/>
                    <w:lang w:eastAsia="lt-LT"/>
                  </w:rPr>
                </w:pPr>
                <w:r>
                  <w:rPr>
                    <w:bCs/>
                    <w:sz w:val="22"/>
                    <w:szCs w:val="22"/>
                    <w:lang w:eastAsia="lt-LT"/>
                  </w:rPr>
                  <w:t>4.1.5. informacinės ir žinių visuomenės srityje;</w:t>
                </w:r>
              </w:p>
            </w:tc>
            <w:tc>
              <w:tcPr>
                <w:tcW w:w="4536" w:type="dxa"/>
                <w:tcBorders>
                  <w:top w:val="single" w:sz="4" w:space="0" w:color="auto"/>
                  <w:left w:val="single" w:sz="4" w:space="0" w:color="000000"/>
                  <w:bottom w:val="single" w:sz="4" w:space="0" w:color="000000"/>
                  <w:right w:val="single" w:sz="4" w:space="0" w:color="000000"/>
                </w:tcBorders>
              </w:tcPr>
              <w:p>
                <w:pPr>
                  <w:rPr>
                    <w:sz w:val="22"/>
                    <w:szCs w:val="22"/>
                    <w:lang w:eastAsia="lt-LT"/>
                  </w:rPr>
                </w:pPr>
                <w:r>
                  <w:rPr>
                    <w:sz w:val="22"/>
                    <w:szCs w:val="22"/>
                    <w:lang w:eastAsia="lt-LT"/>
                  </w:rPr>
                  <w:t>Netaikoma.</w:t>
                </w:r>
              </w:p>
            </w:tc>
            <w:tc>
              <w:tcPr>
                <w:tcW w:w="2127" w:type="dxa"/>
                <w:tcBorders>
                  <w:top w:val="single" w:sz="4" w:space="0" w:color="auto"/>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r>
          <w:tr>
            <w:trPr>
              <w:trHeight w:val="20"/>
            </w:trPr>
            <w:tc>
              <w:tcPr>
                <w:tcW w:w="4961" w:type="dxa"/>
                <w:gridSpan w:val="2"/>
                <w:tcBorders>
                  <w:top w:val="single" w:sz="4" w:space="0" w:color="auto"/>
                  <w:left w:val="single" w:sz="4" w:space="0" w:color="000000"/>
                  <w:bottom w:val="single" w:sz="4" w:space="0" w:color="000000"/>
                  <w:right w:val="single" w:sz="4" w:space="0" w:color="000000"/>
                </w:tcBorders>
                <w:hideMark/>
              </w:tcPr>
              <w:p>
                <w:pPr>
                  <w:rPr>
                    <w:bCs/>
                    <w:i/>
                    <w:sz w:val="22"/>
                    <w:szCs w:val="22"/>
                    <w:lang w:eastAsia="lt-LT"/>
                  </w:rPr>
                </w:pPr>
                <w:r>
                  <w:rPr>
                    <w:bCs/>
                    <w:sz w:val="22"/>
                    <w:szCs w:val="22"/>
                    <w:lang w:eastAsia="lt-LT"/>
                  </w:rPr>
                  <w:t xml:space="preserve">4.2. Pasiūlyti konkretūs veiksmai (pademonstruotas proaktyvus požiūris), kurie rodo, kad projektas skatina darnaus vystymosi principo įgyvendinimą. </w:t>
                </w:r>
              </w:p>
            </w:tc>
            <w:tc>
              <w:tcPr>
                <w:tcW w:w="4536" w:type="dxa"/>
                <w:tcBorders>
                  <w:top w:val="single" w:sz="4" w:space="0" w:color="auto"/>
                  <w:left w:val="single" w:sz="4" w:space="0" w:color="000000"/>
                  <w:bottom w:val="single" w:sz="4" w:space="0" w:color="000000"/>
                  <w:right w:val="single" w:sz="4" w:space="0" w:color="000000"/>
                </w:tcBorders>
              </w:tcPr>
              <w:p>
                <w:pPr>
                  <w:rPr>
                    <w:sz w:val="22"/>
                    <w:szCs w:val="22"/>
                    <w:lang w:eastAsia="lt-LT"/>
                  </w:rPr>
                </w:pPr>
                <w:r>
                  <w:rPr>
                    <w:sz w:val="22"/>
                    <w:szCs w:val="24"/>
                  </w:rPr>
                  <w:t>Netaikoma.</w:t>
                </w:r>
              </w:p>
            </w:tc>
            <w:tc>
              <w:tcPr>
                <w:tcW w:w="2127" w:type="dxa"/>
                <w:tcBorders>
                  <w:top w:val="single" w:sz="4" w:space="0" w:color="auto"/>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r>
          <w:tr>
            <w:trPr>
              <w:trHeight w:val="20"/>
            </w:trPr>
            <w:tc>
              <w:tcPr>
                <w:tcW w:w="4961" w:type="dxa"/>
                <w:gridSpan w:val="2"/>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4.3. Projekte nėra numatoma apribojimų, kurie turėtų neigiamą poveikį moterų ir vyrų lygybės ir nediskriminavimo</w:t>
                </w:r>
                <w:r>
                  <w:rPr>
                    <w:sz w:val="22"/>
                    <w:szCs w:val="22"/>
                  </w:rPr>
                  <w:t xml:space="preserve"> </w:t>
                </w:r>
                <w:r>
                  <w:rPr>
                    <w:sz w:val="22"/>
                    <w:szCs w:val="22"/>
                    <w:lang w:eastAsia="lt-LT"/>
                  </w:rPr>
                  <w:t>dėl lyties, rasės, tautybės, kalbos, kilmės, socialinės padėties, tikėjimo, įsitikinimų ar pažiūrų, amžiaus, negalios, lytinės orientacijos, etninės priklausomybės, religijos principų įgyvendinimui (pavyzdžiui, jei pagal projektą finansuojama statinio statyba ar rekonstrukcija, vertinant nediskriminavimo dėl negalios aspektą, būtina patikrinti, ar numatytas statyti arba rekonstruoti statinys pritaikytas žmonių su negalia poreikiams, tokiems kaip patekimas į pastatą ar pan.) (taikoma tik tais atvejais, kai pagal projektą finansuojama statinio statyba ar rekonstrukcija).</w:t>
                </w:r>
              </w:p>
            </w:tc>
            <w:tc>
              <w:tcPr>
                <w:tcW w:w="453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4961" w:type="dxa"/>
                <w:gridSpan w:val="2"/>
                <w:tcBorders>
                  <w:top w:val="single" w:sz="4" w:space="0" w:color="auto"/>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 xml:space="preserve">4.4. Pasiūlyti konkretūs veiksmai, kurie rodo, kad projektu prisidedama prie moterų ir vyrų lygybės principo įgyvendinimo ir (arba) skatinamas nediskriminavimo dėl lyties, rasės, tautybės, kalbos,  kilmės, socialinės padėties,  tikėjimo, įsitikinimų ar pažiūrų, amžiaus, negalios, lytinės orientacijos, etninės priklausomybės, religijos principo įgyvendinimas. </w:t>
                </w:r>
              </w:p>
            </w:tc>
            <w:tc>
              <w:tcPr>
                <w:tcW w:w="4536" w:type="dxa"/>
                <w:tcBorders>
                  <w:top w:val="single" w:sz="4" w:space="0" w:color="auto"/>
                  <w:left w:val="single" w:sz="4" w:space="0" w:color="000000"/>
                  <w:bottom w:val="single" w:sz="4" w:space="0" w:color="000000"/>
                  <w:right w:val="single" w:sz="4" w:space="0" w:color="000000"/>
                </w:tcBorders>
              </w:tcPr>
              <w:p>
                <w:pPr>
                  <w:rPr>
                    <w:sz w:val="22"/>
                    <w:szCs w:val="22"/>
                    <w:lang w:eastAsia="lt-LT"/>
                  </w:rPr>
                </w:pPr>
                <w:r>
                  <w:rPr>
                    <w:sz w:val="22"/>
                    <w:szCs w:val="24"/>
                  </w:rPr>
                  <w:t xml:space="preserve">Projektas turi atitikti reikalavimus, numatytus Aprašo 30 punkte. </w:t>
                </w:r>
              </w:p>
            </w:tc>
            <w:tc>
              <w:tcPr>
                <w:tcW w:w="2127" w:type="dxa"/>
                <w:tcBorders>
                  <w:top w:val="single" w:sz="4" w:space="0" w:color="auto"/>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r>
          <w:tr>
            <w:trPr>
              <w:trHeight w:val="20"/>
            </w:trPr>
            <w:tc>
              <w:tcPr>
                <w:tcW w:w="4961" w:type="dxa"/>
                <w:gridSpan w:val="2"/>
                <w:tcBorders>
                  <w:top w:val="single" w:sz="4" w:space="0" w:color="auto"/>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4.5. Projektas suderinamas su ES konkurencijos politikos nuostatomis: </w:t>
                </w:r>
              </w:p>
            </w:tc>
            <w:tc>
              <w:tcPr>
                <w:tcW w:w="453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auto"/>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r>
          <w:tr>
            <w:trPr>
              <w:trHeight w:val="20"/>
            </w:trPr>
            <w:tc>
              <w:tcPr>
                <w:tcW w:w="4961" w:type="dxa"/>
                <w:gridSpan w:val="2"/>
                <w:tcBorders>
                  <w:top w:val="single" w:sz="4" w:space="0" w:color="auto"/>
                  <w:left w:val="single" w:sz="4" w:space="0" w:color="000000"/>
                  <w:bottom w:val="single" w:sz="4" w:space="0" w:color="000000"/>
                  <w:right w:val="single" w:sz="4" w:space="0" w:color="000000"/>
                </w:tcBorders>
              </w:tcPr>
              <w:p>
                <w:pPr>
                  <w:rPr>
                    <w:sz w:val="22"/>
                    <w:szCs w:val="22"/>
                    <w:lang w:eastAsia="lt-LT"/>
                  </w:rPr>
                </w:pPr>
                <w:r>
                  <w:rPr>
                    <w:sz w:val="22"/>
                    <w:szCs w:val="22"/>
                    <w:lang w:eastAsia="lt-LT"/>
                  </w:rPr>
                  <w:t>4.5.1. teikiamas finansavimas neviršija nustatytų</w:t>
                </w:r>
                <w:r>
                  <w:rPr>
                    <w:i/>
                    <w:sz w:val="22"/>
                    <w:szCs w:val="22"/>
                    <w:lang w:eastAsia="lt-LT"/>
                  </w:rPr>
                  <w:t xml:space="preserve"> de minimis</w:t>
                </w:r>
                <w:r>
                  <w:rPr>
                    <w:sz w:val="22"/>
                    <w:szCs w:val="22"/>
                    <w:lang w:eastAsia="lt-LT"/>
                  </w:rPr>
                  <w:t xml:space="preserve"> pagalbos ribų ir atitinka reikalavimus, taikomus </w:t>
                </w:r>
                <w:r>
                  <w:rPr>
                    <w:i/>
                    <w:sz w:val="22"/>
                    <w:szCs w:val="22"/>
                    <w:lang w:eastAsia="lt-LT"/>
                  </w:rPr>
                  <w:t>de minimis</w:t>
                </w:r>
                <w:r>
                  <w:rPr>
                    <w:sz w:val="22"/>
                    <w:szCs w:val="22"/>
                    <w:lang w:eastAsia="lt-LT"/>
                  </w:rPr>
                  <w:t xml:space="preserve"> pagalbai, arba </w:t>
                </w:r>
              </w:p>
            </w:tc>
            <w:tc>
              <w:tcPr>
                <w:tcW w:w="4536" w:type="dxa"/>
                <w:tcBorders>
                  <w:top w:val="single" w:sz="4" w:space="0" w:color="auto"/>
                  <w:left w:val="single" w:sz="4" w:space="0" w:color="000000"/>
                  <w:bottom w:val="single" w:sz="4" w:space="0" w:color="000000"/>
                  <w:right w:val="single" w:sz="4" w:space="0" w:color="000000"/>
                </w:tcBorders>
              </w:tcPr>
              <w:p>
                <w:pPr>
                  <w:rPr>
                    <w:sz w:val="22"/>
                    <w:szCs w:val="22"/>
                    <w:lang w:eastAsia="lt-LT"/>
                  </w:rPr>
                </w:pPr>
                <w:r>
                  <w:rPr>
                    <w:sz w:val="22"/>
                    <w:szCs w:val="22"/>
                    <w:lang w:eastAsia="lt-LT"/>
                  </w:rPr>
                  <w:t>Netaikoma</w:t>
                </w:r>
              </w:p>
            </w:tc>
            <w:tc>
              <w:tcPr>
                <w:tcW w:w="2127" w:type="dxa"/>
                <w:tcBorders>
                  <w:top w:val="single" w:sz="4" w:space="0" w:color="auto"/>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r>
          <w:tr>
            <w:trPr>
              <w:trHeight w:val="20"/>
            </w:trPr>
            <w:tc>
              <w:tcPr>
                <w:tcW w:w="4961" w:type="dxa"/>
                <w:gridSpan w:val="2"/>
                <w:tcBorders>
                  <w:top w:val="single" w:sz="4" w:space="0" w:color="auto"/>
                  <w:left w:val="single" w:sz="4" w:space="0" w:color="000000"/>
                  <w:bottom w:val="single" w:sz="4" w:space="0" w:color="000000"/>
                  <w:right w:val="single" w:sz="4" w:space="0" w:color="000000"/>
                </w:tcBorders>
              </w:tcPr>
              <w:p>
                <w:pPr>
                  <w:rPr>
                    <w:sz w:val="22"/>
                    <w:szCs w:val="22"/>
                    <w:lang w:eastAsia="lt-LT"/>
                  </w:rPr>
                </w:pPr>
                <w:r>
                  <w:rPr>
                    <w:sz w:val="22"/>
                    <w:szCs w:val="22"/>
                    <w:lang w:eastAsia="lt-LT"/>
                  </w:rPr>
                  <w:t>4.5.2. projektas finansuojamas pagal suderintą valstybės pagalbos schemą ar Europos Komisijos sprendimą arba pagal 2014 m. birželio 17 d. Komisijos reglamentą (ES) Nr. 651/2014, kuriuo tam tikrų kategorijų pagalba skelbiama suderinama su vidaus rinka taikant Sutarties 107 ir 108 straipsnius (OL 2014, L 187, p. 1–78), laikantis ten nustatytų reikalavimų;</w:t>
                </w:r>
              </w:p>
            </w:tc>
            <w:tc>
              <w:tcPr>
                <w:tcW w:w="4536" w:type="dxa"/>
                <w:tcBorders>
                  <w:top w:val="single" w:sz="4" w:space="0" w:color="auto"/>
                  <w:left w:val="single" w:sz="4" w:space="0" w:color="000000"/>
                  <w:bottom w:val="single" w:sz="4" w:space="0" w:color="000000"/>
                  <w:right w:val="single" w:sz="4" w:space="0" w:color="000000"/>
                </w:tcBorders>
              </w:tcPr>
              <w:p>
                <w:pPr>
                  <w:rPr>
                    <w:sz w:val="22"/>
                    <w:szCs w:val="22"/>
                    <w:lang w:eastAsia="lt-LT"/>
                  </w:rPr>
                </w:pPr>
                <w:r>
                  <w:rPr>
                    <w:sz w:val="22"/>
                    <w:szCs w:val="22"/>
                    <w:lang w:eastAsia="lt-LT"/>
                  </w:rPr>
                  <w:t>Netaikoma</w:t>
                </w:r>
              </w:p>
            </w:tc>
            <w:tc>
              <w:tcPr>
                <w:tcW w:w="2127" w:type="dxa"/>
                <w:tcBorders>
                  <w:top w:val="single" w:sz="4" w:space="0" w:color="auto"/>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r>
          <w:tr>
            <w:trPr>
              <w:trHeight w:val="20"/>
            </w:trPr>
            <w:tc>
              <w:tcPr>
                <w:tcW w:w="4961" w:type="dxa"/>
                <w:gridSpan w:val="2"/>
                <w:tcBorders>
                  <w:top w:val="single" w:sz="4" w:space="0" w:color="auto"/>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4.5.3. projekto finansavimas nereiškia neteisėtos valstybės pagalbos ar </w:t>
                </w:r>
                <w:r>
                  <w:rPr>
                    <w:i/>
                    <w:sz w:val="22"/>
                    <w:szCs w:val="22"/>
                    <w:lang w:eastAsia="lt-LT"/>
                  </w:rPr>
                  <w:t>de minimis</w:t>
                </w:r>
                <w:r>
                  <w:rPr>
                    <w:sz w:val="22"/>
                    <w:szCs w:val="22"/>
                    <w:lang w:eastAsia="lt-LT"/>
                  </w:rPr>
                  <w:t xml:space="preserve"> pagalbos suteikimo </w:t>
                </w:r>
                <w:r>
                  <w:rPr>
                    <w:i/>
                    <w:sz w:val="22"/>
                    <w:szCs w:val="22"/>
                    <w:lang w:eastAsia="lt-LT"/>
                  </w:rPr>
                  <w:t>(</w:t>
                </w:r>
                <w:r>
                  <w:rPr>
                    <w:i/>
                    <w:iCs/>
                    <w:color w:val="000000"/>
                    <w:sz w:val="22"/>
                    <w:szCs w:val="22"/>
                    <w:lang w:eastAsia="lt-LT"/>
                  </w:rPr>
                  <w:t xml:space="preserve">Pildomas patikros lapas dėl valstybės pagalbos ir </w:t>
                </w:r>
                <w:r>
                  <w:rPr>
                    <w:iCs/>
                    <w:color w:val="000000"/>
                    <w:sz w:val="22"/>
                    <w:szCs w:val="22"/>
                    <w:lang w:eastAsia="lt-LT"/>
                  </w:rPr>
                  <w:t>de minimis</w:t>
                </w:r>
                <w:r>
                  <w:rPr>
                    <w:i/>
                    <w:iCs/>
                    <w:color w:val="000000"/>
                    <w:sz w:val="22"/>
                    <w:szCs w:val="22"/>
                    <w:lang w:eastAsia="lt-LT"/>
                  </w:rPr>
                  <w:t xml:space="preserve"> pagalbos buvimo ar nebuvimo</w:t>
                </w:r>
                <w:r>
                  <w:rPr>
                    <w:i/>
                    <w:sz w:val="22"/>
                    <w:szCs w:val="22"/>
                    <w:lang w:eastAsia="lt-LT"/>
                  </w:rPr>
                  <w:t>)</w:t>
                </w:r>
              </w:p>
            </w:tc>
            <w:tc>
              <w:tcPr>
                <w:tcW w:w="4536" w:type="dxa"/>
                <w:tcBorders>
                  <w:top w:val="single" w:sz="4" w:space="0" w:color="auto"/>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Projekto finansavimas turi nereikšti neteisėtos valstybės pagalbos ar </w:t>
                </w:r>
                <w:r>
                  <w:rPr>
                    <w:i/>
                    <w:sz w:val="22"/>
                    <w:szCs w:val="22"/>
                    <w:lang w:eastAsia="lt-LT"/>
                  </w:rPr>
                  <w:t>de minimis</w:t>
                </w:r>
                <w:r>
                  <w:rPr>
                    <w:sz w:val="22"/>
                    <w:szCs w:val="22"/>
                    <w:lang w:eastAsia="lt-LT"/>
                  </w:rPr>
                  <w:t xml:space="preserve"> pagalbos suteikimo, kadangi Aprašo 32 punkte yra nustatyta, kad pagal Aprašą valstybės pagalba ir (ar) </w:t>
                </w:r>
                <w:r>
                  <w:rPr>
                    <w:i/>
                    <w:sz w:val="22"/>
                    <w:szCs w:val="22"/>
                    <w:lang w:eastAsia="lt-LT"/>
                  </w:rPr>
                  <w:t xml:space="preserve">de minimis </w:t>
                </w:r>
                <w:r>
                  <w:rPr>
                    <w:sz w:val="22"/>
                    <w:szCs w:val="22"/>
                    <w:lang w:eastAsia="lt-LT"/>
                  </w:rPr>
                  <w:t>pagalba nėra teikiama.</w:t>
                </w:r>
              </w:p>
            </w:tc>
            <w:tc>
              <w:tcPr>
                <w:tcW w:w="2127" w:type="dxa"/>
                <w:tcBorders>
                  <w:top w:val="single" w:sz="4" w:space="0" w:color="auto"/>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auto"/>
                  <w:left w:val="single" w:sz="4" w:space="0" w:color="000000"/>
                  <w:bottom w:val="single" w:sz="4" w:space="0" w:color="000000"/>
                  <w:right w:val="single" w:sz="4" w:space="0" w:color="000000"/>
                </w:tcBorders>
              </w:tcPr>
              <w:p>
                <w:pPr>
                  <w:rPr>
                    <w:sz w:val="22"/>
                    <w:szCs w:val="22"/>
                    <w:lang w:eastAsia="lt-LT"/>
                  </w:rPr>
                </w:pPr>
              </w:p>
            </w:tc>
          </w:tr>
          <w:tr>
            <w:trPr>
              <w:trHeight w:val="20"/>
            </w:trPr>
            <w:tc>
              <w:tcPr>
                <w:tcW w:w="14600" w:type="dxa"/>
                <w:gridSpan w:val="5"/>
                <w:tcBorders>
                  <w:top w:val="single" w:sz="4" w:space="0" w:color="auto"/>
                  <w:left w:val="single" w:sz="4" w:space="0" w:color="000000"/>
                  <w:bottom w:val="single" w:sz="4" w:space="0" w:color="000000"/>
                  <w:right w:val="single" w:sz="4" w:space="0" w:color="000000"/>
                </w:tcBorders>
                <w:shd w:val="clear" w:color="auto" w:fill="D9D9D9"/>
              </w:tcPr>
              <w:p>
                <w:pPr>
                  <w:rPr>
                    <w:sz w:val="22"/>
                    <w:szCs w:val="22"/>
                    <w:lang w:eastAsia="lt-LT"/>
                  </w:rPr>
                </w:pPr>
                <w:r>
                  <w:rPr>
                    <w:b/>
                    <w:bCs/>
                    <w:sz w:val="22"/>
                    <w:szCs w:val="22"/>
                    <w:lang w:eastAsia="lt-LT"/>
                  </w:rPr>
                  <w:t>5. Pareiškėjas ir partneris (-iai) organizaciniu požiūriu yra pajėgūs tinkamai ir laiku įgyvendinti teikiamą projektą ir atitinka jam (jiems) keliamus reikalavimus.</w:t>
                </w:r>
              </w:p>
            </w:tc>
          </w:tr>
          <w:tr>
            <w:trPr>
              <w:trHeight w:val="20"/>
            </w:trPr>
            <w:tc>
              <w:tcPr>
                <w:tcW w:w="4820" w:type="dxa"/>
                <w:tcBorders>
                  <w:top w:val="single" w:sz="4" w:space="0" w:color="000000"/>
                  <w:left w:val="single" w:sz="4" w:space="0" w:color="000000"/>
                  <w:bottom w:val="single" w:sz="4" w:space="0" w:color="000000"/>
                  <w:right w:val="single" w:sz="4" w:space="0" w:color="000000"/>
                </w:tcBorders>
                <w:hideMark/>
              </w:tcPr>
              <w:p>
                <w:pPr>
                  <w:rPr>
                    <w:bCs/>
                    <w:sz w:val="22"/>
                    <w:szCs w:val="22"/>
                    <w:lang w:eastAsia="lt-LT"/>
                  </w:rPr>
                </w:pPr>
                <w:r>
                  <w:rPr>
                    <w:sz w:val="22"/>
                    <w:szCs w:val="22"/>
                    <w:lang w:eastAsia="lt-LT"/>
                  </w:rPr>
                  <w:t xml:space="preserve">5.1. </w:t>
                </w:r>
                <w:r>
                  <w:rPr>
                    <w:bCs/>
                    <w:sz w:val="22"/>
                    <w:szCs w:val="22"/>
                    <w:lang w:eastAsia="lt-LT"/>
                  </w:rPr>
                  <w:t>Pareiškėjas (partneris) yra juridiniai asmenys.</w:t>
                </w:r>
              </w:p>
            </w:tc>
            <w:tc>
              <w:tcPr>
                <w:tcW w:w="4677"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5.2. Pareiškėjas (partneris) atitinka tinkamų pareiškėjų sąrašą, nustatytą projektų finansavimo sąlygų apraše.</w:t>
                </w:r>
              </w:p>
            </w:tc>
            <w:tc>
              <w:tcPr>
                <w:tcW w:w="4677"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4"/>
                  </w:rPr>
                  <w:t xml:space="preserve">Tinkamų pareiškėjų ir partnerių sąrašas yra nurodytas </w:t>
                </w:r>
                <w:r>
                  <w:rPr>
                    <w:sz w:val="22"/>
                    <w:szCs w:val="22"/>
                  </w:rPr>
                  <w:t>Aprašo 14 ir 15</w:t>
                </w:r>
                <w:r>
                  <w:rPr>
                    <w:i/>
                    <w:sz w:val="22"/>
                    <w:szCs w:val="22"/>
                  </w:rPr>
                  <w:t xml:space="preserve"> </w:t>
                </w:r>
                <w:r>
                  <w:rPr>
                    <w:sz w:val="22"/>
                    <w:szCs w:val="22"/>
                  </w:rPr>
                  <w:t>punktuose.</w:t>
                </w:r>
              </w:p>
            </w:tc>
            <w:tc>
              <w:tcPr>
                <w:tcW w:w="2127" w:type="dxa"/>
                <w:tcBorders>
                  <w:top w:val="single" w:sz="4" w:space="0" w:color="000000"/>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5.3. Pareiškėjas (partneris) turi teisinį pagrindą užsiimti ta veikla (atlikti funkcijas), kuriai pradėti ir (arba) vykdyti, ir (arba) plėtoti skirtas projektas</w:t>
                </w:r>
                <w:r>
                  <w:rPr>
                    <w:b/>
                    <w:bCs/>
                    <w:i/>
                    <w:sz w:val="22"/>
                    <w:szCs w:val="22"/>
                    <w:lang w:eastAsia="lt-LT"/>
                  </w:rPr>
                  <w:t xml:space="preserve"> </w:t>
                </w:r>
                <w:r>
                  <w:rPr>
                    <w:bCs/>
                    <w:sz w:val="22"/>
                    <w:szCs w:val="22"/>
                    <w:lang w:eastAsia="lt-LT"/>
                  </w:rPr>
                  <w:t>(</w:t>
                </w:r>
                <w:r>
                  <w:rPr>
                    <w:i/>
                    <w:color w:val="000000"/>
                    <w:sz w:val="22"/>
                    <w:szCs w:val="22"/>
                    <w:lang w:eastAsia="lt-LT"/>
                  </w:rPr>
                  <w:t>taikoma tais atvejais, kai nacionaliniuose teisės aktuose yra nustatyti reikalavimai turėti teisinį pagrindą vykdyti numatytą projekto veiklą</w:t>
                </w:r>
                <w:r>
                  <w:rPr>
                    <w:sz w:val="22"/>
                    <w:szCs w:val="22"/>
                    <w:lang w:eastAsia="lt-LT"/>
                  </w:rPr>
                  <w:t>).</w:t>
                </w:r>
              </w:p>
            </w:tc>
            <w:tc>
              <w:tcPr>
                <w:tcW w:w="4677"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p>
            </w:tc>
          </w:tr>
          <w:tr>
            <w:trPr>
              <w:trHeight w:val="556"/>
            </w:trPr>
            <w:tc>
              <w:tcPr>
                <w:tcW w:w="4820" w:type="dxa"/>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5.4. Pareiškėjui ir partneriui (-iams) nėra apribojimų gauti finansavimą:</w:t>
                </w:r>
              </w:p>
            </w:tc>
            <w:tc>
              <w:tcPr>
                <w:tcW w:w="4677"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5.4.1. pareiškėjui ir partneriui (-iams) nėra iškelta byla dėl bankroto arba restruktūrizavimo, nėra pradėtas ikiteisminis tyrimas dėl ūkinės </w:t>
                </w:r>
                <w:r>
                  <w:rPr>
                    <w:bCs/>
                    <w:sz w:val="22"/>
                    <w:szCs w:val="22"/>
                    <w:lang w:eastAsia="lt-LT"/>
                  </w:rPr>
                  <w:t>ir (arba) ekonominės</w:t>
                </w:r>
                <w:r>
                  <w:rPr>
                    <w:sz w:val="22"/>
                    <w:szCs w:val="22"/>
                    <w:lang w:eastAsia="lt-LT"/>
                  </w:rPr>
                  <w:t xml:space="preserve"> veiklos arba jis (jie) nėra likviduojamas (-i), nėra priimtas kreditorių susirinkimo nutarimas bankroto procedūras vykdyti ne teismo tvarka (</w:t>
                </w:r>
                <w:r>
                  <w:rPr>
                    <w:i/>
                    <w:sz w:val="22"/>
                    <w:szCs w:val="22"/>
                    <w:lang w:eastAsia="lt-LT"/>
                  </w:rPr>
                  <w:t>ši nuostata netaikoma biudžetinėms įstaigoms</w:t>
                </w:r>
                <w:r>
                  <w:rPr>
                    <w:sz w:val="22"/>
                    <w:szCs w:val="22"/>
                    <w:lang w:eastAsia="lt-LT"/>
                  </w:rPr>
                  <w:t>);</w:t>
                </w:r>
              </w:p>
            </w:tc>
            <w:tc>
              <w:tcPr>
                <w:tcW w:w="4677"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5.4.2. paraiškos pateikimo dieną pareiškėjas ir partneris (-iai) galutiniu teismo sprendimu ar galutiniu administraciniu sprendimu nėra pripažinti neatliekančiais pareigų, susijusių su mokesčių ar socialinio draudimo įmokų mokėjimu</w:t>
                </w:r>
                <w:r>
                  <w:rPr>
                    <w:szCs w:val="24"/>
                    <w:lang w:eastAsia="lt-LT"/>
                  </w:rPr>
                  <w:t xml:space="preserve"> </w:t>
                </w:r>
                <w:r>
                  <w:rPr>
                    <w:sz w:val="22"/>
                    <w:szCs w:val="22"/>
                    <w:lang w:eastAsia="lt-LT"/>
                  </w:rPr>
                  <w:t>pagal Lietuvos Respublikos teisės aktus arba pagal kitos valstybės teisės aktus, jei pareiškėjas ir partneris (-iai) yra užsienyje registruotas (-i) juridinis asmuo (asmenys)</w:t>
                </w:r>
                <w:r>
                  <w:rPr>
                    <w:i/>
                    <w:sz w:val="22"/>
                    <w:szCs w:val="22"/>
                    <w:lang w:eastAsia="lt-LT"/>
                  </w:rPr>
                  <w:t xml:space="preserve"> </w:t>
                </w:r>
                <w:r>
                  <w:rPr>
                    <w:sz w:val="22"/>
                    <w:szCs w:val="22"/>
                    <w:lang w:eastAsia="lt-LT"/>
                  </w:rPr>
                  <w:t>(</w:t>
                </w:r>
                <w:r>
                  <w:rPr>
                    <w:i/>
                    <w:sz w:val="22"/>
                    <w:szCs w:val="22"/>
                    <w:lang w:eastAsia="lt-LT"/>
                  </w:rPr>
                  <w:t xml:space="preserve">ši nuostata netaikoma įstaigoms, kurių veikla finansuojama iš Lietuvos Respublikos valstybės ir (arba) savivaldybių biudžetų, </w:t>
                </w:r>
                <w:r>
                  <w:rPr>
                    <w:i/>
                    <w:color w:val="000000"/>
                    <w:sz w:val="22"/>
                    <w:szCs w:val="22"/>
                    <w:lang w:eastAsia="lt-LT"/>
                  </w:rPr>
                  <w:t>ir (arba) valstybės pinigų fondų,</w:t>
                </w:r>
                <w:r>
                  <w:rPr>
                    <w:i/>
                    <w:sz w:val="22"/>
                    <w:szCs w:val="22"/>
                    <w:lang w:eastAsia="lt-LT"/>
                  </w:rPr>
                  <w:t xml:space="preserve"> ir juridiniams asmenims, kuriems Lietuvos Respublikos teisės aktų nustatyta tvarka yra atidėti mokesčių arba socialinio draudimo įmokų mokėjimo terminai</w:t>
                </w:r>
                <w:r>
                  <w:rPr>
                    <w:sz w:val="22"/>
                    <w:szCs w:val="22"/>
                    <w:lang w:eastAsia="lt-LT"/>
                  </w:rPr>
                  <w:t>);</w:t>
                </w:r>
              </w:p>
            </w:tc>
            <w:tc>
              <w:tcPr>
                <w:tcW w:w="4677"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000000"/>
                  <w:right w:val="single" w:sz="4" w:space="0" w:color="000000"/>
                </w:tcBorders>
              </w:tcPr>
              <w:p>
                <w:pPr>
                  <w:rPr>
                    <w:color w:val="000000"/>
                    <w:sz w:val="22"/>
                    <w:szCs w:val="22"/>
                    <w:lang w:eastAsia="lt-LT"/>
                  </w:rPr>
                </w:pPr>
                <w:r>
                  <w:rPr>
                    <w:sz w:val="22"/>
                    <w:szCs w:val="22"/>
                    <w:lang w:eastAsia="lt-LT"/>
                  </w:rPr>
                  <w:t>5.4.3.</w:t>
                </w:r>
                <w:r>
                  <w:rPr>
                    <w:sz w:val="22"/>
                    <w:szCs w:val="22"/>
                  </w:rPr>
                  <w:t xml:space="preserve"> </w:t>
                </w:r>
                <w:r>
                  <w:rPr>
                    <w:sz w:val="22"/>
                    <w:szCs w:val="22"/>
                    <w:lang w:eastAsia="lt-LT"/>
                  </w:rPr>
                  <w:t xml:space="preserve">paraiškos vertinimo metu </w:t>
                </w:r>
                <w:r>
                  <w:rPr>
                    <w:color w:val="000000"/>
                    <w:sz w:val="22"/>
                    <w:szCs w:val="22"/>
                    <w:lang w:eastAsia="lt-LT"/>
                  </w:rPr>
                  <w:t>pareiškėjo ir partnerio (-ių) vadovas, pagrindinis akcininkas (turintis daugiau nei 50 proc. akcijų) ar savininkas,</w:t>
                </w:r>
                <w:r>
                  <w:rPr>
                    <w:color w:val="000000"/>
                    <w:szCs w:val="24"/>
                    <w:lang w:eastAsia="lt-LT"/>
                  </w:rPr>
                  <w:t xml:space="preserve"> </w:t>
                </w:r>
                <w:r>
                  <w:rPr>
                    <w:color w:val="000000"/>
                    <w:sz w:val="22"/>
                    <w:szCs w:val="22"/>
                    <w:lang w:eastAsia="lt-LT"/>
                  </w:rPr>
                  <w:t xml:space="preserve">ūkinės bendrijos tikrasis narys (-iai) ar mažosios bendrijos atstovas (-ai), turintis (-ys) teisę juridinio asmens vardu sudaryti sandorį, ar buhalteris (-iai), ar kitas (-i) asmuo (asmenys), turintis (-ys) teisę surašyti ir pasirašyti pareiškėjo apskaitos dokumentus, neturi neišnykusio arba nepanaikinto teistumo arba dėl pareiškėjo ir partnerio (-ių) per pastaruosius 5 metus nebuvo priimtas ir įsiteisėjęs apkaltinamasis teismo nuosprendis </w:t>
                </w:r>
                <w:r>
                  <w:rPr>
                    <w:sz w:val="22"/>
                    <w:szCs w:val="22"/>
                  </w:rPr>
                  <w:t>už dalyvavimą bendrininkų grupėje, organizuotoje grupėje, nusikalstamame susivienijime, jų organizavimą ar vadovavimą jiems, teroristinius ir su teroristine veikla susijusius nusikaltimus ar teroristų finansavimą, vaikų darbo ar kitų su prekyba žmonėmis susijusių nusikalstamų veikų, kyšininkavimą, prekybą poveikiu, papirkimą, piktnaudžiavimą, tarnybos pareigų neatlikimą, sukčiavimą, turto pasisavinimą, turto iššvaistymą, turtinės žalos padarymą apgaule, turto sunaikinimą ar sugadinimą, neteisėtą praturtėjimą, kontrabandą, muitinės apgaulę, neteisėtą disponavimą akcizais apmokestinamomis prekėmis, neteisėtą prekių ar produkcijos neišvežimą iš Lietuvos Respublikos, neteisėtą vertimąsi ūkine, komercine, finansine ar profesine veikla, neteisėtą juridinio asmens veiklą, svetimo prekių ar paslaugų ženklo naudojimą, apgaulingą pareiškimą apie juridinio asmens veiklą, mokesčių nesumokėjimą, kredito, paskolos ar tikslinės paramos panaudojimą ne pagal paskirtį ar nustatytą tvarką, kreditinį sukčiavimą, skolininko nesąžiningumą, nusikalstamą bankrotą, netikros elektroninės mokėjimo priemonės gaminimą, tikros elektroninės mokėjimo priemonės klastojimą ar neteisėtą</w:t>
                </w:r>
                <w:r>
                  <w:rPr>
                    <w:b/>
                    <w:bCs/>
                    <w:sz w:val="22"/>
                    <w:szCs w:val="22"/>
                  </w:rPr>
                  <w:t xml:space="preserve"> </w:t>
                </w:r>
                <w:r>
                  <w:rPr>
                    <w:sz w:val="22"/>
                    <w:szCs w:val="22"/>
                  </w:rPr>
                  <w:t>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nusikalstamu būdu gauto turto</w:t>
                </w:r>
                <w:r>
                  <w:rPr>
                    <w:b/>
                    <w:bCs/>
                    <w:sz w:val="22"/>
                    <w:szCs w:val="22"/>
                  </w:rPr>
                  <w:t xml:space="preserve"> </w:t>
                </w:r>
                <w:r>
                  <w:rPr>
                    <w:sz w:val="22"/>
                    <w:szCs w:val="22"/>
                  </w:rPr>
                  <w:t>įgijimą ar realizavimą, nusikalstamu būdu įgytų pinigų ar turto legalizavimą, netikrų pinigų ar vertybinių popierių pagaminimą, laikymą arba realizavimą, dokumento suklastojimą ar disponavimą suklastotu dokumentu, antspaudo, spaudo ar blanko suklastojimą, dalyvavimą kokioje nors kitoje neteisėtoje veikloje, kenkiančioje Lietuvos Respublikos ir (arba) ES</w:t>
                </w:r>
                <w:r>
                  <w:rPr>
                    <w:b/>
                    <w:bCs/>
                    <w:sz w:val="22"/>
                    <w:szCs w:val="22"/>
                  </w:rPr>
                  <w:t xml:space="preserve"> </w:t>
                </w:r>
                <w:r>
                  <w:rPr>
                    <w:sz w:val="22"/>
                    <w:szCs w:val="22"/>
                  </w:rPr>
                  <w:t>finansiniams interesams</w:t>
                </w:r>
                <w:r>
                  <w:rPr>
                    <w:b/>
                    <w:bCs/>
                    <w:sz w:val="22"/>
                    <w:szCs w:val="22"/>
                  </w:rPr>
                  <w:t xml:space="preserve"> </w:t>
                </w:r>
                <w:r>
                  <w:rPr>
                    <w:color w:val="000000"/>
                    <w:sz w:val="22"/>
                    <w:szCs w:val="22"/>
                    <w:lang w:eastAsia="lt-LT"/>
                  </w:rPr>
                  <w:t>(</w:t>
                </w:r>
                <w:r>
                  <w:rPr>
                    <w:i/>
                    <w:color w:val="000000"/>
                    <w:sz w:val="22"/>
                    <w:szCs w:val="22"/>
                    <w:lang w:eastAsia="lt-LT"/>
                  </w:rPr>
                  <w:t>šis apribojimas netaikomas, jei pareiškėjo arba partnerio (-ių) veikla yra finansuojama iš Lietuvos Respublikos valstybės ir (arba) savivaldybių biudžetų ir (arba) valstybės pinigų fondų, taip pat Europos investicijų fondui ir Europos investicijų bankui</w:t>
                </w:r>
                <w:r>
                  <w:rPr>
                    <w:color w:val="000000"/>
                    <w:sz w:val="22"/>
                    <w:szCs w:val="22"/>
                    <w:lang w:eastAsia="lt-LT"/>
                  </w:rPr>
                  <w:t>);</w:t>
                </w:r>
              </w:p>
            </w:tc>
            <w:tc>
              <w:tcPr>
                <w:tcW w:w="4677"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5.4.4. paraiškos vertinimo metu pareiškėjui ir partneriui (-iams), jei jis (jie) yra įmonė (-ės), perkėlusi (-ios) gamybinę veiklą valstybėje narėje arba į kitą valstybę narę, nėra taikoma arba nebuvo taikoma išieškojimo procedūra (</w:t>
                </w:r>
                <w:r>
                  <w:rPr>
                    <w:i/>
                    <w:sz w:val="22"/>
                    <w:szCs w:val="22"/>
                    <w:lang w:eastAsia="lt-LT"/>
                  </w:rPr>
                  <w:t>ši nuostata netaikoma viešiesiems juridiniams asmenims</w:t>
                </w:r>
                <w:r>
                  <w:rPr>
                    <w:sz w:val="22"/>
                    <w:szCs w:val="22"/>
                    <w:lang w:eastAsia="lt-LT"/>
                  </w:rPr>
                  <w:t>);</w:t>
                </w:r>
              </w:p>
            </w:tc>
            <w:tc>
              <w:tcPr>
                <w:tcW w:w="4677"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5.4.5. paraiškos vertinimo metu pareiškėjui ir partneriui (-iams) nėra taikomas apribojimas (iki 5 metų) neskirti Europos Sąjungos finansinės paramos dėl trečiųjų šalių piliečių nelegalaus įdarbinimo (</w:t>
                </w:r>
                <w:r>
                  <w:rPr>
                    <w:i/>
                    <w:sz w:val="22"/>
                    <w:szCs w:val="22"/>
                    <w:lang w:eastAsia="lt-LT"/>
                  </w:rPr>
                  <w:t>ši nuostata nėra taikoma viešiesiems juridiniams asmenims</w:t>
                </w:r>
                <w:r>
                  <w:rPr>
                    <w:sz w:val="22"/>
                    <w:szCs w:val="22"/>
                    <w:lang w:eastAsia="lt-LT"/>
                  </w:rPr>
                  <w:t>);</w:t>
                </w:r>
              </w:p>
            </w:tc>
            <w:tc>
              <w:tcPr>
                <w:tcW w:w="4677"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5.4.6. paraiškos vertinimo metu pareiškėjui ir partneriui (-iams) nėra taikomas apribojimas gauti finansavimą dėl to, kad per sprendime dėl lėšų grąžinimo nustatytą terminą lėšos nebuvo grąžintos arba grąžinta tik dalis lėšų (</w:t>
                </w:r>
                <w:r>
                  <w:rPr>
                    <w:i/>
                    <w:sz w:val="22"/>
                    <w:szCs w:val="22"/>
                    <w:lang w:eastAsia="lt-LT"/>
                  </w:rPr>
                  <w:t>šis apribojimas netaikomas įstaigoms, kurių veikla finansuojama iš Lietuvos Respublikos valstybės biudžeto ir (arba) savivaldybių biudžetų, ir (arba) valstybės pinigų fondų, įstaigoms, kurių veiklai finansuoti yra skiriama 2007–2013 metų Europos Sąjungos fondų ar 2014–2020 metų Europos Sąjungos struktūrinių fondų techninė parama, Europos investicijų fondui ir Europos investicijų bankui</w:t>
                </w:r>
                <w:r>
                  <w:rPr>
                    <w:sz w:val="22"/>
                    <w:szCs w:val="22"/>
                    <w:lang w:eastAsia="lt-LT"/>
                  </w:rPr>
                  <w:t>);</w:t>
                </w:r>
              </w:p>
            </w:tc>
            <w:tc>
              <w:tcPr>
                <w:tcW w:w="4677"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5.4.7. paraiškos vertinimo metu pareiškėjas ir partneris (-iai) Juridinių asmenų registrui yra pateikę metinių finansinių ataskaitų rinkinius, taip pat metinių konsoliduotųjų finansinių ataskaitų rinkinius, kaip nustatyta Juridinių asmenų registro nuostatuose, patvirtintuose Lietuvos Respublikos Vyriausybės 2003 m. lapkričio 12 d. nutarimu Nr. 1407 </w:t>
                </w:r>
                <w:r>
                  <w:rPr>
                    <w:color w:val="000000"/>
                    <w:sz w:val="22"/>
                    <w:szCs w:val="22"/>
                    <w:lang w:eastAsia="lt-LT"/>
                  </w:rPr>
                  <w:t>„</w:t>
                </w:r>
                <w:r>
                  <w:rPr>
                    <w:sz w:val="22"/>
                    <w:szCs w:val="22"/>
                    <w:lang w:eastAsia="lt-LT"/>
                  </w:rPr>
                  <w:t>Dėl Juridinių asmenų registro įsteigimo ir Juridinių asmenų registro nuostatų patvirtinimo“ (</w:t>
                </w:r>
                <w:r>
                  <w:rPr>
                    <w:i/>
                    <w:sz w:val="22"/>
                    <w:szCs w:val="22"/>
                    <w:lang w:eastAsia="lt-LT"/>
                  </w:rPr>
                  <w:t>ši nuostata taikoma tik tais atvejais, kai finansines ataskaitas būtina rengti pagal įstatymus, taikomus juridiniam asmeniui, užsienio juridiniam asmeniui ar kitai organizacijai arba jų filialui</w:t>
                </w:r>
                <w:r>
                  <w:rPr>
                    <w:sz w:val="22"/>
                    <w:szCs w:val="22"/>
                    <w:lang w:eastAsia="lt-LT"/>
                  </w:rPr>
                  <w:t>)</w:t>
                </w:r>
                <w:r>
                  <w:rPr>
                    <w:i/>
                    <w:sz w:val="22"/>
                    <w:szCs w:val="22"/>
                    <w:lang w:eastAsia="lt-LT"/>
                  </w:rPr>
                  <w:t>.</w:t>
                </w:r>
              </w:p>
            </w:tc>
            <w:tc>
              <w:tcPr>
                <w:tcW w:w="4677"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5.5. Pareiškėjas ir partneris (-iai) turi (gali užtikrinti) pakankamus administravimo gebėjimus vykdyti projektą.</w:t>
                </w:r>
              </w:p>
            </w:tc>
            <w:tc>
              <w:tcPr>
                <w:tcW w:w="4677"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p>
            </w:tc>
          </w:tr>
          <w:tr>
            <w:trPr>
              <w:trHeight w:val="537"/>
            </w:trPr>
            <w:tc>
              <w:tcPr>
                <w:tcW w:w="4820" w:type="dxa"/>
                <w:vMerge w:val="restart"/>
                <w:tcBorders>
                  <w:top w:val="single" w:sz="4" w:space="0" w:color="000000"/>
                  <w:left w:val="single" w:sz="4" w:space="0" w:color="000000"/>
                  <w:right w:val="single" w:sz="4" w:space="0" w:color="000000"/>
                </w:tcBorders>
                <w:hideMark/>
              </w:tcPr>
              <w:p>
                <w:pPr>
                  <w:rPr>
                    <w:spacing w:val="-4"/>
                    <w:sz w:val="22"/>
                    <w:szCs w:val="22"/>
                    <w:lang w:eastAsia="lt-LT"/>
                  </w:rPr>
                </w:pPr>
                <w:r>
                  <w:rPr>
                    <w:spacing w:val="-4"/>
                    <w:sz w:val="22"/>
                    <w:szCs w:val="22"/>
                    <w:lang w:eastAsia="lt-LT"/>
                  </w:rPr>
                  <w:t xml:space="preserve">5.6. Projekto parengtumas atitinka Apraše nustatytus reikalavimus. </w:t>
                </w:r>
              </w:p>
            </w:tc>
            <w:tc>
              <w:tcPr>
                <w:tcW w:w="4677" w:type="dxa"/>
                <w:gridSpan w:val="2"/>
                <w:vMerge w:val="restart"/>
                <w:tcBorders>
                  <w:top w:val="single" w:sz="4" w:space="0" w:color="000000"/>
                  <w:left w:val="single" w:sz="4" w:space="0" w:color="000000"/>
                  <w:right w:val="single" w:sz="4" w:space="0" w:color="000000"/>
                </w:tcBorders>
              </w:tcPr>
              <w:p>
                <w:pPr>
                  <w:rPr>
                    <w:sz w:val="22"/>
                    <w:szCs w:val="22"/>
                    <w:lang w:eastAsia="lt-LT"/>
                  </w:rPr>
                </w:pPr>
                <w:r>
                  <w:rPr>
                    <w:sz w:val="22"/>
                    <w:szCs w:val="24"/>
                  </w:rPr>
                  <w:t>Projekto parengtumas turi atitikti reikalavimus, nustatytus Aprašo 27 punkte.</w:t>
                </w:r>
              </w:p>
            </w:tc>
            <w:tc>
              <w:tcPr>
                <w:tcW w:w="2127" w:type="dxa"/>
                <w:tcBorders>
                  <w:top w:val="single" w:sz="4" w:space="0" w:color="000000"/>
                  <w:left w:val="single" w:sz="4" w:space="0" w:color="000000"/>
                  <w:bottom w:val="single" w:sz="4" w:space="0" w:color="000000"/>
                  <w:right w:val="single" w:sz="4" w:space="0" w:color="000000"/>
                </w:tcBorders>
              </w:tcPr>
              <w:p>
                <w:pPr>
                  <w:jc w:val="center"/>
                  <w:rPr>
                    <w:sz w:val="22"/>
                    <w:szCs w:val="22"/>
                    <w:lang w:eastAsia="lt-LT"/>
                  </w:rPr>
                </w:pPr>
                <w:r>
                  <w:rPr>
                    <w:i/>
                    <w:sz w:val="22"/>
                    <w:szCs w:val="22"/>
                    <w:lang w:eastAsia="lt-LT"/>
                  </w:rPr>
                  <w:t>Ministerijos įvertinimas pagal Aprašo 27.1 papunktį (jei taikoma)</w:t>
                </w:r>
              </w:p>
            </w:tc>
            <w:tc>
              <w:tcPr>
                <w:tcW w:w="2976" w:type="dxa"/>
                <w:tcBorders>
                  <w:top w:val="single" w:sz="4" w:space="0" w:color="000000"/>
                  <w:left w:val="single" w:sz="4" w:space="0" w:color="000000"/>
                  <w:right w:val="single" w:sz="4" w:space="0" w:color="000000"/>
                </w:tcBorders>
              </w:tcPr>
              <w:p>
                <w:pPr>
                  <w:rPr>
                    <w:sz w:val="22"/>
                    <w:szCs w:val="22"/>
                    <w:lang w:eastAsia="lt-LT"/>
                  </w:rPr>
                </w:pPr>
              </w:p>
            </w:tc>
          </w:tr>
          <w:tr>
            <w:trPr>
              <w:trHeight w:val="417"/>
            </w:trPr>
            <w:tc>
              <w:tcPr>
                <w:tcW w:w="4820" w:type="dxa"/>
                <w:vMerge/>
                <w:tcBorders>
                  <w:left w:val="single" w:sz="4" w:space="0" w:color="000000"/>
                  <w:bottom w:val="single" w:sz="4" w:space="0" w:color="000000"/>
                  <w:right w:val="single" w:sz="4" w:space="0" w:color="000000"/>
                </w:tcBorders>
              </w:tcPr>
              <w:p>
                <w:pPr>
                  <w:rPr>
                    <w:spacing w:val="-4"/>
                    <w:sz w:val="22"/>
                    <w:szCs w:val="22"/>
                    <w:lang w:eastAsia="lt-LT"/>
                  </w:rPr>
                </w:pPr>
              </w:p>
            </w:tc>
            <w:tc>
              <w:tcPr>
                <w:tcW w:w="4677" w:type="dxa"/>
                <w:gridSpan w:val="2"/>
                <w:vMerge/>
                <w:tcBorders>
                  <w:left w:val="single" w:sz="4" w:space="0" w:color="000000"/>
                  <w:bottom w:val="single" w:sz="4" w:space="0" w:color="000000"/>
                  <w:right w:val="single" w:sz="4" w:space="0" w:color="000000"/>
                </w:tcBorders>
              </w:tcPr>
              <w:p>
                <w:pPr>
                  <w:rPr>
                    <w:i/>
                    <w:sz w:val="22"/>
                    <w:szCs w:val="24"/>
                  </w:rPr>
                </w:pPr>
              </w:p>
            </w:tc>
            <w:tc>
              <w:tcPr>
                <w:tcW w:w="2127" w:type="dxa"/>
                <w:tcBorders>
                  <w:top w:val="single" w:sz="4" w:space="0" w:color="000000"/>
                  <w:left w:val="single" w:sz="4" w:space="0" w:color="000000"/>
                  <w:bottom w:val="single" w:sz="4" w:space="0" w:color="000000"/>
                  <w:right w:val="single" w:sz="4" w:space="0" w:color="000000"/>
                </w:tcBorders>
              </w:tcPr>
              <w:p>
                <w:pPr>
                  <w:jc w:val="center"/>
                  <w:rPr>
                    <w:sz w:val="22"/>
                    <w:szCs w:val="22"/>
                    <w:lang w:eastAsia="lt-LT"/>
                  </w:rPr>
                </w:pPr>
                <w:r>
                  <w:rPr>
                    <w:i/>
                    <w:sz w:val="22"/>
                    <w:szCs w:val="22"/>
                    <w:lang w:eastAsia="lt-LT"/>
                  </w:rPr>
                  <w:t xml:space="preserve">Įgyvendinančiosios institucijos įvertinimas pagal Aprašo 27.2 papunktį </w:t>
                </w:r>
              </w:p>
            </w:tc>
            <w:tc>
              <w:tcPr>
                <w:tcW w:w="2976" w:type="dxa"/>
                <w:tcBorders>
                  <w:left w:val="single" w:sz="4" w:space="0" w:color="000000"/>
                  <w:bottom w:val="single" w:sz="4" w:space="0" w:color="000000"/>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000000"/>
                  <w:right w:val="single" w:sz="4" w:space="0" w:color="000000"/>
                </w:tcBorders>
                <w:hideMark/>
              </w:tcPr>
              <w:p>
                <w:pPr>
                  <w:rPr>
                    <w:sz w:val="22"/>
                    <w:szCs w:val="22"/>
                  </w:rPr>
                </w:pPr>
                <w:r>
                  <w:rPr>
                    <w:sz w:val="22"/>
                    <w:szCs w:val="22"/>
                  </w:rPr>
                  <w:t xml:space="preserve">5.7. Partnerystė projekte yra pagrįsta ir teikia naudą. </w:t>
                </w:r>
              </w:p>
            </w:tc>
            <w:tc>
              <w:tcPr>
                <w:tcW w:w="4677"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p>
            </w:tc>
          </w:tr>
          <w:tr>
            <w:trPr>
              <w:trHeight w:val="20"/>
            </w:trPr>
            <w:tc>
              <w:tcPr>
                <w:tcW w:w="14600" w:type="dxa"/>
                <w:gridSpan w:val="5"/>
                <w:tcBorders>
                  <w:top w:val="single" w:sz="4" w:space="0" w:color="000000"/>
                  <w:left w:val="single" w:sz="4" w:space="0" w:color="000000"/>
                  <w:bottom w:val="single" w:sz="4" w:space="0" w:color="auto"/>
                  <w:right w:val="single" w:sz="4" w:space="0" w:color="000000"/>
                </w:tcBorders>
                <w:shd w:val="clear" w:color="auto" w:fill="D9D9D9"/>
              </w:tcPr>
              <w:p>
                <w:pPr>
                  <w:rPr>
                    <w:sz w:val="22"/>
                    <w:szCs w:val="22"/>
                    <w:lang w:eastAsia="lt-LT"/>
                  </w:rPr>
                </w:pPr>
                <w:r>
                  <w:rPr>
                    <w:b/>
                    <w:bCs/>
                    <w:sz w:val="22"/>
                    <w:szCs w:val="22"/>
                    <w:lang w:eastAsia="lt-LT"/>
                  </w:rPr>
                  <w:t>6. Projektas turi apibrėžtus, aiškius ir užtikrintus projekto išlaidų finansavimo šaltinius.</w:t>
                </w: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 xml:space="preserve">6.1. Pareiškėjo ir (ar) partnerio (-ių)  įnašas atitinka Apraše nustatytus reikalavimus ir yra užtikrintas jo finansavimas. </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4"/>
                  </w:rPr>
                </w:pPr>
                <w:r>
                  <w:rPr>
                    <w:sz w:val="22"/>
                    <w:szCs w:val="22"/>
                  </w:rPr>
                  <w:t xml:space="preserve">Projektas turi atitikti </w:t>
                </w:r>
                <w:r>
                  <w:rPr>
                    <w:sz w:val="22"/>
                    <w:szCs w:val="24"/>
                  </w:rPr>
                  <w:t>Aprašo 34–36 punktuose nustatytus reikalavimus.</w:t>
                </w: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tcPr>
              <w:p>
                <w:pPr>
                  <w:rPr>
                    <w:sz w:val="22"/>
                    <w:szCs w:val="22"/>
                    <w:lang w:eastAsia="lt-LT"/>
                  </w:rPr>
                </w:pPr>
                <w:r>
                  <w:rPr>
                    <w:sz w:val="22"/>
                    <w:szCs w:val="22"/>
                    <w:lang w:eastAsia="lt-LT"/>
                  </w:rPr>
                  <w:t>6.2. Užtikrintas netinkamų finansuoti su projektu susijusių išlaidų padengimas.</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r>
                  <w:rPr>
                    <w:sz w:val="22"/>
                    <w:szCs w:val="22"/>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 xml:space="preserve">6.3. Užtikrintas finansinis projekto (veiklų) rezultatų tęstinumas. </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r>
                  <w:rPr>
                    <w:sz w:val="22"/>
                    <w:szCs w:val="22"/>
                    <w:lang w:eastAsia="lt-LT"/>
                  </w:rPr>
                  <w:t>Projektas turi atitikti Aprašo 64.4 papunktyje nustatytus reikalavimus.</w:t>
                </w: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tcPr>
              <w:p>
                <w:pPr>
                  <w:shd w:val="clear" w:color="auto" w:fill="FFFFFF"/>
                  <w:ind w:left="34"/>
                  <w:rPr>
                    <w:bCs/>
                    <w:i/>
                    <w:sz w:val="22"/>
                    <w:szCs w:val="22"/>
                  </w:rPr>
                </w:pPr>
                <w:r>
                  <w:rPr>
                    <w:bCs/>
                    <w:sz w:val="22"/>
                    <w:szCs w:val="22"/>
                    <w:lang w:eastAsia="lt-LT"/>
                  </w:rPr>
                  <w:t xml:space="preserve">6.4. </w:t>
                </w:r>
                <w:r>
                  <w:rPr>
                    <w:bCs/>
                    <w:sz w:val="22"/>
                    <w:szCs w:val="22"/>
                  </w:rPr>
                  <w:t>Projektas atitinka Europos investicijų banko (toliau – EIB) nustatytas išlaidų tinkamumo finansuoti sąlygas (</w:t>
                </w:r>
                <w:r>
                  <w:rPr>
                    <w:bCs/>
                    <w:i/>
                    <w:sz w:val="22"/>
                    <w:szCs w:val="22"/>
                  </w:rPr>
                  <w:t xml:space="preserve">šis vertinimo aspektas taikomas tik tais atvejais, jei projektą planuojama bendrai finansuoti iš Lietuvos Respublikos valstybės biudžeto lėšų </w:t>
                </w:r>
                <w:r>
                  <w:rPr>
                    <w:bCs/>
                    <w:i/>
                    <w:sz w:val="22"/>
                    <w:szCs w:val="22"/>
                    <w:lang w:eastAsia="lt-LT"/>
                  </w:rPr>
                  <w:t xml:space="preserve">(įskaitant atvejus, kai projekto vykdytojo ir (arba) partnerio nuosavų lėšų šaltinis yra Lietuvos Respublikos biudžeto lėšos) arba </w:t>
                </w:r>
                <w:r>
                  <w:rPr>
                    <w:bCs/>
                    <w:i/>
                    <w:sz w:val="22"/>
                    <w:szCs w:val="22"/>
                  </w:rPr>
                  <w:t xml:space="preserve">projekto visą nuosavų lėšų sumą ar jos dalį planuojama bendrai finansuoti iš projekto vykdytojui ir (arba) partneriui perskolintų EIB paskolos lėšų, vadovaujantis Europos investicijų banko paskolos, skirtos iš 2014–2020 m. Europos Sąjungos fondų investicijų veiksmų programos lėšų bendrai finansuojamiems projektams įgyvendinti, perskolinimo gairių, skelbiamų svetainėse </w:t>
                </w:r>
                <w:r>
                  <w:rPr>
                    <w:bCs/>
                    <w:i/>
                    <w:color w:val="0000FF"/>
                    <w:sz w:val="22"/>
                    <w:szCs w:val="22"/>
                    <w:u w:val="single"/>
                  </w:rPr>
                  <w:t>www.finmin.lrv.lt</w:t>
                </w:r>
                <w:r>
                  <w:rPr>
                    <w:bCs/>
                    <w:i/>
                    <w:sz w:val="22"/>
                    <w:szCs w:val="22"/>
                  </w:rPr>
                  <w:t xml:space="preserve"> ir www.esinvesticijos.lt, nuostatomis. Atsakant į šį klausimą įvertinama projekto atitiktis EIB nustatytoms išlaidų tinkamumo finansuoti sąlygoms, vadovaujantis </w:t>
                </w:r>
                <w:r>
                  <w:rPr>
                    <w:bCs/>
                    <w:i/>
                    <w:sz w:val="22"/>
                    <w:szCs w:val="22"/>
                    <w:lang w:eastAsia="lt-LT"/>
                  </w:rPr>
                  <w:t>Projektų administravimo ir finansavimo t</w:t>
                </w:r>
                <w:r>
                  <w:rPr>
                    <w:bCs/>
                    <w:i/>
                    <w:sz w:val="22"/>
                    <w:szCs w:val="22"/>
                  </w:rPr>
                  <w:t>aisyklių 11 priede nustatyta tvarka. Tuo atveju, kai:</w:t>
                </w:r>
              </w:p>
              <w:p>
                <w:pPr>
                  <w:shd w:val="clear" w:color="auto" w:fill="FFFFFF"/>
                  <w:ind w:left="34"/>
                  <w:rPr>
                    <w:bCs/>
                    <w:i/>
                    <w:sz w:val="22"/>
                    <w:szCs w:val="22"/>
                  </w:rPr>
                </w:pPr>
                <w:r>
                  <w:rPr>
                    <w:bCs/>
                    <w:i/>
                    <w:sz w:val="22"/>
                    <w:szCs w:val="22"/>
                  </w:rPr>
                  <w:t>– projekto visą nuosavų lėšų sumą ar jos dalį planuojama bendrai finansuoti iš projekto vykdytojui ir (arba) partneriui perskolintų EIB paskolos lėšų, tačiau projektas neatitinka EIB nustatytų išlaidų tinkamumo finansuoti sąlygų, šio papunkčio ir, nesant kitų pagrįstų nuosavo įnašo finansavimo užtikrinimo šaltinių, 6.1 papunkčio vertinimas turi būti „Ne“;</w:t>
                </w:r>
              </w:p>
              <w:p>
                <w:pPr>
                  <w:shd w:val="clear" w:color="auto" w:fill="FFFFFF"/>
                  <w:ind w:left="34"/>
                  <w:rPr>
                    <w:bCs/>
                    <w:i/>
                    <w:sz w:val="22"/>
                    <w:szCs w:val="22"/>
                  </w:rPr>
                </w:pPr>
                <w:r>
                  <w:rPr>
                    <w:bCs/>
                    <w:i/>
                    <w:sz w:val="22"/>
                    <w:szCs w:val="22"/>
                  </w:rPr>
                  <w:t xml:space="preserve">– projektą planuojama bendrai finansuoti </w:t>
                </w:r>
                <w:r>
                  <w:rPr>
                    <w:bCs/>
                    <w:i/>
                    <w:sz w:val="22"/>
                    <w:szCs w:val="22"/>
                    <w:lang w:eastAsia="lt-LT"/>
                  </w:rPr>
                  <w:t>Lietuvos Respublikos valstybės biudžeto lėšomis (įskaitant atvejus, kai projekto vykdytojo ir (arba) partnerio nuosavų lėšų šaltinis yra Lietuvos Respublikos biudžeto lėšos), tačiau jis neatitinka</w:t>
                </w:r>
                <w:r>
                  <w:rPr>
                    <w:bCs/>
                    <w:i/>
                    <w:sz w:val="22"/>
                    <w:szCs w:val="22"/>
                  </w:rPr>
                  <w:t xml:space="preserve"> EIB nustatytų išlaidų tinkamumo finansuoti sąlygų, šio papunkčio vertinimas turi būti „Ne“. </w:t>
                </w:r>
              </w:p>
              <w:p>
                <w:pPr>
                  <w:rPr>
                    <w:bCs/>
                    <w:sz w:val="22"/>
                    <w:szCs w:val="22"/>
                    <w:lang w:eastAsia="lt-LT"/>
                  </w:rPr>
                </w:pPr>
                <w:r>
                  <w:rPr>
                    <w:bCs/>
                    <w:i/>
                    <w:sz w:val="22"/>
                    <w:szCs w:val="22"/>
                  </w:rPr>
                  <w:t>Jei šio papunkčio vertinimo aspektas įvertinamas neigiamai, tai neturi įtakos bendram atitikties bendriesiems reikalavimams vertinimui.</w:t>
                </w:r>
                <w:r>
                  <w:rPr>
                    <w:bCs/>
                    <w:sz w:val="22"/>
                    <w:szCs w:val="22"/>
                  </w:rPr>
                  <w:t>)</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14600" w:type="dxa"/>
                <w:gridSpan w:val="5"/>
                <w:tcBorders>
                  <w:top w:val="single" w:sz="4" w:space="0" w:color="000000"/>
                  <w:left w:val="single" w:sz="4" w:space="0" w:color="000000"/>
                  <w:bottom w:val="single" w:sz="4" w:space="0" w:color="auto"/>
                  <w:right w:val="single" w:sz="4" w:space="0" w:color="000000"/>
                </w:tcBorders>
                <w:shd w:val="clear" w:color="auto" w:fill="D9D9D9"/>
              </w:tcPr>
              <w:p>
                <w:pPr>
                  <w:rPr>
                    <w:sz w:val="22"/>
                    <w:szCs w:val="22"/>
                    <w:lang w:eastAsia="lt-LT"/>
                  </w:rPr>
                </w:pPr>
                <w:r>
                  <w:rPr>
                    <w:b/>
                    <w:bCs/>
                    <w:sz w:val="22"/>
                    <w:szCs w:val="22"/>
                    <w:lang w:eastAsia="lt-LT"/>
                  </w:rPr>
                  <w:t>7. Užtikrintas efektyvus projektui įgyvendinti reikalingų lėšų panaudojimas.</w:t>
                </w: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 xml:space="preserve">7.1. </w:t>
                </w:r>
                <w:r>
                  <w:rPr>
                    <w:color w:val="000000"/>
                    <w:sz w:val="22"/>
                    <w:szCs w:val="22"/>
                    <w:lang w:eastAsia="lt-LT"/>
                  </w:rPr>
                  <w:t>Projekto įgyvendinimo alternatyvos pasirinkimas pagrįstas sąnaudų ir naudos analizės (toliau – SNA</w:t>
                </w:r>
                <w:r>
                  <w:rPr>
                    <w:b/>
                    <w:bCs/>
                    <w:color w:val="000000"/>
                    <w:sz w:val="22"/>
                    <w:szCs w:val="22"/>
                    <w:lang w:eastAsia="lt-LT"/>
                  </w:rPr>
                  <w:t>)</w:t>
                </w:r>
                <w:r>
                  <w:rPr>
                    <w:color w:val="000000"/>
                    <w:sz w:val="22"/>
                    <w:szCs w:val="22"/>
                    <w:lang w:eastAsia="lt-LT"/>
                  </w:rPr>
                  <w:t xml:space="preserve"> rezultatais</w:t>
                </w:r>
                <w:r>
                  <w:rPr>
                    <w:i/>
                    <w:sz w:val="22"/>
                    <w:szCs w:val="22"/>
                    <w:lang w:eastAsia="lt-LT"/>
                  </w:rPr>
                  <w:t xml:space="preserve"> (atitiktį šiam reikalavimui vertina ministerija</w:t>
                </w:r>
                <w:r>
                  <w:rPr>
                    <w:sz w:val="22"/>
                    <w:szCs w:val="22"/>
                    <w:lang w:eastAsia="lt-LT"/>
                  </w:rPr>
                  <w:t>):</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auto"/>
                  <w:right w:val="single" w:sz="4" w:space="0" w:color="000000"/>
                </w:tcBorders>
              </w:tcPr>
              <w:p>
                <w:pPr>
                  <w:rPr>
                    <w:sz w:val="22"/>
                    <w:szCs w:val="22"/>
                    <w:lang w:eastAsia="lt-LT"/>
                  </w:rPr>
                </w:pPr>
                <w:r>
                  <w:rPr>
                    <w:i/>
                    <w:sz w:val="22"/>
                    <w:szCs w:val="22"/>
                    <w:lang w:eastAsia="lt-LT"/>
                  </w:rPr>
                  <w:t>(Įgyvendinančioji institucija, pildydama projekto tinkamumo finansuoti vertinimo lentelę, perkelia ministerijos atlikto projektinio pasiūlymo vertinimo išvadą ir skiltyje „Komentarai“ nurodo šios išvados pavadinimą ir datą).</w:t>
                </w: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7.1.1. projekto įgyvendinimo alternatyvoms įvertinti taikomos pajamų, sąnaudų, finansavimo šaltinių, sukuriamos naudos ir kitos prielaidos yra pagrįstos;</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7.1.2. projekto įgyvendinimo alternatyvoms įvertinti taikomas vienodas pagrįstos trukmės analizės laikotarpis;</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7.1.3. projekto įgyvendinimo alternatyvoms įvertinti taikoma vienoda pagrįsto dydžio diskonto norma;</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7.1.4. optimali projekto įgyvendinimo alternatyva pasirinkta pagal projekto įgyvendinimo alternatyvų finansinių ir (arba) ekonominių rodiklių (grynosios dabartinės vertės, vidinės grąžos normos, naudos ir sąnaudų santykio) reikšmes;</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7.1.5. pasirinktai projekto įgyvendinimo alternatyvai realizuoti nėra žinomų teisinių, techninių ir socialinių apribojimų.</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i/>
                    <w:sz w:val="22"/>
                    <w:szCs w:val="22"/>
                    <w:lang w:eastAsia="lt-LT"/>
                  </w:rPr>
                </w:pPr>
                <w:r>
                  <w:rPr>
                    <w:sz w:val="22"/>
                    <w:szCs w:val="22"/>
                    <w:lang w:eastAsia="lt-LT"/>
                  </w:rPr>
                  <w:t>7.2. Projekto įgyvendinimo alternatyvos pasirinkimas pagrįstas sąnaudų veiksmingumo analizės (toliau – SVA) rodikliu (</w:t>
                </w:r>
                <w:r>
                  <w:rPr>
                    <w:i/>
                    <w:sz w:val="22"/>
                    <w:szCs w:val="22"/>
                    <w:lang w:eastAsia="lt-LT"/>
                  </w:rPr>
                  <w:t>šis vertinimo aspektas taikomas projektams, kuriems netaikomas 7.1 papunktyje nurodytas vertinimo aspektas</w:t>
                </w:r>
                <w:r>
                  <w:rPr>
                    <w:sz w:val="22"/>
                    <w:szCs w:val="22"/>
                    <w:lang w:eastAsia="lt-LT"/>
                  </w:rPr>
                  <w:t>).</w:t>
                </w:r>
              </w:p>
              <w:p>
                <w:pPr>
                  <w:rPr>
                    <w:i/>
                    <w:sz w:val="22"/>
                    <w:szCs w:val="22"/>
                    <w:lang w:eastAsia="lt-LT"/>
                  </w:rPr>
                </w:pPr>
              </w:p>
              <w:p>
                <w:pPr>
                  <w:rPr>
                    <w:i/>
                    <w:sz w:val="22"/>
                    <w:szCs w:val="22"/>
                    <w:lang w:eastAsia="lt-LT"/>
                  </w:rPr>
                </w:pPr>
                <w:r>
                  <w:rPr>
                    <w:i/>
                    <w:sz w:val="22"/>
                    <w:szCs w:val="22"/>
                    <w:lang w:eastAsia="lt-LT"/>
                  </w:rPr>
                  <w:t>(Atitiktį šiam vertinimo aspektui vertina ministerija prieš tai, kai projektas įtraukiamas į valstybės projektų sąrašą, vadovaudamasi vadovaujančiosios institucijos rengiama Optimalios projekto įgyvendinimo alternatyvos pasirinkimo kokybės vertinimo metodika, kuriai pritaria Veiksmų programos valdymo komitetas ir kuri skelbiama svetainėje www.esinvesticijos.lt.)</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r>
                  <w:rPr>
                    <w:i/>
                    <w:sz w:val="22"/>
                    <w:szCs w:val="22"/>
                    <w:lang w:eastAsia="lt-LT"/>
                  </w:rPr>
                  <w:t>(Įgyvendinančioji institucija, pildydama projekto tinkamumo finansuoti vertinimo lentelę, perkelia ministerijos atlikto projektinio pasiūlymo vertinimo išvadą ir skiltyje „Komentarai“ nurodo šios išvados pavadinimą ir datą).</w:t>
                </w: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 w:val="22"/>
                    <w:szCs w:val="22"/>
                  </w:rPr>
                </w:pPr>
                <w:r>
                  <w:rPr>
                    <w:sz w:val="22"/>
                    <w:szCs w:val="22"/>
                    <w:lang w:eastAsia="lt-LT"/>
                  </w:rPr>
                  <w:t>7.3. Įvertintos pagrindinės projekto rizikos ir suplanuotos rizikų valdymo priemonės bei joms įgyvendinti reikalingi ištekliai.</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7.4. Numatytos projekto veiklos atitinka tinkamoms finansuoti veikloms ir jų apimtims nustatytus reikalavimus. Išlaidos atitinka nustatytus reikalavimus ir yra būtinos projektams įgyvendinti. Veiklos ir išlaidos suplanuotos efektyviai ir pagrįstai, įvertinus ir iki paraiškos pateikimo pradėtas ar įvykdytas viešųjų pirkimų procedūras. Vertinant pareiškėjo ir partnerio (-ių) įgyvendintus ir (arba) įgyvendinamus projektus toms pačioms veikloms ir išlaidoms finansavimas nėra skiriamas pakartotinai.</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1104"/>
            </w:trPr>
            <w:tc>
              <w:tcPr>
                <w:tcW w:w="4820" w:type="dxa"/>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 xml:space="preserve">7.5. </w:t>
                </w:r>
                <w:r>
                  <w:rPr>
                    <w:spacing w:val="-4"/>
                    <w:sz w:val="22"/>
                    <w:szCs w:val="22"/>
                    <w:lang w:eastAsia="lt-LT"/>
                  </w:rPr>
                  <w:t>Pareiškėjas gali įgyvendinti projekto tikslus, veiklas, uždavinius bei pasiekti rezultatus per projekto įgyvendinimo laikotarpį; projekto įgyvendinimo trukmė, vieta atitinka Apraše nustatytus reikalavimus.</w:t>
                </w:r>
              </w:p>
            </w:tc>
            <w:tc>
              <w:tcPr>
                <w:tcW w:w="4677"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rPr>
                  <w:t xml:space="preserve">Projekto įgyvendinimo trukmė / terminas ir vieta turi atitikti </w:t>
                </w:r>
                <w:r>
                  <w:rPr>
                    <w:sz w:val="22"/>
                    <w:szCs w:val="24"/>
                  </w:rPr>
                  <w:t xml:space="preserve">Aprašo 20 ir 22 punktuose </w:t>
                </w:r>
                <w:r>
                  <w:rPr>
                    <w:sz w:val="22"/>
                    <w:szCs w:val="22"/>
                  </w:rPr>
                  <w:t>nustatytus reikalavimus.</w:t>
                </w:r>
              </w:p>
            </w:tc>
            <w:tc>
              <w:tcPr>
                <w:tcW w:w="2127" w:type="dxa"/>
                <w:tcBorders>
                  <w:top w:val="single" w:sz="4" w:space="0" w:color="000000"/>
                  <w:left w:val="single" w:sz="4" w:space="0" w:color="000000"/>
                  <w:bottom w:val="single" w:sz="4" w:space="0" w:color="000000"/>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7.6. Projektas atitinka kryžminio finansavimo reikalavimus.</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r>
                  <w:rPr>
                    <w:sz w:val="22"/>
                    <w:szCs w:val="22"/>
                  </w:rPr>
                  <w:t xml:space="preserve">Projekte numatytas kryžminis finansavimas turi neviršyti </w:t>
                </w:r>
                <w:r>
                  <w:rPr>
                    <w:sz w:val="22"/>
                    <w:szCs w:val="24"/>
                  </w:rPr>
                  <w:t>Aprašo</w:t>
                </w:r>
                <w:r>
                  <w:rPr>
                    <w:rFonts w:ascii="Calibri" w:hAnsi="Calibri"/>
                    <w:sz w:val="22"/>
                    <w:szCs w:val="22"/>
                    <w:lang w:eastAsia="lt-LT"/>
                  </w:rPr>
                  <w:t xml:space="preserve"> </w:t>
                </w:r>
                <w:r>
                  <w:rPr>
                    <w:sz w:val="22"/>
                    <w:szCs w:val="24"/>
                  </w:rPr>
                  <w:t xml:space="preserve">38 punkto 3 išlaidų kategorijoje „Statyba, rekonstravimas, remontas ir kiti darbai“ </w:t>
                </w:r>
                <w:r>
                  <w:rPr>
                    <w:sz w:val="22"/>
                    <w:szCs w:val="22"/>
                  </w:rPr>
                  <w:t>nurodyto procento.</w:t>
                </w: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 xml:space="preserve">7.7. Teisingai </w:t>
                </w:r>
                <w:r>
                  <w:rPr>
                    <w:sz w:val="22"/>
                    <w:szCs w:val="22"/>
                  </w:rPr>
                  <w:t>pritaikyti fiksuotoji projekto išlaidų norma, fiksuotieji</w:t>
                </w:r>
                <w:r>
                  <w:rPr>
                    <w:sz w:val="22"/>
                    <w:szCs w:val="22"/>
                    <w:lang w:eastAsia="lt-LT"/>
                  </w:rPr>
                  <w:t xml:space="preserve"> projekto išlaidų </w:t>
                </w:r>
                <w:r>
                  <w:rPr>
                    <w:sz w:val="22"/>
                    <w:szCs w:val="22"/>
                  </w:rPr>
                  <w:t xml:space="preserve">vieneto įkainiai, fiksuotosios projekto išlaidų sumos ir (ar) apdovanojimai. </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4"/>
                  </w:rPr>
                </w:pPr>
                <w:r>
                  <w:rPr>
                    <w:sz w:val="22"/>
                    <w:szCs w:val="22"/>
                  </w:rPr>
                  <w:t>Projektui taikoma fiksuotoji norma, fiksuotieji</w:t>
                </w:r>
                <w:r>
                  <w:rPr>
                    <w:sz w:val="22"/>
                    <w:szCs w:val="22"/>
                    <w:lang w:eastAsia="lt-LT"/>
                  </w:rPr>
                  <w:t xml:space="preserve"> projekto išlaidų </w:t>
                </w:r>
                <w:r>
                  <w:rPr>
                    <w:sz w:val="22"/>
                    <w:szCs w:val="22"/>
                  </w:rPr>
                  <w:t xml:space="preserve">vieneto įkainiai turi atitikti reikalavimus, nustatytus </w:t>
                </w:r>
                <w:r>
                  <w:rPr>
                    <w:sz w:val="22"/>
                    <w:szCs w:val="24"/>
                  </w:rPr>
                  <w:t xml:space="preserve">Aprašo 37 punkte, </w:t>
                </w:r>
              </w:p>
              <w:p>
                <w:pPr>
                  <w:rPr>
                    <w:sz w:val="22"/>
                    <w:szCs w:val="24"/>
                  </w:rPr>
                </w:pPr>
                <w:r>
                  <w:rPr>
                    <w:sz w:val="22"/>
                    <w:szCs w:val="24"/>
                  </w:rPr>
                  <w:t xml:space="preserve">Aprašo 38 punkto 5 išlaidų kategorijoje „Projekto vykdymas“ ir Aprašo 42, </w:t>
                </w:r>
                <w:r>
                  <w:rPr>
                    <w:color w:val="000000"/>
                    <w:szCs w:val="24"/>
                  </w:rPr>
                  <w:t>42</w:t>
                </w:r>
                <w:r>
                  <w:rPr>
                    <w:color w:val="000000"/>
                    <w:szCs w:val="24"/>
                    <w:vertAlign w:val="superscript"/>
                  </w:rPr>
                  <w:t>1</w:t>
                </w:r>
                <w:r>
                  <w:rPr>
                    <w:color w:val="000000"/>
                    <w:szCs w:val="24"/>
                  </w:rPr>
                  <w:t xml:space="preserve"> </w:t>
                </w:r>
                <w:r>
                  <w:rPr>
                    <w:sz w:val="22"/>
                    <w:szCs w:val="24"/>
                  </w:rPr>
                  <w:t>ir 43 punktuose.</w:t>
                </w:r>
              </w:p>
            </w:tc>
            <w:tc>
              <w:tcPr>
                <w:tcW w:w="2127"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4"/>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tcPr>
              <w:p>
                <w:pPr>
                  <w:rPr>
                    <w:sz w:val="22"/>
                    <w:szCs w:val="22"/>
                    <w:lang w:eastAsia="lt-LT"/>
                  </w:rPr>
                </w:pPr>
                <w:r>
                  <w:rPr>
                    <w:sz w:val="22"/>
                    <w:szCs w:val="22"/>
                    <w:lang w:eastAsia="lt-LT"/>
                  </w:rPr>
                  <w:t>7.8. Paraiškoje teisingai nurodyta projekto kategorija, iš projekto planuojamos gauti pajamos (taip pat ir grynosios pajamos) teisingai apskaičiuotos ir teisingai nustatytas projektui reikiamo finansavimo dydis, atsižvelgiant į tai, ar įgyvendinant projektą:</w:t>
                </w:r>
              </w:p>
              <w:p>
                <w:pPr>
                  <w:rPr>
                    <w:sz w:val="22"/>
                    <w:szCs w:val="22"/>
                    <w:lang w:eastAsia="lt-LT"/>
                  </w:rPr>
                </w:pPr>
                <w:r>
                  <w:rPr>
                    <w:sz w:val="22"/>
                    <w:szCs w:val="22"/>
                    <w:lang w:eastAsia="lt-LT"/>
                  </w:rPr>
                  <w:t>– negaunama pajamų;</w:t>
                </w:r>
              </w:p>
              <w:p>
                <w:pPr>
                  <w:rPr>
                    <w:sz w:val="22"/>
                    <w:szCs w:val="22"/>
                    <w:lang w:eastAsia="lt-LT"/>
                  </w:rPr>
                </w:pPr>
                <w:r>
                  <w:rPr>
                    <w:sz w:val="22"/>
                    <w:szCs w:val="22"/>
                    <w:lang w:eastAsia="lt-LT"/>
                  </w:rPr>
                  <w:t>– gaunama pajamų ir jos yra įvertintos iš anksto;</w:t>
                </w:r>
              </w:p>
              <w:p>
                <w:pPr>
                  <w:rPr>
                    <w:sz w:val="22"/>
                    <w:szCs w:val="22"/>
                    <w:lang w:eastAsia="lt-LT"/>
                  </w:rPr>
                </w:pPr>
                <w:r>
                  <w:rPr>
                    <w:sz w:val="22"/>
                    <w:szCs w:val="22"/>
                    <w:lang w:eastAsia="lt-LT"/>
                  </w:rPr>
                  <w:t xml:space="preserve">– gaunama pajamų,  bet jų iš anksto neįmanoma apskaičiuoti. </w:t>
                </w:r>
              </w:p>
              <w:p>
                <w:pPr>
                  <w:rPr>
                    <w:i/>
                    <w:sz w:val="22"/>
                    <w:szCs w:val="22"/>
                    <w:lang w:eastAsia="lt-LT"/>
                  </w:rPr>
                </w:pPr>
                <w:r>
                  <w:rPr>
                    <w:i/>
                    <w:sz w:val="22"/>
                    <w:szCs w:val="22"/>
                    <w:lang w:eastAsia="lt-LT"/>
                  </w:rPr>
                  <w:t xml:space="preserve">(Šis vertinimo aspektas netaikomas, kai iš Europos regioninės plėtros fondo ar Sanglaudos fondo bendrai finansuojamo projekto tinkamų finansuoti išlaidų suma neviršija </w:t>
                </w:r>
              </w:p>
              <w:p>
                <w:pPr>
                  <w:rPr>
                    <w:sz w:val="22"/>
                    <w:szCs w:val="22"/>
                    <w:lang w:eastAsia="lt-LT"/>
                  </w:rPr>
                </w:pPr>
                <w:r>
                  <w:rPr>
                    <w:i/>
                    <w:sz w:val="22"/>
                    <w:szCs w:val="22"/>
                    <w:lang w:eastAsia="lt-LT"/>
                  </w:rPr>
                  <w:t>1 000 000 eurų, kai iš ESF bendrai finansuojamo projekto tinkamų finansuoti išlaidų suma neviršija 50 000 eurų, kai projektams taikoma valstybės pagalba, apdovanojimams ir grąžinamosioms subsidijoms (kai grąžinama visa paramos suma), fiksuotosioms sumoms, fiksuotiesiems įkainiams ir bendro veiksmų plano projektams, jeigu juos nustatant buvo atsižvelgta į numatomas gauti grynąsias pajamas</w:t>
                </w:r>
                <w:r>
                  <w:rPr>
                    <w:i/>
                    <w:sz w:val="22"/>
                    <w:szCs w:val="22"/>
                  </w:rPr>
                  <w:t>, taip pat techninės paramos projektams, taip pat jeigu pagal reglamento (ES) Nr. 1303/2013 61 straipsnio 3 dalies a arba aa</w:t>
                </w:r>
                <w:r>
                  <w:rPr>
                    <w:i/>
                    <w:sz w:val="22"/>
                    <w:szCs w:val="22"/>
                    <w:lang w:eastAsia="lt-LT"/>
                  </w:rPr>
                  <w:t xml:space="preserve"> </w:t>
                </w:r>
                <w:r>
                  <w:rPr>
                    <w:i/>
                    <w:sz w:val="22"/>
                    <w:szCs w:val="22"/>
                  </w:rPr>
                  <w:t>punktą ūkio sektoriui taikoma grynųjų pajamų fiksuotoji norma, išreikšta pajamų procentais.)</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r>
            <w:trPr>
              <w:trHeight w:val="20"/>
            </w:trPr>
            <w:tc>
              <w:tcPr>
                <w:tcW w:w="14600" w:type="dxa"/>
                <w:gridSpan w:val="5"/>
                <w:tcBorders>
                  <w:top w:val="single" w:sz="4" w:space="0" w:color="000000"/>
                  <w:left w:val="single" w:sz="4" w:space="0" w:color="000000"/>
                  <w:bottom w:val="single" w:sz="4" w:space="0" w:color="auto"/>
                  <w:right w:val="single" w:sz="4" w:space="0" w:color="000000"/>
                </w:tcBorders>
                <w:shd w:val="clear" w:color="auto" w:fill="D9D9D9"/>
              </w:tcPr>
              <w:p>
                <w:pPr>
                  <w:rPr>
                    <w:sz w:val="22"/>
                    <w:szCs w:val="22"/>
                    <w:lang w:eastAsia="lt-LT"/>
                  </w:rPr>
                </w:pPr>
                <w:r>
                  <w:rPr>
                    <w:b/>
                    <w:bCs/>
                    <w:sz w:val="22"/>
                    <w:szCs w:val="22"/>
                    <w:lang w:eastAsia="lt-LT"/>
                  </w:rPr>
                  <w:t>8. Projekto veiklos vykdomos tinkamoje 2014–2020 m. Europos Sąjungos struktūrinių fondų</w:t>
                </w:r>
                <w:r>
                  <w:rPr>
                    <w:bCs/>
                    <w:sz w:val="22"/>
                    <w:szCs w:val="22"/>
                    <w:lang w:eastAsia="lt-LT"/>
                  </w:rPr>
                  <w:t xml:space="preserve"> </w:t>
                </w:r>
                <w:r>
                  <w:rPr>
                    <w:b/>
                    <w:bCs/>
                    <w:sz w:val="22"/>
                    <w:szCs w:val="22"/>
                    <w:lang w:eastAsia="lt-LT"/>
                  </w:rPr>
                  <w:t>veiksmų programos įgyvendinimo teritorijoje.</w:t>
                </w: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8.1. Projekto veiklos vykdomos Lietuvos Respublikoje arba ne Lietuvos Respublikoje, bet jas vykdant sukurti produktai, gauti rezultatai ir nauda (ar jų dalis, proporcinga Lietuvos Respublikos finansiniam įnašui) atitenka Lietuvos Respublikai (arba ES, kai vykdomos projektų veiklos pagal Reglamento (ES) Nr. 1303/2013 9 straipsnio pirmosios pastraipos 1 punktą)</w:t>
                </w:r>
                <w:r>
                  <w:rPr>
                    <w:szCs w:val="24"/>
                    <w:lang w:eastAsia="lt-LT"/>
                  </w:rPr>
                  <w:t xml:space="preserve"> </w:t>
                </w:r>
                <w:r>
                  <w:rPr>
                    <w:sz w:val="22"/>
                    <w:szCs w:val="22"/>
                    <w:lang w:eastAsia="lt-LT"/>
                  </w:rPr>
                  <w:t>ir projektas atitinka bent vieną iš šių sąlygų:</w:t>
                </w:r>
              </w:p>
              <w:p>
                <w:pPr>
                  <w:rPr>
                    <w:sz w:val="22"/>
                    <w:szCs w:val="22"/>
                    <w:lang w:eastAsia="lt-LT"/>
                  </w:rPr>
                </w:pPr>
                <w:r>
                  <w:rPr>
                    <w:sz w:val="22"/>
                    <w:szCs w:val="22"/>
                    <w:lang w:eastAsia="lt-LT"/>
                  </w:rPr>
                  <w:t>a) iš ERPF ir SF bendrai finansuojamo projekto veiklų, vykdomų ne Lietuvos Respublikoje, o ES teritorijoje, išlaidos neviršija procento, nustatyto Apraše; arba pagal Aprašą vykdomos reprezentacijai skirtos veiklos,</w:t>
                </w:r>
                <w:r>
                  <w:rPr>
                    <w:szCs w:val="24"/>
                    <w:lang w:eastAsia="lt-LT"/>
                  </w:rPr>
                  <w:t xml:space="preserve"> </w:t>
                </w:r>
                <w:r>
                  <w:rPr>
                    <w:sz w:val="22"/>
                    <w:szCs w:val="22"/>
                    <w:lang w:eastAsia="lt-LT"/>
                  </w:rPr>
                  <w:t>informavimo, komunikacijos ir ES struktūrinių fondų matomumo didinimo veiklos;</w:t>
                </w:r>
              </w:p>
              <w:p>
                <w:pPr>
                  <w:rPr>
                    <w:sz w:val="22"/>
                    <w:szCs w:val="22"/>
                    <w:lang w:eastAsia="lt-LT"/>
                  </w:rPr>
                </w:pPr>
                <w:r>
                  <w:rPr>
                    <w:sz w:val="22"/>
                    <w:szCs w:val="22"/>
                    <w:lang w:eastAsia="lt-LT"/>
                  </w:rPr>
                  <w:t xml:space="preserve">b) iš ESF bendrai finansuojamo projekto veiklos vykdomos: </w:t>
                </w:r>
              </w:p>
              <w:p>
                <w:pPr>
                  <w:rPr>
                    <w:sz w:val="22"/>
                    <w:szCs w:val="22"/>
                    <w:lang w:eastAsia="lt-LT"/>
                  </w:rPr>
                </w:pPr>
                <w:r>
                  <w:rPr>
                    <w:sz w:val="22"/>
                    <w:szCs w:val="22"/>
                    <w:lang w:eastAsia="lt-LT"/>
                  </w:rPr>
                  <w:t>– ES teritorijoje;</w:t>
                </w:r>
              </w:p>
              <w:p>
                <w:pPr>
                  <w:rPr>
                    <w:sz w:val="22"/>
                    <w:szCs w:val="22"/>
                    <w:lang w:eastAsia="lt-LT"/>
                  </w:rPr>
                </w:pPr>
                <w:r>
                  <w:rPr>
                    <w:sz w:val="22"/>
                    <w:szCs w:val="22"/>
                    <w:lang w:eastAsia="lt-LT"/>
                  </w:rPr>
                  <w:t>– ne ES teritorijoje, bet tokių veiklų išlaidos neviršija procento, nustatyto Apraše;</w:t>
                </w:r>
              </w:p>
              <w:p>
                <w:pPr>
                  <w:rPr>
                    <w:sz w:val="22"/>
                    <w:szCs w:val="22"/>
                    <w:lang w:eastAsia="lt-LT"/>
                  </w:rPr>
                </w:pPr>
                <w:r>
                  <w:rPr>
                    <w:sz w:val="22"/>
                    <w:szCs w:val="22"/>
                    <w:lang w:eastAsia="lt-LT"/>
                  </w:rPr>
                  <w:t>c) vykdomos techninės paramos projektų veiklos.</w:t>
                </w:r>
              </w:p>
            </w:tc>
            <w:tc>
              <w:tcPr>
                <w:tcW w:w="4677" w:type="dxa"/>
                <w:gridSpan w:val="2"/>
                <w:tcBorders>
                  <w:top w:val="single" w:sz="4" w:space="0" w:color="000000"/>
                  <w:left w:val="single" w:sz="4" w:space="0" w:color="000000"/>
                  <w:bottom w:val="single" w:sz="4" w:space="0" w:color="auto"/>
                  <w:right w:val="single" w:sz="4" w:space="0" w:color="000000"/>
                </w:tcBorders>
              </w:tcPr>
              <w:p>
                <w:pPr>
                  <w:rPr>
                    <w:sz w:val="22"/>
                    <w:szCs w:val="22"/>
                    <w:lang w:eastAsia="lt-LT"/>
                  </w:rPr>
                </w:pPr>
                <w:r>
                  <w:rPr>
                    <w:sz w:val="22"/>
                    <w:szCs w:val="24"/>
                  </w:rPr>
                  <w:t xml:space="preserve">Projekto veiklų vykdymo teritorija turi atitikti šio Aprašo 22 punkte </w:t>
                </w:r>
                <w:r>
                  <w:rPr>
                    <w:sz w:val="22"/>
                    <w:szCs w:val="22"/>
                  </w:rPr>
                  <w:t>nustatytus reikalavimus.</w:t>
                </w:r>
              </w:p>
            </w:tc>
            <w:tc>
              <w:tcPr>
                <w:tcW w:w="2127" w:type="dxa"/>
                <w:tcBorders>
                  <w:top w:val="single" w:sz="4" w:space="0" w:color="000000"/>
                  <w:left w:val="single" w:sz="4" w:space="0" w:color="000000"/>
                  <w:bottom w:val="single" w:sz="4" w:space="0" w:color="auto"/>
                  <w:right w:val="single" w:sz="4" w:space="0" w:color="000000"/>
                </w:tcBorders>
              </w:tcPr>
              <w:p>
                <w:pPr>
                  <w:jc w:val="center"/>
                  <w:rPr>
                    <w:sz w:val="22"/>
                    <w:szCs w:val="22"/>
                    <w:lang w:eastAsia="lt-LT"/>
                  </w:rPr>
                </w:pPr>
              </w:p>
            </w:tc>
            <w:tc>
              <w:tcPr>
                <w:tcW w:w="2976" w:type="dxa"/>
                <w:tcBorders>
                  <w:top w:val="single" w:sz="4" w:space="0" w:color="000000"/>
                  <w:left w:val="single" w:sz="4" w:space="0" w:color="000000"/>
                  <w:bottom w:val="single" w:sz="4" w:space="0" w:color="auto"/>
                  <w:right w:val="single" w:sz="4" w:space="0" w:color="000000"/>
                </w:tcBorders>
              </w:tcPr>
              <w:p>
                <w:pPr>
                  <w:rPr>
                    <w:sz w:val="22"/>
                    <w:szCs w:val="22"/>
                    <w:lang w:eastAsia="lt-LT"/>
                  </w:rPr>
                </w:pPr>
              </w:p>
            </w:tc>
          </w:tr>
        </w:tbl>
        <w:p>
          <w:pPr>
            <w:spacing w:line="276" w:lineRule="auto"/>
            <w:rPr>
              <w:rFonts w:ascii="Calibri" w:hAnsi="Calibri"/>
              <w:sz w:val="22"/>
              <w:szCs w:val="22"/>
            </w:rPr>
          </w:pPr>
        </w:p>
        <w:p>
          <w:pPr>
            <w:rPr>
              <w:sz w:val="18"/>
              <w:szCs w:val="18"/>
            </w:rPr>
          </w:pPr>
        </w:p>
        <w:p>
          <w:pPr>
            <w:keepNext/>
            <w:ind w:firstLine="426"/>
            <w:rPr>
              <w:sz w:val="22"/>
              <w:szCs w:val="22"/>
              <w:lang w:eastAsia="lt-LT"/>
            </w:rPr>
          </w:pPr>
          <w:r>
            <w:rPr>
              <w:sz w:val="22"/>
              <w:szCs w:val="22"/>
              <w:lang w:eastAsia="lt-LT"/>
            </w:rPr>
            <w:t>Galutinė projekto atitikties bendriesiems reikalavimams vertinimo išvada:</w:t>
          </w:r>
        </w:p>
        <w:p>
          <w:pPr>
            <w:keepNext/>
            <w:ind w:firstLine="385"/>
            <w:rPr>
              <w:sz w:val="22"/>
              <w:szCs w:val="22"/>
              <w:lang w:eastAsia="lt-LT"/>
            </w:rPr>
          </w:pPr>
        </w:p>
        <w:sdt>
          <w:sdtPr>
            <w:alias w:val="1 pr. 1 p."/>
            <w:tag w:val="part_3e649319e0f9452b9a7f7715f8420fa6"/>
            <w:lock w:val="sdtLocked"/>
            <w:richText/>
          </w:sdtPr>
          <w:sdtContent>
            <w:p>
              <w:pPr>
                <w:keepNext/>
                <w:ind w:firstLine="440"/>
                <w:rPr>
                  <w:sz w:val="22"/>
                  <w:szCs w:val="22"/>
                  <w:lang w:eastAsia="lt-LT"/>
                </w:rPr>
              </w:pPr>
              <w:sdt>
                <w:sdtPr>
                  <w:alias w:val="Numeris"/>
                  <w:tag w:val="nr_3e649319e0f9452b9a7f7715f8420fa6"/>
                  <w:lock w:val="sdtLocked"/>
                  <w:richText/>
                </w:sdtPr>
                <w:sdtContent>
                  <w:r>
                    <w:rPr>
                      <w:sz w:val="22"/>
                      <w:szCs w:val="22"/>
                      <w:lang w:eastAsia="lt-LT"/>
                    </w:rPr>
                    <w:t>1</w:t>
                  </w:r>
                </w:sdtContent>
              </w:sdt>
              <w:r>
                <w:rPr>
                  <w:sz w:val="22"/>
                  <w:szCs w:val="22"/>
                  <w:lang w:eastAsia="lt-LT"/>
                </w:rPr>
                <w:t>. Ar paraiška atitinka projektinį pasiūlymą ir valstybės ar regionų projektų sąrašą?</w:t>
              </w:r>
            </w:p>
            <w:p>
              <w:pPr>
                <w:ind w:left="720" w:hanging="294"/>
                <w:rPr>
                  <w:sz w:val="22"/>
                  <w:szCs w:val="22"/>
                  <w:lang w:eastAsia="lt-LT"/>
                </w:rPr>
              </w:pPr>
              <w:r>
                <w:rPr>
                  <w:sz w:val="22"/>
                  <w:szCs w:val="22"/>
                  <w:lang w:eastAsia="lt-LT"/>
                </w:rPr>
                <w:sym w:font="Symbol" w:char="F07F"/>
                <w:t xml:space="preserve"> Taip                                                   </w:t>
                <w:sym w:font="Symbol" w:char="F07F"/>
                <w:t xml:space="preserve"> Ne                                                              </w:t>
                <w:sym w:font="Symbol" w:char="F07F"/>
                <w:t xml:space="preserve"> Taip su išlyga </w:t>
              </w:r>
            </w:p>
            <w:p>
              <w:pPr>
                <w:ind w:left="720" w:hanging="294"/>
                <w:rPr>
                  <w:sz w:val="22"/>
                  <w:szCs w:val="22"/>
                  <w:lang w:eastAsia="lt-LT"/>
                </w:rPr>
              </w:pPr>
              <w:r>
                <w:rPr>
                  <w:sz w:val="22"/>
                  <w:szCs w:val="22"/>
                  <w:lang w:eastAsia="lt-LT"/>
                </w:rPr>
                <w:t>Komentarai: ____________________________________________________________________</w:t>
              </w:r>
            </w:p>
            <w:p>
              <w:pPr>
                <w:ind w:left="142" w:firstLine="284"/>
                <w:jc w:val="both"/>
                <w:rPr>
                  <w:i/>
                  <w:sz w:val="22"/>
                  <w:szCs w:val="22"/>
                  <w:lang w:eastAsia="lt-LT"/>
                </w:rPr>
              </w:pPr>
              <w:r>
                <w:rPr>
                  <w:sz w:val="22"/>
                  <w:szCs w:val="22"/>
                  <w:lang w:eastAsia="lt-LT"/>
                </w:rPr>
                <w:t>(</w:t>
              </w:r>
              <w:r>
                <w:rPr>
                  <w:i/>
                  <w:sz w:val="22"/>
                  <w:szCs w:val="22"/>
                  <w:lang w:eastAsia="lt-LT"/>
                </w:rPr>
                <w:t>Pildoma projekto tinkamumo finansuoti vertinimo metu. Galimas simbolių skaičius – 1000. Jei palyginus su projektiniu pasiūlymu paraiškoje yra atlikti esminiai pakeitimai (kaip jie apibrėžti Projektų administravimo ir finansavimo taisyklių, patvirtintų finansų ministro 2014 m. spalio 8 d. įsakymu Nr. 1K-316, 122.2 papunktyje), žymima „Ne“ ir komentaro laukelyje nurodoma, kokie konkrečiai pakeitimai buvo atlikti.)</w:t>
              </w:r>
            </w:p>
            <w:p>
              <w:pPr>
                <w:tabs>
                  <w:tab w:val="left" w:pos="0"/>
                  <w:tab w:val="left" w:pos="212"/>
                  <w:tab w:val="left" w:pos="884"/>
                </w:tabs>
                <w:ind w:left="142" w:firstLine="284"/>
                <w:jc w:val="both"/>
                <w:rPr>
                  <w:i/>
                  <w:sz w:val="22"/>
                  <w:szCs w:val="22"/>
                  <w:lang w:eastAsia="lt-LT"/>
                </w:rPr>
              </w:pPr>
              <w:r>
                <w:rPr>
                  <w:i/>
                  <w:sz w:val="22"/>
                  <w:szCs w:val="22"/>
                  <w:lang w:eastAsia="lt-LT"/>
                </w:rPr>
                <w:t>Jei palyginus su projektiniu pasiūlymu ir (ar) valstybės ar regionų projektų sąrašu paraiškoje yra atlikti neesminiai pakeitimai, žymima „Taip su išlyga“ ir komentaro laukelyje nurodoma, kokie konkrečiai pakeitimai buvo atlikti. Šis punktas taikomas tik valstybės ir regionų projektų planavimo būdu atrenkamiems projektams. Vertinant techninės paramos projektus šis klausimas netaikomas.</w:t>
              </w:r>
            </w:p>
            <w:p>
              <w:pPr>
                <w:tabs>
                  <w:tab w:val="left" w:pos="212"/>
                  <w:tab w:val="left" w:pos="629"/>
                  <w:tab w:val="left" w:pos="884"/>
                </w:tabs>
                <w:ind w:left="629"/>
                <w:jc w:val="both"/>
                <w:rPr>
                  <w:sz w:val="22"/>
                  <w:szCs w:val="22"/>
                  <w:lang w:eastAsia="lt-LT"/>
                </w:rPr>
              </w:pPr>
            </w:p>
          </w:sdtContent>
        </w:sdt>
        <w:sdt>
          <w:sdtPr>
            <w:alias w:val="1 pr. 2 p."/>
            <w:tag w:val="part_904ae212c3cd407ea37c6e6e7812ff10"/>
            <w:lock w:val="sdtLocked"/>
            <w:richText/>
          </w:sdtPr>
          <w:sdtContent>
            <w:p>
              <w:pPr>
                <w:ind w:firstLine="440"/>
                <w:rPr>
                  <w:sz w:val="22"/>
                  <w:szCs w:val="22"/>
                  <w:lang w:eastAsia="lt-LT"/>
                </w:rPr>
              </w:pPr>
              <w:sdt>
                <w:sdtPr>
                  <w:alias w:val="Numeris"/>
                  <w:tag w:val="nr_904ae212c3cd407ea37c6e6e7812ff10"/>
                  <w:lock w:val="sdtLocked"/>
                  <w:richText/>
                </w:sdtPr>
                <w:sdtContent>
                  <w:r>
                    <w:rPr>
                      <w:sz w:val="22"/>
                      <w:szCs w:val="22"/>
                      <w:lang w:eastAsia="lt-LT"/>
                    </w:rPr>
                    <w:t>2</w:t>
                  </w:r>
                </w:sdtContent>
              </w:sdt>
              <w:r>
                <w:rPr>
                  <w:sz w:val="22"/>
                  <w:szCs w:val="22"/>
                  <w:lang w:eastAsia="lt-LT"/>
                </w:rPr>
                <w:t>. Paraiška įvertinta teigiamai pagal visus bendruosius reikalavimus ir specialiuosius kriterijus:</w:t>
              </w:r>
            </w:p>
            <w:p>
              <w:pPr>
                <w:ind w:left="720" w:hanging="294"/>
                <w:rPr>
                  <w:sz w:val="22"/>
                  <w:szCs w:val="22"/>
                  <w:lang w:eastAsia="lt-LT"/>
                </w:rPr>
              </w:pPr>
              <w:r>
                <w:rPr>
                  <w:sz w:val="22"/>
                  <w:szCs w:val="22"/>
                  <w:lang w:eastAsia="lt-LT"/>
                </w:rPr>
                <w:sym w:font="Symbol" w:char="F07F"/>
                <w:t xml:space="preserve"> Taip                                                   </w:t>
                <w:sym w:font="Symbol" w:char="F07F"/>
                <w:t xml:space="preserve"> Ne                                                              </w:t>
                <w:sym w:font="Symbol" w:char="F07F"/>
                <w:t xml:space="preserve"> Taip su išlyga </w:t>
              </w:r>
            </w:p>
            <w:p>
              <w:pPr>
                <w:ind w:left="720" w:hanging="294"/>
                <w:rPr>
                  <w:sz w:val="22"/>
                  <w:szCs w:val="22"/>
                  <w:lang w:eastAsia="lt-LT"/>
                </w:rPr>
              </w:pPr>
              <w:r>
                <w:rPr>
                  <w:sz w:val="22"/>
                  <w:szCs w:val="22"/>
                  <w:lang w:eastAsia="lt-LT"/>
                </w:rPr>
                <w:t>Komentarai: ____________________________________________________________________</w:t>
              </w:r>
            </w:p>
            <w:p>
              <w:pPr>
                <w:ind w:left="142" w:firstLine="284"/>
                <w:jc w:val="both"/>
                <w:rPr>
                  <w:i/>
                  <w:sz w:val="22"/>
                  <w:szCs w:val="22"/>
                  <w:lang w:eastAsia="lt-LT"/>
                </w:rPr>
              </w:pPr>
              <w:r>
                <w:rPr>
                  <w:i/>
                  <w:sz w:val="22"/>
                  <w:szCs w:val="22"/>
                  <w:lang w:eastAsia="lt-LT"/>
                </w:rPr>
                <w:t xml:space="preserve">(Pildoma projekto tinkamumo finansuoti vertinimo metu. Galimas simbolių skaičius – 1000. Pildant lentelę SFMIS, jei nors viename lentelės 3 stulpelio laukelyje yra pažymėtas atsakymas „Ne“, šiame klausime automatiškai pažymima „Ne“ ir į komentarų laukelį perkeliami visi komentarai, pateikti prie „Ne“ atsakymų.  Jei atsakymų „Ne“ nėra, tačiau nors viename lentelės 3 stulpelio laukelyje yra pažymėtas atsakymas „Taip su išlyga“, šiame klausime automatiškai pažymima „Taip su išlyga“ ir į komentarų laukelį perkeliami visi komentarai, pateikti prie „Taip su išlyga“ atsakymų. Visus į komentarų laukelį perkeltus atsakymus įgyvendinančioji institucija gali redaguoti. Kol toks funkcionalumas nebus realizuotas SFMIS, į šį klausimą įgyvendinančioji instituciją įrašo atsakymą pati (neautomatiškai), bet komentaro laukelio pildyti neprivaloma.)</w:t>
              </w:r>
            </w:p>
            <w:p>
              <w:pPr>
                <w:rPr>
                  <w:sz w:val="22"/>
                  <w:szCs w:val="22"/>
                  <w:lang w:eastAsia="lt-LT"/>
                </w:rPr>
              </w:pPr>
            </w:p>
          </w:sdtContent>
        </w:sdt>
        <w:sdt>
          <w:sdtPr>
            <w:alias w:val="1 pr. 3 p."/>
            <w:tag w:val="part_ff1665f9e0e547f4a904d40f57f149ce"/>
            <w:lock w:val="sdtLocked"/>
            <w:richText/>
          </w:sdtPr>
          <w:sdtContent>
            <w:p>
              <w:pPr>
                <w:tabs>
                  <w:tab w:val="left" w:pos="709"/>
                </w:tabs>
                <w:ind w:left="142" w:firstLine="284"/>
                <w:jc w:val="both"/>
                <w:rPr>
                  <w:sz w:val="22"/>
                  <w:szCs w:val="22"/>
                  <w:lang w:eastAsia="lt-LT"/>
                </w:rPr>
              </w:pPr>
              <w:sdt>
                <w:sdtPr>
                  <w:alias w:val="Numeris"/>
                  <w:tag w:val="nr_ff1665f9e0e547f4a904d40f57f149ce"/>
                  <w:lock w:val="sdtLocked"/>
                  <w:richText/>
                </w:sdtPr>
                <w:sdtContent>
                  <w:r>
                    <w:rPr>
                      <w:sz w:val="22"/>
                      <w:szCs w:val="22"/>
                      <w:lang w:eastAsia="lt-LT"/>
                    </w:rPr>
                    <w:t>3</w:t>
                  </w:r>
                </w:sdtContent>
              </w:sdt>
              <w:r>
                <w:rPr>
                  <w:sz w:val="22"/>
                  <w:szCs w:val="22"/>
                  <w:lang w:eastAsia="lt-LT"/>
                </w:rPr>
                <w:t>.</w:t>
                <w:tab/>
                <w:t>Pareiškėjas nebandė gauti konfidencialios informacijos arba daryti poveikio vertinimą atliekančiai institucijai dabartinio paraiškų vertinimo arba atrankos proceso metu:</w:t>
              </w:r>
            </w:p>
            <w:p>
              <w:pPr>
                <w:ind w:left="720" w:hanging="294"/>
                <w:rPr>
                  <w:sz w:val="22"/>
                  <w:szCs w:val="22"/>
                  <w:lang w:eastAsia="lt-LT"/>
                </w:rPr>
              </w:pPr>
              <w:r>
                <w:rPr>
                  <w:sz w:val="22"/>
                  <w:szCs w:val="22"/>
                  <w:lang w:eastAsia="lt-LT"/>
                </w:rPr>
                <w:sym w:font="Symbol" w:char="F07F"/>
                <w:t xml:space="preserve"> Taip, nebandė</w:t>
              </w:r>
            </w:p>
            <w:p>
              <w:pPr>
                <w:ind w:left="720" w:hanging="294"/>
                <w:rPr>
                  <w:sz w:val="22"/>
                  <w:szCs w:val="22"/>
                  <w:lang w:eastAsia="lt-LT"/>
                </w:rPr>
              </w:pPr>
              <w:r>
                <w:rPr>
                  <w:sz w:val="22"/>
                  <w:szCs w:val="22"/>
                  <w:lang w:eastAsia="lt-LT"/>
                </w:rPr>
                <w:sym w:font="Symbol" w:char="F07F"/>
                <w:t xml:space="preserve"> Ne, bandė</w:t>
              </w:r>
            </w:p>
            <w:p>
              <w:pPr>
                <w:ind w:left="720" w:hanging="294"/>
                <w:rPr>
                  <w:szCs w:val="24"/>
                  <w:lang w:eastAsia="lt-LT"/>
                </w:rPr>
              </w:pPr>
              <w:r>
                <w:rPr>
                  <w:sz w:val="22"/>
                  <w:szCs w:val="22"/>
                  <w:lang w:eastAsia="lt-LT"/>
                </w:rPr>
                <w:t>Komentarai: ____________________________________________________________________</w:t>
              </w:r>
            </w:p>
            <w:p>
              <w:pPr>
                <w:ind w:left="142" w:firstLine="284"/>
                <w:jc w:val="both"/>
                <w:rPr>
                  <w:i/>
                  <w:sz w:val="22"/>
                  <w:szCs w:val="22"/>
                </w:rPr>
              </w:pPr>
              <w:r>
                <w:rPr>
                  <w:i/>
                  <w:sz w:val="22"/>
                  <w:szCs w:val="22"/>
                </w:rPr>
                <w:t>(Privaloma pildyti tik atsakius „Ne, bandė“, t. y. nurodomos faktinės aplinkybės.</w:t>
              </w:r>
              <w:r>
                <w:rPr>
                  <w:rFonts w:ascii="Calibri" w:hAnsi="Calibri"/>
                  <w:sz w:val="22"/>
                  <w:szCs w:val="22"/>
                  <w:lang w:eastAsia="lt-LT"/>
                </w:rPr>
                <w:t xml:space="preserve"> </w:t>
              </w:r>
              <w:r>
                <w:rPr>
                  <w:i/>
                  <w:sz w:val="22"/>
                  <w:szCs w:val="22"/>
                </w:rPr>
                <w:t>Pildoma projekto tinkamumo finansuoti vertinimo metu. Galimas simbolių skaičius – 1000.)</w:t>
              </w:r>
            </w:p>
            <w:p>
              <w:pPr>
                <w:ind w:left="720"/>
                <w:rPr>
                  <w:sz w:val="22"/>
                  <w:szCs w:val="22"/>
                </w:rPr>
              </w:pPr>
            </w:p>
          </w:sdtContent>
        </w:sdt>
        <w:sdt>
          <w:sdtPr>
            <w:alias w:val="1 pr. 4 p."/>
            <w:tag w:val="part_73566ec6784d4aaea56164969c4965b9"/>
            <w:lock w:val="sdtLocked"/>
            <w:richText/>
          </w:sdtPr>
          <w:sdtContent>
            <w:p>
              <w:pPr>
                <w:ind w:left="720" w:hanging="360"/>
                <w:rPr>
                  <w:sz w:val="22"/>
                  <w:szCs w:val="22"/>
                </w:rPr>
              </w:pPr>
              <w:sdt>
                <w:sdtPr>
                  <w:alias w:val="Numeris"/>
                  <w:tag w:val="nr_73566ec6784d4aaea56164969c4965b9"/>
                  <w:lock w:val="sdtLocked"/>
                  <w:richText/>
                </w:sdtPr>
                <w:sdtContent>
                  <w:r>
                    <w:rPr>
                      <w:sz w:val="22"/>
                      <w:szCs w:val="22"/>
                    </w:rPr>
                    <w:t>4</w:t>
                  </w:r>
                </w:sdtContent>
              </w:sdt>
              <w:r>
                <w:rPr>
                  <w:sz w:val="22"/>
                  <w:szCs w:val="22"/>
                </w:rPr>
                <w:t>.</w:t>
                <w:tab/>
                <w:t>Projekto tinkamumo finansuoti vertinimo metu nustatytos projekto tinkamos finansuoti ir tinkamos deklaruoti EK išlaidos:</w:t>
              </w:r>
            </w:p>
            <w:tbl>
              <w:tblPr>
                <w:tblW w:w="4808" w:type="pct"/>
                <w:tblInd w:w="466" w:type="dxa"/>
                <w:tblLayout w:type="fixed"/>
                <w:tblCellMar>
                  <w:left w:w="40" w:type="dxa"/>
                  <w:right w:w="40" w:type="dxa"/>
                </w:tblCellMar>
                <w:tblLook w:val="0000" w:firstRow="0" w:lastRow="0" w:firstColumn="0" w:lastColumn="0" w:noHBand="0" w:noVBand="0"/>
              </w:tblPr>
              <w:tblGrid>
                <w:gridCol w:w="2091"/>
                <w:gridCol w:w="1528"/>
                <w:gridCol w:w="1476"/>
                <w:gridCol w:w="1476"/>
                <w:gridCol w:w="1477"/>
                <w:gridCol w:w="1610"/>
                <w:gridCol w:w="1610"/>
                <w:gridCol w:w="1409"/>
                <w:gridCol w:w="1410"/>
              </w:tblGrid>
              <w:tr>
                <w:trPr>
                  <w:trHeight w:val="23"/>
                </w:trPr>
                <w:tc>
                  <w:tcPr>
                    <w:tcW w:w="2078" w:type="dxa"/>
                    <w:vMerge w:val="restart"/>
                    <w:tcBorders>
                      <w:top w:val="single" w:sz="6" w:space="0" w:color="auto"/>
                      <w:left w:val="single" w:sz="6" w:space="0" w:color="auto"/>
                      <w:bottom w:val="single" w:sz="6" w:space="0" w:color="auto"/>
                      <w:right w:val="single" w:sz="6" w:space="0" w:color="auto"/>
                    </w:tcBorders>
                    <w:vAlign w:val="center"/>
                  </w:tcPr>
                  <w:p>
                    <w:pPr>
                      <w:ind w:right="57"/>
                      <w:jc w:val="center"/>
                      <w:rPr>
                        <w:b/>
                        <w:sz w:val="20"/>
                      </w:rPr>
                    </w:pPr>
                    <w:r>
                      <w:rPr>
                        <w:b/>
                        <w:sz w:val="20"/>
                      </w:rPr>
                      <w:t>Bendra projekto vertė</w:t>
                    </w:r>
                    <w:r>
                      <w:rPr>
                        <w:b/>
                        <w:sz w:val="20"/>
                        <w:vertAlign w:val="superscript"/>
                      </w:rPr>
                      <w:footnoteReference w:id="1"/>
                    </w:r>
                    <w:r>
                      <w:rPr>
                        <w:b/>
                        <w:sz w:val="20"/>
                      </w:rPr>
                      <w:t>, Eur</w:t>
                    </w:r>
                  </w:p>
                </w:tc>
                <w:tc>
                  <w:tcPr>
                    <w:tcW w:w="7516" w:type="dxa"/>
                    <w:gridSpan w:val="5"/>
                    <w:tcBorders>
                      <w:top w:val="single" w:sz="6" w:space="0" w:color="auto"/>
                      <w:left w:val="single" w:sz="6" w:space="0" w:color="auto"/>
                      <w:bottom w:val="single" w:sz="6" w:space="0" w:color="auto"/>
                      <w:right w:val="single" w:sz="6" w:space="0" w:color="auto"/>
                    </w:tcBorders>
                    <w:vAlign w:val="center"/>
                  </w:tcPr>
                  <w:p>
                    <w:pPr>
                      <w:ind w:firstLine="45"/>
                      <w:jc w:val="center"/>
                      <w:rPr>
                        <w:b/>
                        <w:sz w:val="20"/>
                      </w:rPr>
                    </w:pPr>
                    <w:r>
                      <w:rPr>
                        <w:b/>
                        <w:sz w:val="20"/>
                      </w:rPr>
                      <w:t>Didžiausia galima projekto tinkamų finansuoti išlaidų suma:</w:t>
                    </w:r>
                  </w:p>
                </w:tc>
                <w:tc>
                  <w:tcPr>
                    <w:tcW w:w="1599" w:type="dxa"/>
                    <w:vMerge w:val="restart"/>
                    <w:tcBorders>
                      <w:top w:val="single" w:sz="6" w:space="0" w:color="auto"/>
                      <w:left w:val="single" w:sz="6" w:space="0" w:color="auto"/>
                      <w:right w:val="single" w:sz="6" w:space="0" w:color="auto"/>
                    </w:tcBorders>
                    <w:vAlign w:val="center"/>
                  </w:tcPr>
                  <w:p>
                    <w:pPr>
                      <w:jc w:val="center"/>
                      <w:rPr>
                        <w:b/>
                        <w:sz w:val="20"/>
                      </w:rPr>
                    </w:pPr>
                    <w:r>
                      <w:rPr>
                        <w:b/>
                        <w:sz w:val="20"/>
                      </w:rPr>
                      <w:t>Pajamos, mažinančios tinkamų deklaruoti EK išlaidų sumą, Eur</w:t>
                    </w:r>
                  </w:p>
                </w:tc>
                <w:tc>
                  <w:tcPr>
                    <w:tcW w:w="2801" w:type="dxa"/>
                    <w:gridSpan w:val="2"/>
                    <w:tcBorders>
                      <w:top w:val="single" w:sz="6" w:space="0" w:color="auto"/>
                      <w:left w:val="single" w:sz="6" w:space="0" w:color="auto"/>
                      <w:bottom w:val="single" w:sz="4" w:space="0" w:color="auto"/>
                      <w:right w:val="single" w:sz="6" w:space="0" w:color="auto"/>
                    </w:tcBorders>
                    <w:vAlign w:val="center"/>
                  </w:tcPr>
                  <w:p>
                    <w:pPr>
                      <w:jc w:val="center"/>
                      <w:rPr>
                        <w:b/>
                        <w:sz w:val="20"/>
                      </w:rPr>
                    </w:pPr>
                    <w:r>
                      <w:rPr>
                        <w:b/>
                        <w:sz w:val="20"/>
                      </w:rPr>
                      <w:t>Tinkamos deklaruoti EK išlaidos</w:t>
                    </w:r>
                  </w:p>
                </w:tc>
              </w:tr>
              <w:tr>
                <w:trPr>
                  <w:cantSplit/>
                  <w:trHeight w:val="23"/>
                </w:trPr>
                <w:tc>
                  <w:tcPr>
                    <w:tcW w:w="2078" w:type="dxa"/>
                    <w:vMerge/>
                    <w:tcBorders>
                      <w:top w:val="single" w:sz="6" w:space="0" w:color="auto"/>
                      <w:left w:val="single" w:sz="6" w:space="0" w:color="auto"/>
                      <w:bottom w:val="single" w:sz="6" w:space="0" w:color="auto"/>
                      <w:right w:val="single" w:sz="6" w:space="0" w:color="auto"/>
                    </w:tcBorders>
                    <w:vAlign w:val="center"/>
                  </w:tcPr>
                  <w:p>
                    <w:pPr>
                      <w:rPr>
                        <w:sz w:val="20"/>
                      </w:rPr>
                    </w:pPr>
                  </w:p>
                </w:tc>
                <w:tc>
                  <w:tcPr>
                    <w:tcW w:w="1518" w:type="dxa"/>
                    <w:vMerge w:val="restart"/>
                    <w:tcBorders>
                      <w:top w:val="single" w:sz="6" w:space="0" w:color="auto"/>
                      <w:left w:val="single" w:sz="6" w:space="0" w:color="auto"/>
                      <w:bottom w:val="single" w:sz="6" w:space="0" w:color="auto"/>
                      <w:right w:val="single" w:sz="6" w:space="0" w:color="auto"/>
                    </w:tcBorders>
                    <w:vAlign w:val="center"/>
                  </w:tcPr>
                  <w:p>
                    <w:pPr>
                      <w:jc w:val="center"/>
                      <w:rPr>
                        <w:b/>
                        <w:sz w:val="20"/>
                      </w:rPr>
                    </w:pPr>
                    <w:r>
                      <w:rPr>
                        <w:b/>
                        <w:sz w:val="20"/>
                      </w:rPr>
                      <w:t>Iš viso, Eur</w:t>
                    </w:r>
                  </w:p>
                </w:tc>
                <w:tc>
                  <w:tcPr>
                    <w:tcW w:w="5998" w:type="dxa"/>
                    <w:gridSpan w:val="4"/>
                    <w:tcBorders>
                      <w:top w:val="single" w:sz="6" w:space="0" w:color="auto"/>
                      <w:left w:val="single" w:sz="6" w:space="0" w:color="auto"/>
                      <w:bottom w:val="single" w:sz="6" w:space="0" w:color="auto"/>
                      <w:right w:val="single" w:sz="6" w:space="0" w:color="auto"/>
                    </w:tcBorders>
                    <w:vAlign w:val="center"/>
                  </w:tcPr>
                  <w:p>
                    <w:pPr>
                      <w:jc w:val="center"/>
                      <w:rPr>
                        <w:b/>
                        <w:sz w:val="20"/>
                      </w:rPr>
                    </w:pPr>
                    <w:r>
                      <w:rPr>
                        <w:b/>
                        <w:sz w:val="20"/>
                      </w:rPr>
                      <w:t>Iš jų:</w:t>
                    </w:r>
                  </w:p>
                </w:tc>
                <w:tc>
                  <w:tcPr>
                    <w:tcW w:w="1599" w:type="dxa"/>
                    <w:vMerge/>
                    <w:tcBorders>
                      <w:left w:val="single" w:sz="6" w:space="0" w:color="auto"/>
                      <w:right w:val="single" w:sz="4" w:space="0" w:color="auto"/>
                    </w:tcBorders>
                    <w:vAlign w:val="center"/>
                  </w:tcPr>
                  <w:p>
                    <w:pPr>
                      <w:jc w:val="center"/>
                      <w:rPr>
                        <w:sz w:val="20"/>
                      </w:rPr>
                    </w:pPr>
                  </w:p>
                </w:tc>
                <w:tc>
                  <w:tcPr>
                    <w:tcW w:w="1400" w:type="dxa"/>
                    <w:vMerge w:val="restart"/>
                    <w:tcBorders>
                      <w:top w:val="single" w:sz="4" w:space="0" w:color="auto"/>
                      <w:left w:val="single" w:sz="4" w:space="0" w:color="auto"/>
                      <w:right w:val="single" w:sz="4" w:space="0" w:color="auto"/>
                    </w:tcBorders>
                    <w:vAlign w:val="center"/>
                  </w:tcPr>
                  <w:p>
                    <w:pPr>
                      <w:jc w:val="center"/>
                      <w:rPr>
                        <w:b/>
                        <w:sz w:val="20"/>
                      </w:rPr>
                    </w:pPr>
                    <w:r>
                      <w:rPr>
                        <w:b/>
                        <w:sz w:val="20"/>
                      </w:rPr>
                      <w:t>Didžiausia EK tinkamų deklaruoti išlaidų suma, Eur</w:t>
                    </w:r>
                  </w:p>
                </w:tc>
                <w:tc>
                  <w:tcPr>
                    <w:tcW w:w="1401" w:type="dxa"/>
                    <w:vMerge w:val="restart"/>
                    <w:tcBorders>
                      <w:top w:val="single" w:sz="4" w:space="0" w:color="auto"/>
                      <w:left w:val="single" w:sz="4" w:space="0" w:color="auto"/>
                      <w:right w:val="single" w:sz="4" w:space="0" w:color="auto"/>
                    </w:tcBorders>
                    <w:vAlign w:val="center"/>
                  </w:tcPr>
                  <w:p>
                    <w:pPr>
                      <w:jc w:val="center"/>
                      <w:rPr>
                        <w:b/>
                        <w:sz w:val="20"/>
                      </w:rPr>
                    </w:pPr>
                    <w:r>
                      <w:rPr>
                        <w:b/>
                        <w:sz w:val="20"/>
                      </w:rPr>
                      <w:t>Dalis nuo tinkamų finansuoti išlaidų, proc.</w:t>
                    </w:r>
                  </w:p>
                </w:tc>
              </w:tr>
              <w:tr>
                <w:trPr>
                  <w:cantSplit/>
                  <w:trHeight w:val="23"/>
                </w:trPr>
                <w:tc>
                  <w:tcPr>
                    <w:tcW w:w="2078" w:type="dxa"/>
                    <w:vMerge/>
                    <w:tcBorders>
                      <w:top w:val="single" w:sz="6" w:space="0" w:color="auto"/>
                      <w:left w:val="single" w:sz="6" w:space="0" w:color="auto"/>
                      <w:bottom w:val="single" w:sz="6" w:space="0" w:color="auto"/>
                      <w:right w:val="single" w:sz="6" w:space="0" w:color="auto"/>
                    </w:tcBorders>
                    <w:vAlign w:val="center"/>
                  </w:tcPr>
                  <w:p>
                    <w:pPr>
                      <w:rPr>
                        <w:sz w:val="20"/>
                      </w:rPr>
                    </w:pPr>
                  </w:p>
                </w:tc>
                <w:tc>
                  <w:tcPr>
                    <w:tcW w:w="1518" w:type="dxa"/>
                    <w:vMerge/>
                    <w:tcBorders>
                      <w:top w:val="single" w:sz="6" w:space="0" w:color="auto"/>
                      <w:left w:val="single" w:sz="6" w:space="0" w:color="auto"/>
                      <w:bottom w:val="single" w:sz="6" w:space="0" w:color="auto"/>
                      <w:right w:val="single" w:sz="6" w:space="0" w:color="auto"/>
                    </w:tcBorders>
                    <w:vAlign w:val="center"/>
                  </w:tcPr>
                  <w:p>
                    <w:pPr>
                      <w:rPr>
                        <w:sz w:val="20"/>
                      </w:rPr>
                    </w:pPr>
                  </w:p>
                </w:tc>
                <w:tc>
                  <w:tcPr>
                    <w:tcW w:w="1466" w:type="dxa"/>
                    <w:tcBorders>
                      <w:top w:val="single" w:sz="6" w:space="0" w:color="auto"/>
                      <w:left w:val="single" w:sz="6" w:space="0" w:color="auto"/>
                      <w:bottom w:val="single" w:sz="6" w:space="0" w:color="auto"/>
                      <w:right w:val="single" w:sz="6" w:space="0" w:color="auto"/>
                    </w:tcBorders>
                    <w:vAlign w:val="center"/>
                  </w:tcPr>
                  <w:p>
                    <w:pPr>
                      <w:ind w:left="-57" w:right="-57"/>
                      <w:jc w:val="center"/>
                      <w:rPr>
                        <w:b/>
                        <w:sz w:val="20"/>
                      </w:rPr>
                    </w:pPr>
                  </w:p>
                  <w:p>
                    <w:pPr>
                      <w:ind w:right="104"/>
                      <w:jc w:val="center"/>
                      <w:rPr>
                        <w:b/>
                        <w:sz w:val="20"/>
                      </w:rPr>
                    </w:pPr>
                    <w:r>
                      <w:rPr>
                        <w:b/>
                        <w:sz w:val="20"/>
                      </w:rPr>
                      <w:t>Prašomos skirti lėšos – iki, Eur</w:t>
                    </w:r>
                  </w:p>
                </w:tc>
                <w:tc>
                  <w:tcPr>
                    <w:tcW w:w="1466" w:type="dxa"/>
                    <w:tcBorders>
                      <w:top w:val="single" w:sz="6" w:space="0" w:color="auto"/>
                      <w:left w:val="single" w:sz="6" w:space="0" w:color="auto"/>
                      <w:bottom w:val="single" w:sz="6" w:space="0" w:color="auto"/>
                      <w:right w:val="single" w:sz="6" w:space="0" w:color="auto"/>
                    </w:tcBorders>
                    <w:vAlign w:val="center"/>
                  </w:tcPr>
                  <w:p>
                    <w:pPr>
                      <w:jc w:val="center"/>
                      <w:rPr>
                        <w:b/>
                        <w:sz w:val="20"/>
                      </w:rPr>
                    </w:pPr>
                    <w:r>
                      <w:rPr>
                        <w:b/>
                        <w:sz w:val="20"/>
                      </w:rPr>
                      <w:t>Dalis nuo tinkamų finansuoti išlaidų, proc.</w:t>
                    </w:r>
                  </w:p>
                </w:tc>
                <w:tc>
                  <w:tcPr>
                    <w:tcW w:w="1467" w:type="dxa"/>
                    <w:tcBorders>
                      <w:top w:val="single" w:sz="6" w:space="0" w:color="auto"/>
                      <w:left w:val="single" w:sz="6" w:space="0" w:color="auto"/>
                      <w:bottom w:val="single" w:sz="6" w:space="0" w:color="auto"/>
                      <w:right w:val="single" w:sz="6" w:space="0" w:color="auto"/>
                    </w:tcBorders>
                    <w:vAlign w:val="center"/>
                  </w:tcPr>
                  <w:p>
                    <w:pPr>
                      <w:ind w:left="-57" w:right="-57"/>
                      <w:jc w:val="center"/>
                      <w:rPr>
                        <w:b/>
                        <w:sz w:val="20"/>
                      </w:rPr>
                    </w:pPr>
                    <w:r>
                      <w:rPr>
                        <w:b/>
                        <w:sz w:val="20"/>
                      </w:rPr>
                      <w:t xml:space="preserve">Pareiškėjo ir partnerio (-ių) nuosavos lėšos, Eur </w:t>
                    </w:r>
                  </w:p>
                </w:tc>
                <w:tc>
                  <w:tcPr>
                    <w:tcW w:w="1599" w:type="dxa"/>
                    <w:tcBorders>
                      <w:top w:val="single" w:sz="6" w:space="0" w:color="auto"/>
                      <w:left w:val="single" w:sz="6" w:space="0" w:color="auto"/>
                      <w:bottom w:val="single" w:sz="6" w:space="0" w:color="auto"/>
                      <w:right w:val="single" w:sz="6" w:space="0" w:color="auto"/>
                    </w:tcBorders>
                    <w:vAlign w:val="center"/>
                  </w:tcPr>
                  <w:p>
                    <w:pPr>
                      <w:ind w:left="-57" w:right="-57"/>
                      <w:jc w:val="center"/>
                      <w:rPr>
                        <w:b/>
                        <w:sz w:val="20"/>
                      </w:rPr>
                    </w:pPr>
                    <w:r>
                      <w:rPr>
                        <w:b/>
                        <w:sz w:val="20"/>
                      </w:rPr>
                      <w:t>Dalis nuo tinkamų finansuoti išlaidų, proc.</w:t>
                    </w:r>
                  </w:p>
                </w:tc>
                <w:tc>
                  <w:tcPr>
                    <w:tcW w:w="1599" w:type="dxa"/>
                    <w:vMerge/>
                    <w:tcBorders>
                      <w:left w:val="single" w:sz="6" w:space="0" w:color="auto"/>
                      <w:bottom w:val="single" w:sz="6" w:space="0" w:color="auto"/>
                      <w:right w:val="single" w:sz="4" w:space="0" w:color="auto"/>
                    </w:tcBorders>
                    <w:vAlign w:val="center"/>
                  </w:tcPr>
                  <w:p>
                    <w:pPr>
                      <w:ind w:left="-57" w:right="-57"/>
                      <w:jc w:val="center"/>
                      <w:rPr>
                        <w:sz w:val="20"/>
                      </w:rPr>
                    </w:pPr>
                  </w:p>
                </w:tc>
                <w:tc>
                  <w:tcPr>
                    <w:tcW w:w="1400" w:type="dxa"/>
                    <w:vMerge/>
                    <w:tcBorders>
                      <w:left w:val="single" w:sz="4" w:space="0" w:color="auto"/>
                      <w:bottom w:val="single" w:sz="4" w:space="0" w:color="auto"/>
                      <w:right w:val="single" w:sz="4" w:space="0" w:color="auto"/>
                    </w:tcBorders>
                    <w:vAlign w:val="center"/>
                  </w:tcPr>
                  <w:p>
                    <w:pPr>
                      <w:ind w:left="-57" w:right="-57"/>
                      <w:jc w:val="center"/>
                      <w:rPr>
                        <w:sz w:val="20"/>
                      </w:rPr>
                    </w:pPr>
                  </w:p>
                </w:tc>
                <w:tc>
                  <w:tcPr>
                    <w:tcW w:w="1401" w:type="dxa"/>
                    <w:vMerge/>
                    <w:tcBorders>
                      <w:left w:val="single" w:sz="4" w:space="0" w:color="auto"/>
                      <w:bottom w:val="single" w:sz="4" w:space="0" w:color="auto"/>
                      <w:right w:val="single" w:sz="4" w:space="0" w:color="auto"/>
                    </w:tcBorders>
                    <w:vAlign w:val="center"/>
                  </w:tcPr>
                  <w:p>
                    <w:pPr>
                      <w:ind w:left="-57" w:right="-57"/>
                      <w:jc w:val="center"/>
                      <w:rPr>
                        <w:sz w:val="20"/>
                      </w:rPr>
                    </w:pPr>
                  </w:p>
                </w:tc>
              </w:tr>
              <w:tr>
                <w:trPr>
                  <w:cantSplit/>
                  <w:trHeight w:val="23"/>
                </w:trPr>
                <w:tc>
                  <w:tcPr>
                    <w:tcW w:w="2078"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pPr>
                      <w:spacing w:line="276" w:lineRule="auto"/>
                      <w:jc w:val="center"/>
                      <w:rPr>
                        <w:sz w:val="18"/>
                        <w:szCs w:val="18"/>
                      </w:rPr>
                    </w:pPr>
                    <w:r>
                      <w:rPr>
                        <w:sz w:val="18"/>
                        <w:szCs w:val="18"/>
                      </w:rPr>
                      <w:t>1</w:t>
                    </w:r>
                  </w:p>
                </w:tc>
                <w:tc>
                  <w:tcPr>
                    <w:tcW w:w="1518"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pPr>
                      <w:spacing w:line="276" w:lineRule="auto"/>
                      <w:jc w:val="center"/>
                      <w:rPr>
                        <w:sz w:val="18"/>
                        <w:szCs w:val="18"/>
                      </w:rPr>
                    </w:pPr>
                    <w:r>
                      <w:rPr>
                        <w:sz w:val="18"/>
                        <w:szCs w:val="18"/>
                      </w:rPr>
                      <w:t>2</w:t>
                    </w:r>
                  </w:p>
                </w:tc>
                <w:tc>
                  <w:tcPr>
                    <w:tcW w:w="1466"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pPr>
                      <w:ind w:left="-57" w:right="-57"/>
                      <w:jc w:val="center"/>
                      <w:rPr>
                        <w:sz w:val="18"/>
                        <w:szCs w:val="18"/>
                      </w:rPr>
                    </w:pPr>
                    <w:r>
                      <w:rPr>
                        <w:sz w:val="18"/>
                        <w:szCs w:val="18"/>
                      </w:rPr>
                      <w:t>3</w:t>
                    </w:r>
                  </w:p>
                </w:tc>
                <w:tc>
                  <w:tcPr>
                    <w:tcW w:w="1466"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pPr>
                      <w:ind w:left="-57" w:right="-57"/>
                      <w:jc w:val="center"/>
                      <w:rPr>
                        <w:sz w:val="18"/>
                        <w:szCs w:val="18"/>
                      </w:rPr>
                    </w:pPr>
                    <w:r>
                      <w:rPr>
                        <w:sz w:val="18"/>
                        <w:szCs w:val="18"/>
                      </w:rPr>
                      <w:t>4 = (3/2) * 100</w:t>
                    </w:r>
                  </w:p>
                </w:tc>
                <w:tc>
                  <w:tcPr>
                    <w:tcW w:w="1467"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pPr>
                      <w:ind w:left="-57" w:right="-57"/>
                      <w:jc w:val="center"/>
                      <w:rPr>
                        <w:sz w:val="18"/>
                        <w:szCs w:val="18"/>
                      </w:rPr>
                    </w:pPr>
                    <w:r>
                      <w:rPr>
                        <w:sz w:val="18"/>
                        <w:szCs w:val="18"/>
                      </w:rPr>
                      <w:t>5</w:t>
                    </w:r>
                  </w:p>
                </w:tc>
                <w:tc>
                  <w:tcPr>
                    <w:tcW w:w="159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pPr>
                      <w:ind w:left="-57" w:right="-57"/>
                      <w:jc w:val="center"/>
                      <w:rPr>
                        <w:sz w:val="18"/>
                        <w:szCs w:val="18"/>
                      </w:rPr>
                    </w:pPr>
                    <w:r>
                      <w:rPr>
                        <w:sz w:val="18"/>
                        <w:szCs w:val="18"/>
                      </w:rPr>
                      <w:t>6 = (5/2) * 100</w:t>
                    </w:r>
                  </w:p>
                </w:tc>
                <w:tc>
                  <w:tcPr>
                    <w:tcW w:w="1599" w:type="dxa"/>
                    <w:tcBorders>
                      <w:left w:val="single" w:sz="6" w:space="0" w:color="auto"/>
                      <w:bottom w:val="single" w:sz="6" w:space="0" w:color="auto"/>
                      <w:right w:val="single" w:sz="4" w:space="0" w:color="auto"/>
                    </w:tcBorders>
                    <w:shd w:val="clear" w:color="auto" w:fill="BFBFBF" w:themeFill="background1" w:themeFillShade="BF"/>
                    <w:vAlign w:val="center"/>
                  </w:tcPr>
                  <w:p>
                    <w:pPr>
                      <w:ind w:left="-57" w:right="-57"/>
                      <w:jc w:val="center"/>
                      <w:rPr>
                        <w:sz w:val="18"/>
                        <w:szCs w:val="18"/>
                      </w:rPr>
                    </w:pPr>
                    <w:r>
                      <w:rPr>
                        <w:sz w:val="18"/>
                        <w:szCs w:val="18"/>
                      </w:rPr>
                      <w:t>7</w:t>
                    </w:r>
                  </w:p>
                </w:tc>
                <w:tc>
                  <w:tcPr>
                    <w:tcW w:w="1400" w:type="dxa"/>
                    <w:tcBorders>
                      <w:left w:val="single" w:sz="4" w:space="0" w:color="auto"/>
                      <w:bottom w:val="single" w:sz="4" w:space="0" w:color="auto"/>
                      <w:right w:val="single" w:sz="4" w:space="0" w:color="auto"/>
                    </w:tcBorders>
                    <w:shd w:val="clear" w:color="auto" w:fill="BFBFBF" w:themeFill="background1" w:themeFillShade="BF"/>
                    <w:vAlign w:val="center"/>
                  </w:tcPr>
                  <w:p>
                    <w:pPr>
                      <w:ind w:left="-57" w:right="-57"/>
                      <w:jc w:val="center"/>
                      <w:rPr>
                        <w:sz w:val="18"/>
                        <w:szCs w:val="18"/>
                      </w:rPr>
                    </w:pPr>
                    <w:r>
                      <w:rPr>
                        <w:sz w:val="18"/>
                        <w:szCs w:val="18"/>
                      </w:rPr>
                      <w:t>8</w:t>
                    </w:r>
                  </w:p>
                </w:tc>
                <w:tc>
                  <w:tcPr>
                    <w:tcW w:w="1401" w:type="dxa"/>
                    <w:tcBorders>
                      <w:left w:val="single" w:sz="4" w:space="0" w:color="auto"/>
                      <w:bottom w:val="single" w:sz="4" w:space="0" w:color="auto"/>
                      <w:right w:val="single" w:sz="4" w:space="0" w:color="auto"/>
                    </w:tcBorders>
                    <w:shd w:val="clear" w:color="auto" w:fill="BFBFBF" w:themeFill="background1" w:themeFillShade="BF"/>
                    <w:vAlign w:val="center"/>
                  </w:tcPr>
                  <w:p>
                    <w:pPr>
                      <w:ind w:left="-57" w:right="-57"/>
                      <w:jc w:val="center"/>
                      <w:rPr>
                        <w:sz w:val="18"/>
                        <w:szCs w:val="18"/>
                      </w:rPr>
                    </w:pPr>
                    <w:r>
                      <w:rPr>
                        <w:sz w:val="18"/>
                        <w:szCs w:val="18"/>
                      </w:rPr>
                      <w:t>9 = (8/2) * 100</w:t>
                    </w:r>
                  </w:p>
                </w:tc>
              </w:tr>
              <w:tr>
                <w:trPr>
                  <w:cantSplit/>
                  <w:trHeight w:val="23"/>
                </w:trPr>
                <w:tc>
                  <w:tcPr>
                    <w:tcW w:w="2078" w:type="dxa"/>
                    <w:tcBorders>
                      <w:top w:val="single" w:sz="6" w:space="0" w:color="auto"/>
                      <w:left w:val="single" w:sz="6" w:space="0" w:color="auto"/>
                      <w:bottom w:val="single" w:sz="6" w:space="0" w:color="auto"/>
                      <w:right w:val="single" w:sz="6" w:space="0" w:color="auto"/>
                    </w:tcBorders>
                  </w:tcPr>
                  <w:p>
                    <w:pPr>
                      <w:rPr>
                        <w:sz w:val="20"/>
                        <w:lang w:eastAsia="lt-LT"/>
                      </w:rPr>
                    </w:pPr>
                    <w:r>
                      <w:rPr>
                        <w:rFonts w:eastAsia="Calibri"/>
                        <w:i/>
                        <w:sz w:val="20"/>
                      </w:rPr>
                      <w:t>Galimas simbolių skaičius kiekviename laukelyje – 9 iki kablelio ir 2 po kablelio.</w:t>
                    </w:r>
                  </w:p>
                  <w:p>
                    <w:pPr>
                      <w:jc w:val="center"/>
                      <w:rPr>
                        <w:sz w:val="20"/>
                      </w:rPr>
                    </w:pPr>
                  </w:p>
                </w:tc>
                <w:tc>
                  <w:tcPr>
                    <w:tcW w:w="1518" w:type="dxa"/>
                    <w:tcBorders>
                      <w:top w:val="single" w:sz="6" w:space="0" w:color="auto"/>
                      <w:left w:val="single" w:sz="6" w:space="0" w:color="auto"/>
                      <w:bottom w:val="single" w:sz="6" w:space="0" w:color="auto"/>
                      <w:right w:val="single" w:sz="6" w:space="0" w:color="auto"/>
                    </w:tcBorders>
                  </w:tcPr>
                  <w:p>
                    <w:pPr>
                      <w:rPr>
                        <w:sz w:val="20"/>
                        <w:lang w:eastAsia="lt-LT"/>
                      </w:rPr>
                    </w:pPr>
                    <w:r>
                      <w:rPr>
                        <w:rFonts w:eastAsia="Calibri"/>
                        <w:i/>
                        <w:sz w:val="20"/>
                      </w:rPr>
                      <w:t>Galimas simbolių skaičius kiekviename laukelyje – 9 iki kablelio ir 2 po kablelio.</w:t>
                    </w:r>
                  </w:p>
                </w:tc>
                <w:tc>
                  <w:tcPr>
                    <w:tcW w:w="1466" w:type="dxa"/>
                    <w:tcBorders>
                      <w:top w:val="single" w:sz="6" w:space="0" w:color="auto"/>
                      <w:left w:val="single" w:sz="6" w:space="0" w:color="auto"/>
                      <w:bottom w:val="single" w:sz="6" w:space="0" w:color="auto"/>
                      <w:right w:val="single" w:sz="6" w:space="0" w:color="auto"/>
                    </w:tcBorders>
                  </w:tcPr>
                  <w:p>
                    <w:pPr>
                      <w:rPr>
                        <w:sz w:val="20"/>
                        <w:lang w:eastAsia="lt-LT"/>
                      </w:rPr>
                    </w:pPr>
                    <w:r>
                      <w:rPr>
                        <w:rFonts w:eastAsia="Calibri"/>
                        <w:i/>
                        <w:sz w:val="20"/>
                      </w:rPr>
                      <w:t>Galimas simbolių skaičius kiekviename laukelyje – 9 iki kablelio ir 2 po kablelio.</w:t>
                    </w:r>
                  </w:p>
                </w:tc>
                <w:tc>
                  <w:tcPr>
                    <w:tcW w:w="1466" w:type="dxa"/>
                    <w:tcBorders>
                      <w:top w:val="single" w:sz="6" w:space="0" w:color="auto"/>
                      <w:left w:val="single" w:sz="6" w:space="0" w:color="auto"/>
                      <w:bottom w:val="single" w:sz="6" w:space="0" w:color="auto"/>
                      <w:right w:val="single" w:sz="6" w:space="0" w:color="auto"/>
                    </w:tcBorders>
                  </w:tcPr>
                  <w:p>
                    <w:pPr>
                      <w:rPr>
                        <w:sz w:val="20"/>
                      </w:rPr>
                    </w:pPr>
                    <w:r>
                      <w:rPr>
                        <w:i/>
                        <w:color w:val="000000"/>
                        <w:sz w:val="20"/>
                        <w:lang w:eastAsia="lt-LT"/>
                      </w:rPr>
                      <w:t xml:space="preserve">Automatiškai apskaičiuojama pagal formulę. </w:t>
                    </w:r>
                    <w:r>
                      <w:rPr>
                        <w:rFonts w:eastAsia="Calibri"/>
                        <w:i/>
                        <w:color w:val="000000"/>
                        <w:sz w:val="20"/>
                      </w:rPr>
                      <w:t xml:space="preserve">Galimas simbolių skaičius –   3 prieš kablelį ir 2 po kablelio.</w:t>
                    </w:r>
                  </w:p>
                </w:tc>
                <w:tc>
                  <w:tcPr>
                    <w:tcW w:w="1467" w:type="dxa"/>
                    <w:tcBorders>
                      <w:top w:val="single" w:sz="6" w:space="0" w:color="auto"/>
                      <w:left w:val="single" w:sz="6" w:space="0" w:color="auto"/>
                      <w:bottom w:val="single" w:sz="6" w:space="0" w:color="auto"/>
                      <w:right w:val="single" w:sz="6" w:space="0" w:color="auto"/>
                    </w:tcBorders>
                  </w:tcPr>
                  <w:p>
                    <w:pPr>
                      <w:rPr>
                        <w:sz w:val="20"/>
                        <w:lang w:eastAsia="lt-LT"/>
                      </w:rPr>
                    </w:pPr>
                    <w:r>
                      <w:rPr>
                        <w:rFonts w:eastAsia="Calibri"/>
                        <w:i/>
                        <w:sz w:val="20"/>
                      </w:rPr>
                      <w:t>Galimas simbolių skaičius kiekviename laukelyje – 9 iki kablelio ir 2 po kablelio.</w:t>
                    </w:r>
                  </w:p>
                </w:tc>
                <w:tc>
                  <w:tcPr>
                    <w:tcW w:w="1599" w:type="dxa"/>
                    <w:tcBorders>
                      <w:top w:val="single" w:sz="6" w:space="0" w:color="auto"/>
                      <w:left w:val="single" w:sz="6" w:space="0" w:color="auto"/>
                      <w:bottom w:val="single" w:sz="6" w:space="0" w:color="auto"/>
                      <w:right w:val="single" w:sz="6" w:space="0" w:color="auto"/>
                    </w:tcBorders>
                  </w:tcPr>
                  <w:p>
                    <w:pPr>
                      <w:rPr>
                        <w:sz w:val="20"/>
                      </w:rPr>
                    </w:pPr>
                    <w:r>
                      <w:rPr>
                        <w:i/>
                        <w:color w:val="000000"/>
                        <w:sz w:val="20"/>
                        <w:lang w:eastAsia="lt-LT"/>
                      </w:rPr>
                      <w:t xml:space="preserve">Automatiškai apskaičiuojama pagal formulę. </w:t>
                    </w:r>
                    <w:r>
                      <w:rPr>
                        <w:rFonts w:eastAsia="Calibri"/>
                        <w:i/>
                        <w:color w:val="000000"/>
                        <w:sz w:val="20"/>
                      </w:rPr>
                      <w:t xml:space="preserve">Galimas simbolių skaičius –   3 prieš kablelį ir 2 po kablelio.</w:t>
                    </w:r>
                  </w:p>
                </w:tc>
                <w:tc>
                  <w:tcPr>
                    <w:tcW w:w="1599" w:type="dxa"/>
                    <w:tcBorders>
                      <w:top w:val="single" w:sz="6" w:space="0" w:color="auto"/>
                      <w:left w:val="single" w:sz="6" w:space="0" w:color="auto"/>
                      <w:bottom w:val="single" w:sz="6" w:space="0" w:color="auto"/>
                      <w:right w:val="single" w:sz="4" w:space="0" w:color="auto"/>
                    </w:tcBorders>
                  </w:tcPr>
                  <w:p>
                    <w:pPr>
                      <w:rPr>
                        <w:sz w:val="20"/>
                        <w:lang w:eastAsia="lt-LT"/>
                      </w:rPr>
                    </w:pPr>
                    <w:r>
                      <w:rPr>
                        <w:rFonts w:eastAsia="Calibri"/>
                        <w:i/>
                        <w:sz w:val="20"/>
                      </w:rPr>
                      <w:t>Galimas simbolių skaičius kiekviename laukelyje – 9 iki kablelio ir 2 po kablelio.</w:t>
                    </w:r>
                  </w:p>
                </w:tc>
                <w:tc>
                  <w:tcPr>
                    <w:tcW w:w="1400" w:type="dxa"/>
                    <w:tcBorders>
                      <w:top w:val="single" w:sz="4" w:space="0" w:color="auto"/>
                      <w:left w:val="single" w:sz="4" w:space="0" w:color="auto"/>
                      <w:bottom w:val="single" w:sz="4" w:space="0" w:color="auto"/>
                      <w:right w:val="single" w:sz="4" w:space="0" w:color="auto"/>
                    </w:tcBorders>
                  </w:tcPr>
                  <w:p>
                    <w:pPr>
                      <w:rPr>
                        <w:sz w:val="20"/>
                        <w:lang w:eastAsia="lt-LT"/>
                      </w:rPr>
                    </w:pPr>
                    <w:r>
                      <w:rPr>
                        <w:rFonts w:eastAsia="Calibri"/>
                        <w:i/>
                        <w:sz w:val="20"/>
                      </w:rPr>
                      <w:t>Galimas simbolių skaičius kiekviename laukelyje – 9 iki kablelio ir 2 po kablelio.</w:t>
                    </w:r>
                  </w:p>
                </w:tc>
                <w:tc>
                  <w:tcPr>
                    <w:tcW w:w="1401" w:type="dxa"/>
                    <w:tcBorders>
                      <w:top w:val="single" w:sz="4" w:space="0" w:color="auto"/>
                      <w:left w:val="single" w:sz="4" w:space="0" w:color="auto"/>
                      <w:bottom w:val="single" w:sz="4" w:space="0" w:color="auto"/>
                      <w:right w:val="single" w:sz="4" w:space="0" w:color="auto"/>
                    </w:tcBorders>
                  </w:tcPr>
                  <w:p>
                    <w:pPr>
                      <w:rPr>
                        <w:sz w:val="20"/>
                      </w:rPr>
                    </w:pPr>
                    <w:r>
                      <w:rPr>
                        <w:i/>
                        <w:color w:val="000000"/>
                        <w:sz w:val="20"/>
                        <w:lang w:eastAsia="lt-LT"/>
                      </w:rPr>
                      <w:t xml:space="preserve">Automatiškai apskaičiuojama pagal formulę. </w:t>
                    </w:r>
                    <w:r>
                      <w:rPr>
                        <w:rFonts w:eastAsia="Calibri"/>
                        <w:i/>
                        <w:color w:val="000000"/>
                        <w:sz w:val="20"/>
                      </w:rPr>
                      <w:t xml:space="preserve">Galimas simbolių skaičius –   3 prieš kablelį ir 2 po kablelio.</w:t>
                    </w:r>
                  </w:p>
                </w:tc>
              </w:tr>
              <w:tr>
                <w:trPr>
                  <w:cantSplit/>
                  <w:trHeight w:val="23"/>
                </w:trPr>
                <w:tc>
                  <w:tcPr>
                    <w:tcW w:w="2078" w:type="dxa"/>
                    <w:tcBorders>
                      <w:top w:val="single" w:sz="6" w:space="0" w:color="auto"/>
                      <w:left w:val="single" w:sz="6" w:space="0" w:color="auto"/>
                      <w:bottom w:val="single" w:sz="6" w:space="0" w:color="auto"/>
                      <w:right w:val="single" w:sz="6" w:space="0" w:color="auto"/>
                    </w:tcBorders>
                    <w:vAlign w:val="center"/>
                  </w:tcPr>
                  <w:p>
                    <w:pPr>
                      <w:spacing w:line="276" w:lineRule="auto"/>
                      <w:jc w:val="center"/>
                      <w:rPr>
                        <w:i/>
                        <w:sz w:val="22"/>
                        <w:szCs w:val="22"/>
                      </w:rPr>
                    </w:pPr>
                    <w:r>
                      <w:rPr>
                        <w:i/>
                        <w:sz w:val="22"/>
                        <w:szCs w:val="22"/>
                      </w:rPr>
                      <w:t>Pagal priemonę Nr. ...</w:t>
                    </w:r>
                    <w:r>
                      <w:rPr>
                        <w:i/>
                        <w:sz w:val="22"/>
                        <w:szCs w:val="22"/>
                        <w:vertAlign w:val="superscript"/>
                      </w:rPr>
                      <w:footnoteReference w:id="2"/>
                    </w:r>
                  </w:p>
                </w:tc>
                <w:tc>
                  <w:tcPr>
                    <w:tcW w:w="1518" w:type="dxa"/>
                    <w:tcBorders>
                      <w:top w:val="single" w:sz="6" w:space="0" w:color="auto"/>
                      <w:left w:val="single" w:sz="6" w:space="0" w:color="auto"/>
                      <w:bottom w:val="single" w:sz="6" w:space="0" w:color="auto"/>
                      <w:right w:val="single" w:sz="6" w:space="0" w:color="auto"/>
                    </w:tcBorders>
                    <w:vAlign w:val="center"/>
                  </w:tcPr>
                  <w:p>
                    <w:pPr>
                      <w:spacing w:line="276" w:lineRule="auto"/>
                      <w:jc w:val="center"/>
                      <w:rPr>
                        <w:sz w:val="22"/>
                        <w:szCs w:val="22"/>
                      </w:rPr>
                    </w:pPr>
                  </w:p>
                </w:tc>
                <w:tc>
                  <w:tcPr>
                    <w:tcW w:w="1466" w:type="dxa"/>
                    <w:tcBorders>
                      <w:top w:val="single" w:sz="6" w:space="0" w:color="auto"/>
                      <w:left w:val="single" w:sz="6" w:space="0" w:color="auto"/>
                      <w:bottom w:val="single" w:sz="6" w:space="0" w:color="auto"/>
                      <w:right w:val="single" w:sz="6" w:space="0" w:color="auto"/>
                    </w:tcBorders>
                    <w:vAlign w:val="center"/>
                  </w:tcPr>
                  <w:p>
                    <w:pPr>
                      <w:spacing w:line="276" w:lineRule="auto"/>
                      <w:jc w:val="center"/>
                      <w:rPr>
                        <w:sz w:val="22"/>
                        <w:szCs w:val="22"/>
                      </w:rPr>
                    </w:pPr>
                  </w:p>
                </w:tc>
                <w:tc>
                  <w:tcPr>
                    <w:tcW w:w="1466" w:type="dxa"/>
                    <w:tcBorders>
                      <w:top w:val="single" w:sz="6" w:space="0" w:color="auto"/>
                      <w:left w:val="single" w:sz="6" w:space="0" w:color="auto"/>
                      <w:bottom w:val="single" w:sz="6" w:space="0" w:color="auto"/>
                      <w:right w:val="single" w:sz="6" w:space="0" w:color="auto"/>
                    </w:tcBorders>
                    <w:vAlign w:val="center"/>
                  </w:tcPr>
                  <w:p>
                    <w:pPr>
                      <w:spacing w:line="276" w:lineRule="auto"/>
                      <w:jc w:val="center"/>
                      <w:rPr>
                        <w:sz w:val="22"/>
                        <w:szCs w:val="22"/>
                      </w:rPr>
                    </w:pPr>
                  </w:p>
                </w:tc>
                <w:tc>
                  <w:tcPr>
                    <w:tcW w:w="1467" w:type="dxa"/>
                    <w:tcBorders>
                      <w:top w:val="single" w:sz="6" w:space="0" w:color="auto"/>
                      <w:left w:val="single" w:sz="6" w:space="0" w:color="auto"/>
                      <w:bottom w:val="single" w:sz="6" w:space="0" w:color="auto"/>
                      <w:right w:val="single" w:sz="6" w:space="0" w:color="auto"/>
                    </w:tcBorders>
                    <w:vAlign w:val="center"/>
                  </w:tcPr>
                  <w:p>
                    <w:pPr>
                      <w:spacing w:line="276" w:lineRule="auto"/>
                      <w:jc w:val="center"/>
                      <w:rPr>
                        <w:sz w:val="22"/>
                        <w:szCs w:val="22"/>
                      </w:rPr>
                    </w:pPr>
                  </w:p>
                </w:tc>
                <w:tc>
                  <w:tcPr>
                    <w:tcW w:w="1599" w:type="dxa"/>
                    <w:tcBorders>
                      <w:top w:val="single" w:sz="6" w:space="0" w:color="auto"/>
                      <w:left w:val="single" w:sz="6" w:space="0" w:color="auto"/>
                      <w:bottom w:val="single" w:sz="6" w:space="0" w:color="auto"/>
                      <w:right w:val="single" w:sz="6" w:space="0" w:color="auto"/>
                    </w:tcBorders>
                    <w:vAlign w:val="center"/>
                  </w:tcPr>
                  <w:p>
                    <w:pPr>
                      <w:spacing w:line="276" w:lineRule="auto"/>
                      <w:jc w:val="center"/>
                      <w:rPr>
                        <w:sz w:val="22"/>
                        <w:szCs w:val="22"/>
                      </w:rPr>
                    </w:pPr>
                  </w:p>
                </w:tc>
                <w:tc>
                  <w:tcPr>
                    <w:tcW w:w="1599" w:type="dxa"/>
                    <w:tcBorders>
                      <w:top w:val="single" w:sz="6" w:space="0" w:color="auto"/>
                      <w:left w:val="single" w:sz="6" w:space="0" w:color="auto"/>
                      <w:bottom w:val="single" w:sz="6" w:space="0" w:color="auto"/>
                      <w:right w:val="single" w:sz="4" w:space="0" w:color="auto"/>
                    </w:tcBorders>
                  </w:tcPr>
                  <w:p>
                    <w:pPr>
                      <w:spacing w:line="276" w:lineRule="auto"/>
                      <w:jc w:val="center"/>
                      <w:rPr>
                        <w:sz w:val="22"/>
                        <w:szCs w:val="22"/>
                      </w:rPr>
                    </w:pPr>
                  </w:p>
                </w:tc>
                <w:tc>
                  <w:tcPr>
                    <w:tcW w:w="1400" w:type="dxa"/>
                    <w:tcBorders>
                      <w:top w:val="single" w:sz="4" w:space="0" w:color="auto"/>
                      <w:left w:val="single" w:sz="4" w:space="0" w:color="auto"/>
                      <w:bottom w:val="single" w:sz="4" w:space="0" w:color="auto"/>
                      <w:right w:val="single" w:sz="4" w:space="0" w:color="auto"/>
                    </w:tcBorders>
                  </w:tcPr>
                  <w:p>
                    <w:pPr>
                      <w:spacing w:line="276" w:lineRule="auto"/>
                      <w:jc w:val="center"/>
                      <w:rPr>
                        <w:sz w:val="22"/>
                        <w:szCs w:val="22"/>
                      </w:rPr>
                    </w:pPr>
                  </w:p>
                </w:tc>
                <w:tc>
                  <w:tcPr>
                    <w:tcW w:w="1401" w:type="dxa"/>
                    <w:tcBorders>
                      <w:top w:val="single" w:sz="4" w:space="0" w:color="auto"/>
                      <w:left w:val="single" w:sz="4" w:space="0" w:color="auto"/>
                      <w:bottom w:val="single" w:sz="4" w:space="0" w:color="auto"/>
                      <w:right w:val="single" w:sz="4" w:space="0" w:color="auto"/>
                    </w:tcBorders>
                  </w:tcPr>
                  <w:p>
                    <w:pPr>
                      <w:spacing w:line="276" w:lineRule="auto"/>
                      <w:jc w:val="center"/>
                      <w:rPr>
                        <w:sz w:val="22"/>
                        <w:szCs w:val="22"/>
                      </w:rPr>
                    </w:pPr>
                  </w:p>
                </w:tc>
              </w:tr>
              <w:tr>
                <w:trPr>
                  <w:cantSplit/>
                  <w:trHeight w:val="23"/>
                </w:trPr>
                <w:tc>
                  <w:tcPr>
                    <w:tcW w:w="2078" w:type="dxa"/>
                    <w:tcBorders>
                      <w:top w:val="single" w:sz="6" w:space="0" w:color="auto"/>
                      <w:left w:val="single" w:sz="6" w:space="0" w:color="auto"/>
                      <w:bottom w:val="single" w:sz="4" w:space="0" w:color="auto"/>
                      <w:right w:val="single" w:sz="6" w:space="0" w:color="auto"/>
                    </w:tcBorders>
                    <w:vAlign w:val="center"/>
                  </w:tcPr>
                  <w:p>
                    <w:pPr>
                      <w:spacing w:line="276" w:lineRule="auto"/>
                      <w:jc w:val="center"/>
                      <w:rPr>
                        <w:i/>
                        <w:sz w:val="22"/>
                        <w:szCs w:val="22"/>
                      </w:rPr>
                    </w:pPr>
                    <w:r>
                      <w:rPr>
                        <w:i/>
                        <w:sz w:val="22"/>
                        <w:szCs w:val="22"/>
                      </w:rPr>
                      <w:t>Pagal priemonę Nr. ...</w:t>
                    </w:r>
                  </w:p>
                </w:tc>
                <w:tc>
                  <w:tcPr>
                    <w:tcW w:w="1518" w:type="dxa"/>
                    <w:tcBorders>
                      <w:top w:val="single" w:sz="6" w:space="0" w:color="auto"/>
                      <w:left w:val="single" w:sz="6" w:space="0" w:color="auto"/>
                      <w:bottom w:val="single" w:sz="4" w:space="0" w:color="auto"/>
                      <w:right w:val="single" w:sz="6" w:space="0" w:color="auto"/>
                    </w:tcBorders>
                    <w:vAlign w:val="center"/>
                  </w:tcPr>
                  <w:p>
                    <w:pPr>
                      <w:spacing w:line="276" w:lineRule="auto"/>
                      <w:jc w:val="center"/>
                      <w:rPr>
                        <w:sz w:val="22"/>
                        <w:szCs w:val="22"/>
                      </w:rPr>
                    </w:pPr>
                  </w:p>
                </w:tc>
                <w:tc>
                  <w:tcPr>
                    <w:tcW w:w="1466" w:type="dxa"/>
                    <w:tcBorders>
                      <w:top w:val="single" w:sz="6" w:space="0" w:color="auto"/>
                      <w:left w:val="single" w:sz="6" w:space="0" w:color="auto"/>
                      <w:bottom w:val="single" w:sz="4" w:space="0" w:color="auto"/>
                      <w:right w:val="single" w:sz="6" w:space="0" w:color="auto"/>
                    </w:tcBorders>
                    <w:vAlign w:val="center"/>
                  </w:tcPr>
                  <w:p>
                    <w:pPr>
                      <w:spacing w:line="276" w:lineRule="auto"/>
                      <w:jc w:val="center"/>
                      <w:rPr>
                        <w:sz w:val="22"/>
                        <w:szCs w:val="22"/>
                      </w:rPr>
                    </w:pPr>
                  </w:p>
                </w:tc>
                <w:tc>
                  <w:tcPr>
                    <w:tcW w:w="1466" w:type="dxa"/>
                    <w:tcBorders>
                      <w:top w:val="single" w:sz="6" w:space="0" w:color="auto"/>
                      <w:left w:val="single" w:sz="6" w:space="0" w:color="auto"/>
                      <w:bottom w:val="single" w:sz="4" w:space="0" w:color="auto"/>
                      <w:right w:val="single" w:sz="6" w:space="0" w:color="auto"/>
                    </w:tcBorders>
                    <w:vAlign w:val="center"/>
                  </w:tcPr>
                  <w:p>
                    <w:pPr>
                      <w:spacing w:line="276" w:lineRule="auto"/>
                      <w:jc w:val="center"/>
                      <w:rPr>
                        <w:sz w:val="22"/>
                        <w:szCs w:val="22"/>
                      </w:rPr>
                    </w:pPr>
                  </w:p>
                </w:tc>
                <w:tc>
                  <w:tcPr>
                    <w:tcW w:w="1467" w:type="dxa"/>
                    <w:tcBorders>
                      <w:top w:val="single" w:sz="6" w:space="0" w:color="auto"/>
                      <w:left w:val="single" w:sz="6" w:space="0" w:color="auto"/>
                      <w:bottom w:val="single" w:sz="4" w:space="0" w:color="auto"/>
                      <w:right w:val="single" w:sz="6" w:space="0" w:color="auto"/>
                    </w:tcBorders>
                    <w:vAlign w:val="center"/>
                  </w:tcPr>
                  <w:p>
                    <w:pPr>
                      <w:spacing w:line="276" w:lineRule="auto"/>
                      <w:jc w:val="center"/>
                      <w:rPr>
                        <w:sz w:val="22"/>
                        <w:szCs w:val="22"/>
                      </w:rPr>
                    </w:pPr>
                  </w:p>
                </w:tc>
                <w:tc>
                  <w:tcPr>
                    <w:tcW w:w="1599" w:type="dxa"/>
                    <w:tcBorders>
                      <w:top w:val="single" w:sz="6" w:space="0" w:color="auto"/>
                      <w:left w:val="single" w:sz="6" w:space="0" w:color="auto"/>
                      <w:bottom w:val="single" w:sz="4" w:space="0" w:color="auto"/>
                      <w:right w:val="single" w:sz="6" w:space="0" w:color="auto"/>
                    </w:tcBorders>
                    <w:vAlign w:val="center"/>
                  </w:tcPr>
                  <w:p>
                    <w:pPr>
                      <w:spacing w:line="276" w:lineRule="auto"/>
                      <w:jc w:val="center"/>
                      <w:rPr>
                        <w:sz w:val="22"/>
                        <w:szCs w:val="22"/>
                      </w:rPr>
                    </w:pPr>
                  </w:p>
                </w:tc>
                <w:tc>
                  <w:tcPr>
                    <w:tcW w:w="1599" w:type="dxa"/>
                    <w:tcBorders>
                      <w:top w:val="single" w:sz="6" w:space="0" w:color="auto"/>
                      <w:left w:val="single" w:sz="6" w:space="0" w:color="auto"/>
                      <w:bottom w:val="single" w:sz="4" w:space="0" w:color="auto"/>
                      <w:right w:val="single" w:sz="4" w:space="0" w:color="auto"/>
                    </w:tcBorders>
                  </w:tcPr>
                  <w:p>
                    <w:pPr>
                      <w:spacing w:line="276" w:lineRule="auto"/>
                      <w:jc w:val="center"/>
                      <w:rPr>
                        <w:sz w:val="22"/>
                        <w:szCs w:val="22"/>
                      </w:rPr>
                    </w:pPr>
                  </w:p>
                </w:tc>
                <w:tc>
                  <w:tcPr>
                    <w:tcW w:w="1400" w:type="dxa"/>
                    <w:tcBorders>
                      <w:top w:val="single" w:sz="4" w:space="0" w:color="auto"/>
                      <w:left w:val="single" w:sz="4" w:space="0" w:color="auto"/>
                      <w:bottom w:val="single" w:sz="4" w:space="0" w:color="auto"/>
                      <w:right w:val="single" w:sz="4" w:space="0" w:color="auto"/>
                    </w:tcBorders>
                  </w:tcPr>
                  <w:p>
                    <w:pPr>
                      <w:spacing w:line="276" w:lineRule="auto"/>
                      <w:jc w:val="center"/>
                      <w:rPr>
                        <w:sz w:val="22"/>
                        <w:szCs w:val="22"/>
                      </w:rPr>
                    </w:pPr>
                  </w:p>
                </w:tc>
                <w:tc>
                  <w:tcPr>
                    <w:tcW w:w="1401" w:type="dxa"/>
                    <w:tcBorders>
                      <w:top w:val="single" w:sz="4" w:space="0" w:color="auto"/>
                      <w:left w:val="single" w:sz="4" w:space="0" w:color="auto"/>
                      <w:bottom w:val="single" w:sz="4" w:space="0" w:color="auto"/>
                      <w:right w:val="single" w:sz="4" w:space="0" w:color="auto"/>
                    </w:tcBorders>
                  </w:tcPr>
                  <w:p>
                    <w:pPr>
                      <w:spacing w:line="276" w:lineRule="auto"/>
                      <w:jc w:val="center"/>
                      <w:rPr>
                        <w:sz w:val="22"/>
                        <w:szCs w:val="22"/>
                      </w:rPr>
                    </w:pPr>
                  </w:p>
                </w:tc>
              </w:tr>
            </w:tbl>
            <w:p>
              <w:pPr>
                <w:rPr>
                  <w:sz w:val="22"/>
                  <w:szCs w:val="22"/>
                </w:rPr>
              </w:pPr>
            </w:p>
            <w:p>
              <w:pPr>
                <w:spacing w:line="276" w:lineRule="auto"/>
                <w:ind w:firstLine="385"/>
                <w:rPr>
                  <w:sz w:val="22"/>
                  <w:szCs w:val="22"/>
                </w:rPr>
              </w:pPr>
              <w:r>
                <w:rPr>
                  <w:sz w:val="22"/>
                  <w:szCs w:val="22"/>
                </w:rPr>
                <w:t>Pastabos:</w:t>
              </w:r>
            </w:p>
            <w:p>
              <w:pPr>
                <w:rPr>
                  <w:sz w:val="18"/>
                  <w:szCs w:val="18"/>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36"/>
              </w:tblGrid>
              <w:tr>
                <w:tc>
                  <w:tcPr>
                    <w:tcW w:w="15364" w:type="dxa"/>
                  </w:tcPr>
                  <w:p>
                    <w:pPr>
                      <w:rPr>
                        <w:i/>
                        <w:sz w:val="22"/>
                        <w:szCs w:val="22"/>
                        <w:lang w:eastAsia="lt-LT"/>
                      </w:rPr>
                    </w:pPr>
                    <w:r>
                      <w:rPr>
                        <w:i/>
                        <w:sz w:val="22"/>
                        <w:szCs w:val="22"/>
                        <w:lang w:eastAsia="lt-LT"/>
                      </w:rPr>
                      <w:t xml:space="preserve">(Šiame laukelyje pagal poreikį gali būti įrašomos papildomos sąlygos, kurias įgyvendinančioji institucija, atsižvelgdama į projekto rizikingumą, siūlo įtraukti į projekto sutartį. Pildoma projekto tinkamumo finansuoti vertinimo metu. Galimas simbolių skaičius – 1000.) </w:t>
                    </w:r>
                  </w:p>
                  <w:p>
                    <w:pPr>
                      <w:rPr>
                        <w:i/>
                        <w:sz w:val="22"/>
                        <w:szCs w:val="22"/>
                        <w:lang w:eastAsia="lt-LT"/>
                      </w:rPr>
                    </w:pPr>
                  </w:p>
                </w:tc>
              </w:tr>
            </w:tbl>
            <w:p>
              <w:pPr>
                <w:tabs>
                  <w:tab w:val="left" w:pos="9639"/>
                </w:tabs>
                <w:ind w:left="142"/>
                <w:jc w:val="both"/>
                <w:rPr>
                  <w:sz w:val="22"/>
                  <w:szCs w:val="22"/>
                </w:rPr>
              </w:pPr>
              <w:r>
                <w:rPr>
                  <w:sz w:val="22"/>
                  <w:szCs w:val="22"/>
                </w:rPr>
                <w:t xml:space="preserve">____________________________________                                     ______________________</w:t>
                <w:tab/>
                <w:t xml:space="preserve">  ___________________________</w:t>
              </w:r>
            </w:p>
            <w:p>
              <w:pPr>
                <w:rPr>
                  <w:sz w:val="18"/>
                  <w:szCs w:val="18"/>
                </w:rPr>
              </w:pPr>
            </w:p>
            <w:p>
              <w:pPr>
                <w:tabs>
                  <w:tab w:val="center" w:pos="10800"/>
                </w:tabs>
                <w:ind w:left="142"/>
                <w:jc w:val="both"/>
                <w:rPr>
                  <w:sz w:val="22"/>
                  <w:szCs w:val="22"/>
                </w:rPr>
              </w:pPr>
              <w:r>
                <w:rPr>
                  <w:sz w:val="22"/>
                  <w:szCs w:val="22"/>
                </w:rPr>
                <w:t xml:space="preserve">(paraiškos vertinimą atlikusios institucijos atsakingo </w:t>
              </w:r>
            </w:p>
            <w:p>
              <w:pPr>
                <w:tabs>
                  <w:tab w:val="center" w:pos="10800"/>
                </w:tabs>
                <w:ind w:left="142"/>
                <w:jc w:val="both"/>
                <w:rPr>
                  <w:sz w:val="22"/>
                  <w:szCs w:val="22"/>
                </w:rPr>
              </w:pPr>
              <w:r>
                <w:rPr>
                  <w:sz w:val="22"/>
                  <w:szCs w:val="22"/>
                </w:rPr>
                <w:t xml:space="preserve">asmens pareigų pavadinimas)                                                                              (parašas) </w:t>
                <w:tab/>
                <w:t xml:space="preserve">        (vardas ir pavardė*)</w:t>
              </w:r>
            </w:p>
            <w:p>
              <w:pPr>
                <w:ind w:firstLine="142"/>
                <w:rPr>
                  <w:i/>
                  <w:sz w:val="20"/>
                </w:rPr>
              </w:pPr>
              <w:r>
                <w:rPr>
                  <w:i/>
                  <w:sz w:val="20"/>
                </w:rPr>
                <w:t>* Jei pildoma popierinė versija</w:t>
              </w:r>
            </w:p>
            <w:p>
              <w:pPr>
                <w:ind w:firstLine="142"/>
                <w:rPr>
                  <w:i/>
                  <w:sz w:val="20"/>
                </w:rPr>
              </w:pPr>
            </w:p>
            <w:p>
              <w:pPr>
                <w:widowControl w:val="0"/>
                <w:jc w:val="both"/>
              </w:pPr>
            </w:p>
          </w:sdtContent>
        </w:sdt>
      </w:sdtContent>
    </w:sdt>
    <w:sectPr>
      <w:headerReference w:type="first" r:id="rId17"/>
      <w:pgSz w:w="16838" w:h="11906" w:orient="landscape" w:code="9"/>
      <w:pgMar w:top="1701" w:right="1134" w:bottom="567"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hAnsi="Calibri"/>
          <w:sz w:val="22"/>
          <w:szCs w:val="22"/>
          <w:lang w:eastAsia="lt-LT"/>
        </w:rPr>
      </w:pPr>
      <w:r>
        <w:rPr>
          <w:rFonts w:ascii="Calibri" w:hAnsi="Calibri"/>
          <w:sz w:val="22"/>
          <w:szCs w:val="22"/>
          <w:lang w:eastAsia="lt-LT"/>
        </w:rPr>
        <w:separator/>
      </w:r>
    </w:p>
  </w:endnote>
  <w:endnote w:type="continuationSeparator" w:id="0">
    <w:p>
      <w:pPr>
        <w:rPr>
          <w:rFonts w:ascii="Calibri" w:hAnsi="Calibri"/>
          <w:sz w:val="22"/>
          <w:szCs w:val="22"/>
          <w:lang w:eastAsia="lt-LT"/>
        </w:rPr>
      </w:pPr>
      <w:r>
        <w:rPr>
          <w:rFonts w:ascii="Calibri" w:hAnsi="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hAnsi="Calibri"/>
        <w:sz w:val="22"/>
        <w:szCs w:val="22"/>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hAnsi="Calibri"/>
        <w:sz w:val="22"/>
        <w:szCs w:val="22"/>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hAnsi="Calibri"/>
          <w:sz w:val="22"/>
          <w:szCs w:val="22"/>
          <w:lang w:eastAsia="lt-LT"/>
        </w:rPr>
      </w:pPr>
      <w:r>
        <w:rPr>
          <w:rFonts w:ascii="Calibri" w:hAnsi="Calibri"/>
          <w:sz w:val="22"/>
          <w:szCs w:val="22"/>
          <w:lang w:eastAsia="lt-LT"/>
        </w:rPr>
        <w:separator/>
      </w:r>
    </w:p>
  </w:footnote>
  <w:footnote w:type="continuationSeparator" w:id="0">
    <w:p>
      <w:pPr>
        <w:rPr>
          <w:rFonts w:ascii="Calibri" w:hAnsi="Calibri"/>
          <w:sz w:val="22"/>
          <w:szCs w:val="22"/>
          <w:lang w:eastAsia="lt-LT"/>
        </w:rPr>
      </w:pPr>
      <w:r>
        <w:rPr>
          <w:rFonts w:ascii="Calibri" w:hAnsi="Calibri"/>
          <w:sz w:val="22"/>
          <w:szCs w:val="22"/>
          <w:lang w:eastAsia="lt-LT"/>
        </w:rPr>
        <w:continuationSeparator/>
      </w:r>
    </w:p>
  </w:footnote>
  <w:footnote w:id="1">
    <w:p>
      <w:pPr>
        <w:rPr>
          <w:sz w:val="20"/>
          <w:lang w:eastAsia="lt-LT"/>
        </w:rPr>
      </w:pPr>
      <w:r>
        <w:rPr>
          <w:sz w:val="20"/>
          <w:vertAlign w:val="superscript"/>
          <w:lang w:eastAsia="lt-LT"/>
        </w:rPr>
        <w:footnoteRef/>
      </w:r>
      <w:r>
        <w:rPr>
          <w:sz w:val="20"/>
          <w:lang w:eastAsia="lt-LT"/>
        </w:rPr>
        <w:t xml:space="preserve"> Bendra projekto vertė apima ir tinkamas, ir netinkamas išlaidas.</w:t>
      </w:r>
    </w:p>
  </w:footnote>
  <w:footnote w:id="2">
    <w:p>
      <w:pPr>
        <w:rPr>
          <w:sz w:val="20"/>
          <w:lang w:eastAsia="lt-LT"/>
        </w:rPr>
      </w:pPr>
      <w:r>
        <w:rPr>
          <w:sz w:val="20"/>
          <w:vertAlign w:val="superscript"/>
          <w:lang w:eastAsia="lt-LT"/>
        </w:rPr>
        <w:footnoteRef/>
      </w:r>
      <w:r>
        <w:rPr>
          <w:sz w:val="20"/>
          <w:lang w:eastAsia="lt-LT"/>
        </w:rPr>
        <w:t xml:space="preserve"> Ši eilutė pildoma tais atvejais, kai įgyvendinamas jungtinės priemonės projektas. Įrašomos sumos pagal atskiras priemones, sujungtas į jungtinę priemonę. </w:t>
      </w:r>
      <w:r>
        <w:rPr>
          <w:bCs/>
          <w:iCs/>
          <w:sz w:val="20"/>
          <w:lang w:eastAsia="lt-LT"/>
        </w:rPr>
        <w:t>Įgyvendinant jungtines priemones konkrečiam projektui pagal atskiras priemones gali skirtis nustatyta finansuojamoji dalis.</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986"/>
        <w:tab w:val="right" w:pos="9972"/>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986"/>
        <w:tab w:val="right" w:pos="9972"/>
      </w:tabs>
      <w:rPr>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986"/>
        <w:tab w:val="right" w:pos="9972"/>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16</w:t>
    </w:r>
    <w:r>
      <w:rPr>
        <w:szCs w:val="24"/>
        <w:lang w:eastAsia="lt-LT"/>
      </w:rPr>
      <w:fldChar w:fldCharType="end"/>
    </w:r>
  </w:p>
  <w:p>
    <w:pPr>
      <w:tabs>
        <w:tab w:val="center" w:pos="4986"/>
        <w:tab w:val="right" w:pos="9972"/>
      </w:tabs>
      <w:rPr>
        <w:szCs w:val="24"/>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8"/>
  <w:hyphenationZone w:val="396"/>
  <w:doNotHyphenateCaps/>
  <w:drawingGridHorizontalSpacing w:val="11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771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oNotEmbedSmartTag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9250001">
      <w:bodyDiv w:val="1"/>
      <w:marLeft w:val="0"/>
      <w:marRight w:val="0"/>
      <w:marTop w:val="0"/>
      <w:marBottom w:val="0"/>
      <w:divBdr>
        <w:top w:val="none" w:sz="0" w:space="0" w:color="auto"/>
        <w:left w:val="none" w:sz="0" w:space="0" w:color="auto"/>
        <w:bottom w:val="none" w:sz="0" w:space="0" w:color="auto"/>
        <w:right w:val="none" w:sz="0" w:space="0" w:color="auto"/>
      </w:divBdr>
    </w:div>
    <w:div w:id="113791587">
      <w:bodyDiv w:val="1"/>
      <w:marLeft w:val="0"/>
      <w:marRight w:val="0"/>
      <w:marTop w:val="0"/>
      <w:marBottom w:val="0"/>
      <w:divBdr>
        <w:top w:val="none" w:sz="0" w:space="0" w:color="auto"/>
        <w:left w:val="none" w:sz="0" w:space="0" w:color="auto"/>
        <w:bottom w:val="none" w:sz="0" w:space="0" w:color="auto"/>
        <w:right w:val="none" w:sz="0" w:space="0" w:color="auto"/>
      </w:divBdr>
    </w:div>
    <w:div w:id="220363754">
      <w:bodyDiv w:val="1"/>
      <w:marLeft w:val="0"/>
      <w:marRight w:val="0"/>
      <w:marTop w:val="0"/>
      <w:marBottom w:val="0"/>
      <w:divBdr>
        <w:top w:val="none" w:sz="0" w:space="0" w:color="auto"/>
        <w:left w:val="none" w:sz="0" w:space="0" w:color="auto"/>
        <w:bottom w:val="none" w:sz="0" w:space="0" w:color="auto"/>
        <w:right w:val="none" w:sz="0" w:space="0" w:color="auto"/>
      </w:divBdr>
    </w:div>
    <w:div w:id="440804240">
      <w:bodyDiv w:val="1"/>
      <w:marLeft w:val="0"/>
      <w:marRight w:val="0"/>
      <w:marTop w:val="0"/>
      <w:marBottom w:val="0"/>
      <w:divBdr>
        <w:top w:val="none" w:sz="0" w:space="0" w:color="auto"/>
        <w:left w:val="none" w:sz="0" w:space="0" w:color="auto"/>
        <w:bottom w:val="none" w:sz="0" w:space="0" w:color="auto"/>
        <w:right w:val="none" w:sz="0" w:space="0" w:color="auto"/>
      </w:divBdr>
    </w:div>
    <w:div w:id="611668633">
      <w:bodyDiv w:val="1"/>
      <w:marLeft w:val="0"/>
      <w:marRight w:val="0"/>
      <w:marTop w:val="0"/>
      <w:marBottom w:val="0"/>
      <w:divBdr>
        <w:top w:val="none" w:sz="0" w:space="0" w:color="auto"/>
        <w:left w:val="none" w:sz="0" w:space="0" w:color="auto"/>
        <w:bottom w:val="none" w:sz="0" w:space="0" w:color="auto"/>
        <w:right w:val="none" w:sz="0" w:space="0" w:color="auto"/>
      </w:divBdr>
    </w:div>
    <w:div w:id="900483029">
      <w:bodyDiv w:val="1"/>
      <w:marLeft w:val="0"/>
      <w:marRight w:val="0"/>
      <w:marTop w:val="0"/>
      <w:marBottom w:val="0"/>
      <w:divBdr>
        <w:top w:val="none" w:sz="0" w:space="0" w:color="auto"/>
        <w:left w:val="none" w:sz="0" w:space="0" w:color="auto"/>
        <w:bottom w:val="none" w:sz="0" w:space="0" w:color="auto"/>
        <w:right w:val="none" w:sz="0" w:space="0" w:color="auto"/>
      </w:divBdr>
    </w:div>
    <w:div w:id="1192957930">
      <w:bodyDiv w:val="1"/>
      <w:marLeft w:val="0"/>
      <w:marRight w:val="0"/>
      <w:marTop w:val="0"/>
      <w:marBottom w:val="0"/>
      <w:divBdr>
        <w:top w:val="none" w:sz="0" w:space="0" w:color="auto"/>
        <w:left w:val="none" w:sz="0" w:space="0" w:color="auto"/>
        <w:bottom w:val="none" w:sz="0" w:space="0" w:color="auto"/>
        <w:right w:val="none" w:sz="0" w:space="0" w:color="auto"/>
      </w:divBdr>
    </w:div>
    <w:div w:id="1198202114">
      <w:bodyDiv w:val="1"/>
      <w:marLeft w:val="0"/>
      <w:marRight w:val="0"/>
      <w:marTop w:val="0"/>
      <w:marBottom w:val="0"/>
      <w:divBdr>
        <w:top w:val="none" w:sz="0" w:space="0" w:color="auto"/>
        <w:left w:val="none" w:sz="0" w:space="0" w:color="auto"/>
        <w:bottom w:val="none" w:sz="0" w:space="0" w:color="auto"/>
        <w:right w:val="none" w:sz="0" w:space="0" w:color="auto"/>
      </w:divBdr>
    </w:div>
    <w:div w:id="1504392541">
      <w:bodyDiv w:val="1"/>
      <w:marLeft w:val="0"/>
      <w:marRight w:val="0"/>
      <w:marTop w:val="0"/>
      <w:marBottom w:val="0"/>
      <w:divBdr>
        <w:top w:val="none" w:sz="0" w:space="0" w:color="auto"/>
        <w:left w:val="none" w:sz="0" w:space="0" w:color="auto"/>
        <w:bottom w:val="none" w:sz="0" w:space="0" w:color="auto"/>
        <w:right w:val="none" w:sz="0" w:space="0" w:color="auto"/>
      </w:divBdr>
    </w:div>
    <w:div w:id="2000692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4e2d2f5fcf9543a9b877b71ec1951eb4" PartId="da14e29831e64fcfb60fd21ab469a936">
    <Part Type="preambule" DocPartId="592abce156b24ca7a74f511b6a41e412" PartId="6ada1a9e8f7d43e0adde65746f798dc8"/>
    <Part Type="punktas" Nr="1" Abbr="1 p." DocPartId="fcda1cdf7a284ccb96a7000e4479bf83" PartId="0f9941db643447689ce20f1c0400ac1f">
      <Part Type="citata" DocPartId="489a6011654c4ff08bb487b04dd9ccbf" PartId="aff070c0ee01404fb2c79c8e19f412e5">
        <Part Type="papunktis" Nr="2.8" Abbr="2.8 pp." DocPartId="a7c3b9671b094ec8a17f0da81ad9efb9" PartId="08c4eba45b5347f3bf03f5587bce631b"/>
        <Part Type="punktas" Nr="2" Abbr="2 p." DocPartId="e71a6e3d0fdd4888bd875a1efa3ce80c" PartId="8758fc3b24c543eba9bd89f83967395b"/>
      </Part>
    </Part>
    <Part Type="punktas" Nr="3" Abbr="3 p." Notes="Numeris ne iš eilės. Trūksta dalių? [DocDalys]" DocPartId="051a76579f474be5a5008928aad98779" PartId="41a0b187444b44c5be3d9f0a41af6473">
      <Part Type="citata" DocPartId="7b71841dc7ff4406aa728eac6cdbba4f" PartId="2b718014c59d490a9b29a3fbce51eced">
        <Part Type="papunktis" Nr="10.6" Abbr="10.6 pp." DocPartId="4b949f2fdfb740aa91271dc0d347e9fc" PartId="c01d9cd7ec4c480a9557f6c7cc9c32b7"/>
      </Part>
    </Part>
    <Part Type="punktas" Nr="4" Abbr="4 p." DocPartId="2c3b4fc137964e6e8c29cefad748e39d" PartId="0e0f6bf80bf84a38b837fc5663a8da48">
      <Part Type="citata" DocPartId="792eedb264844204be2aa738d0ef6461" PartId="bfa89e54f4dc449b9647fb921b8d5a3f">
        <Part Type="papunktis" Nr="19.2" Abbr="19.2 pp." DocPartId="b0f257ebd3444392aab0243498e25be3" PartId="6195bdfb5ed549d0bfe0d39383fc77f6"/>
      </Part>
    </Part>
    <Part Type="punktas" Nr="5" Abbr="5 p." DocPartId="04b90ae42cb245bab15c4747942a835d" PartId="65822813fb0140cebf0b4fcf7481c138">
      <Part Type="citata" DocPartId="8dae155cc7cf4d079ee12f3d8b04b397" PartId="f64f713b4ec34d29846c35276d8f4047">
        <Part Type="papunktis" Nr="9.3" Abbr="9.3 pp." DocPartId="011329a062d748519e0b2bcbc5d5da7a" PartId="39c40d75dc594da2804f5c1dd217b86b"/>
      </Part>
    </Part>
    <Part Type="punktas" Nr="6" Abbr="6 p." DocPartId="115a5288618645f2a16e0ce83905ad0a" PartId="991649103aef466a825b926def528062">
      <Part Type="citata" DocPartId="7581d2d7f9d845b0b7df800bf1d41796" PartId="96ef380a3f2949cf8f9cc3abe6f8edf5">
        <Part Type="papunktis" Nr="27.1.2" Abbr="27.1.2 pp." DocPartId="95c1f4d662d04eab8c67a7f766a846ce" PartId="71aa20062e7f48dc942419cdff49444b"/>
      </Part>
    </Part>
    <Part Type="punktas" Nr="7" Abbr="7 p." DocPartId="3015ca588f1c4f719bd9bea374c2d91a" PartId="b86646cb51604c28b8ffd484c321ddfd">
      <Part Type="citata" DocPartId="fb4f590d0e8041a1aa346faa11b47489" PartId="6f0e5882f2d64b04b802cd5f798bb549">
        <Part Type="punktas" Nr="28" Abbr="28 p." DocPartId="998a2a4003e84743a34b2bd785b9182a" PartId="3d23703905fa47f5862e5802f1abfa51">
          <Part Type="papunktis" Nr="28.1" Abbr="28.1 pp." DocPartId="e2d4d4f1fbb941e694764a6880afb47f" PartId="c30b66fd3c7743fcaf8627efd8c75b81"/>
          <Part Type="papunktis" Nr="28.2" Abbr="28.2 pp." DocPartId="51a1e5d3e2114609aaabd2781ed3c262" PartId="8339b8d57fe34c2ba2535e3a4338dce5"/>
          <Part Type="papunktis" Nr="28.3" Abbr="28.3 pp." DocPartId="1f186e299131456ca79ca8bf6ca5ab72" PartId="e3dcab2be6004d139f9229774fa60814"/>
          <Part Type="papunktis" Nr="28.4" Abbr="28.4 pp." DocPartId="d3e22fc34fb742cb8f114df3127056eb" PartId="839f2fc5084745ce9846ba790d874a8c"/>
        </Part>
      </Part>
    </Part>
    <Part Type="punktas" Nr="8" Abbr="8 p." DocPartId="7773826170d640e7b84f836a4fb71080" PartId="bd28060c2030418ba36efc44083d59cf"/>
    <Part Type="punktas" Nr="9" Abbr="9 p." DocPartId="8826e3a50e9648d185dd863e5c724aa1" PartId="a9ad00b6a5c949ae941d4ccc50c8471b">
      <Part Type="citata" DocPartId="10b39e39ab3e4e0e96fd15bc45218245" PartId="dd2f3c30f0d0428d90952c11f4a382ee">
        <Part Type="punktas" Nr="44" Abbr="44 p." DocPartId="a48828c743c344faa69dfe054cbd296f" PartId="0490ab37e15f49aaa226ad6dd9c0b011">
          <Part Type="papunktis" Nr="44.1" Abbr="44.1 pp." DocPartId="d666830d26ef48679a7236da2764aaba" PartId="a0730b78b7b64404b113e93a21b110da"/>
          <Part Type="papunktis" Nr="44.2" Abbr="44.2 pp." DocPartId="144334a124a14b9d8efc7f75ed9179c0" PartId="f357779dde7a4436930a10192b33f0d3"/>
          <Part Type="papunktis" Nr="44.3" Abbr="44.3 pp." DocPartId="c683c45013684e75be51038d609c3bb7" PartId="0aeea3d5419943b7bfa388369f16151c"/>
          <Part Type="papunktis" Nr="44.4" Abbr="44.4 pp." DocPartId="a472a23291614b55b7b8831eab7feacd" PartId="9d9edbc30eca4de4b113c73ec1fe9ddf"/>
        </Part>
      </Part>
    </Part>
    <Part Type="punktas" Nr="10" Abbr="10 p." DocPartId="f0445b499c8e4b989ac59a7c078ed8f5" PartId="e63c30306c9d423e9f710ae892dd43b8"/>
    <Part Type="punktas" Nr="11" Abbr="11 p." DocPartId="71fff2a142834f009615ba2e270bcecf" PartId="2fc769b4396441caaaee89bc9a89aa8e"/>
    <Part Type="skirsnis" Title="Projektas" DocPartId="371ec88b40e743fc915b757408e61d3a" PartId="fb89618d9a7043288c6485596d4f6743"/>
  </Part>
  <Part Type="priedas" Nr="1" Abbr="1 pr." Title="PROJEKTO TINKAMUMO FINANSUOTI VERTINIMO LENTELĖ" DocPartId="5a2cd52875074146a7b585a070b41a9c" PartId="ba7176940a18467dbfbf696cd4958062">
    <Part Type="punktas" Nr="1" Abbr="1 pr. 1 p." DocPartId="e2f0adbfc0f54a2aafce508d4f013533" PartId="3e649319e0f9452b9a7f7715f8420fa6"/>
    <Part Type="punktas" Nr="2" Abbr="1 pr. 2 p." DocPartId="cab24e57243e49b2988c9a8e8911f0d9" PartId="904ae212c3cd407ea37c6e6e7812ff10"/>
    <Part Type="punktas" Nr="3" Abbr="1 pr. 3 p." DocPartId="297bf58dd6bd4050a45594876dec4bda" PartId="ff1665f9e0e547f4a904d40f57f149ce"/>
    <Part Type="punktas" Nr="4" Abbr="1 pr. 4 p." DocPartId="9375b91e684949b2bf773fc68bdf35f0" PartId="73566ec6784d4aaea56164969c4965b9"/>
  </Part>
</Parts>
</file>

<file path=customXml/itemProps1.xml><?xml version="1.0" encoding="utf-8"?>
<ds:datastoreItem xmlns:ds="http://schemas.openxmlformats.org/officeDocument/2006/customXml" ds:itemID="{8E3F5FF8-C356-4D1C-B1BC-0AD9C02B875B}">
  <ds:schemaRefs>
    <ds:schemaRef ds:uri="http://schemas.openxmlformats.org/officeDocument/2006/bibliography"/>
  </ds:schemaRefs>
</ds:datastoreItem>
</file>

<file path=customXml/itemProps2.xml><?xml version="1.0" encoding="utf-8"?>
<ds:datastoreItem xmlns:ds="http://schemas.openxmlformats.org/officeDocument/2006/customXml" ds:itemID="{D644B836-71AF-4506-A062-638D619EB5E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4591</Words>
  <Characters>33058</Characters>
  <Application>Microsoft Office Word</Application>
  <DocSecurity>4</DocSecurity>
  <Lines>1066</Lines>
  <Paragraphs>254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37395</CharactersWithSpaces>
  <SharedDoc>false</SharedDoc>
  <HyperlinkBase/>
  <HLinks>
    <vt:vector size="12" baseType="variant">
      <vt:variant>
        <vt:i4>1507402</vt:i4>
      </vt:variant>
      <vt:variant>
        <vt:i4>6</vt:i4>
      </vt:variant>
      <vt:variant>
        <vt:i4>0</vt:i4>
      </vt:variant>
      <vt:variant>
        <vt:i4>5</vt:i4>
      </vt:variant>
      <vt:variant>
        <vt:lpwstr>http://www.esinvesticijos.lt/</vt:lpwstr>
      </vt:variant>
      <vt:variant>
        <vt:lpwstr/>
      </vt:variant>
      <vt:variant>
        <vt:i4>1507402</vt:i4>
      </vt:variant>
      <vt:variant>
        <vt:i4>3</vt:i4>
      </vt:variant>
      <vt:variant>
        <vt:i4>0</vt:i4>
      </vt:variant>
      <vt:variant>
        <vt:i4>5</vt:i4>
      </vt:variant>
      <vt:variant>
        <vt:lpwstr>http://www.esinvesticijos.lt/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2020-03-24T08:10:00Z</dcterms:created>
  <dc:creator>m05631</dc:creator>
  <lastModifiedBy>adlibuser</lastModifiedBy>
  <lastPrinted>2015-10-29T07:50:00Z</lastPrinted>
  <dcterms:modified xsi:type="dcterms:W3CDTF">2020-03-24T08:10:00Z</dcterms:modified>
  <revision>2</revision>
</coreProperties>
</file>