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b3fe712d98049c5920bc5555456638b"/>
        <w:lock w:val="sdtLocked"/>
        <w:richText/>
      </w:sdtPr>
      <w:sdtContent>
        <w:p>
          <w:pPr>
            <w:ind w:left="6480" w:firstLine="720"/>
            <w:jc w:val="both"/>
            <w:rPr>
              <w:b/>
              <w:szCs w:val="24"/>
            </w:rPr>
          </w:pPr>
          <w:r>
            <w:rPr>
              <w:b/>
              <w:szCs w:val="24"/>
            </w:rPr>
            <w:t>Projektas</w:t>
          </w:r>
        </w:p>
        <w:p>
          <w:pPr>
            <w:ind w:firstLine="720"/>
            <w:jc w:val="both"/>
            <w:rPr>
              <w:b/>
              <w:szCs w:val="24"/>
            </w:rPr>
          </w:pPr>
        </w:p>
        <w:p>
          <w:pPr>
            <w:ind w:firstLine="720"/>
            <w:jc w:val="center"/>
            <w:rPr>
              <w:b/>
              <w:szCs w:val="24"/>
            </w:rPr>
          </w:pPr>
          <w:r>
            <w:rPr>
              <w:b/>
              <w:szCs w:val="24"/>
            </w:rPr>
            <w:t>LIETUVOS RESPUBLIKOS</w:t>
          </w:r>
        </w:p>
        <w:p>
          <w:pPr>
            <w:ind w:firstLine="720"/>
            <w:jc w:val="center"/>
            <w:rPr>
              <w:b/>
              <w:szCs w:val="24"/>
            </w:rPr>
          </w:pPr>
          <w:r>
            <w:rPr>
              <w:b/>
              <w:szCs w:val="24"/>
            </w:rPr>
            <w:t xml:space="preserve">PENSIJŲ SISTEMOS REFORMOS ĮSTATYMO NR. IX-1215 </w:t>
          </w:r>
        </w:p>
        <w:p>
          <w:pPr>
            <w:ind w:firstLine="720"/>
            <w:jc w:val="center"/>
            <w:rPr>
              <w:b/>
              <w:szCs w:val="24"/>
            </w:rPr>
          </w:pPr>
          <w:r>
            <w:rPr>
              <w:b/>
              <w:szCs w:val="24"/>
            </w:rPr>
            <w:t xml:space="preserve">3, 4, 5 IR 6 STRAIPSNIŲ PAKEITIMO </w:t>
          </w:r>
        </w:p>
        <w:p>
          <w:pPr>
            <w:ind w:firstLine="720"/>
            <w:jc w:val="center"/>
            <w:rPr>
              <w:b/>
              <w:szCs w:val="24"/>
            </w:rPr>
          </w:pPr>
          <w:r>
            <w:rPr>
              <w:b/>
              <w:szCs w:val="24"/>
            </w:rPr>
            <w:t>ĮSTATYMAS</w:t>
          </w:r>
        </w:p>
        <w:p>
          <w:pPr>
            <w:ind w:firstLine="720"/>
            <w:jc w:val="both"/>
            <w:rPr>
              <w:szCs w:val="24"/>
            </w:rPr>
          </w:pPr>
        </w:p>
        <w:p>
          <w:pPr>
            <w:jc w:val="center"/>
            <w:rPr>
              <w:rFonts w:ascii="TimesLT" w:hAnsi="TimesLT"/>
              <w:szCs w:val="24"/>
            </w:rPr>
          </w:pPr>
          <w:r>
            <w:rPr>
              <w:rFonts w:ascii="TimesLT" w:hAnsi="TimesLT"/>
              <w:szCs w:val="24"/>
            </w:rPr>
            <w:t xml:space="preserve">2015 m.                          d. Nr. </w:t>
          </w:r>
        </w:p>
        <w:p>
          <w:pPr>
            <w:jc w:val="center"/>
            <w:rPr>
              <w:rFonts w:ascii="TimesLT" w:hAnsi="TimesLT"/>
              <w:szCs w:val="24"/>
            </w:rPr>
          </w:pPr>
          <w:r>
            <w:rPr>
              <w:rFonts w:ascii="TimesLT" w:hAnsi="TimesLT"/>
              <w:szCs w:val="24"/>
            </w:rPr>
            <w:t>Vilnius</w:t>
          </w:r>
        </w:p>
        <w:p>
          <w:pPr>
            <w:ind w:firstLine="720"/>
            <w:jc w:val="both"/>
            <w:rPr>
              <w:szCs w:val="24"/>
            </w:rPr>
          </w:pPr>
        </w:p>
        <w:sdt>
          <w:sdtPr>
            <w:alias w:val="1 str."/>
            <w:tag w:val="part_524b946e620746caa79d362afa9b9930"/>
            <w:lock w:val="sdtLocked"/>
            <w:richText/>
          </w:sdtPr>
          <w:sdtContent>
            <w:p>
              <w:pPr>
                <w:ind w:firstLine="720"/>
                <w:jc w:val="both"/>
                <w:rPr>
                  <w:rFonts w:eastAsia="Calibri"/>
                  <w:b/>
                  <w:bCs/>
                  <w:szCs w:val="24"/>
                  <w:shd w:val="clear" w:color="auto" w:fill="FFFFFF"/>
                </w:rPr>
              </w:pPr>
              <w:sdt>
                <w:sdtPr>
                  <w:alias w:val="Numeris"/>
                  <w:tag w:val="nr_524b946e620746caa79d362afa9b9930"/>
                  <w:lock w:val="sdtLocked"/>
                  <w:richText/>
                </w:sdtPr>
                <w:sdtContent>
                  <w:r>
                    <w:rPr>
                      <w:b/>
                      <w:szCs w:val="24"/>
                    </w:rPr>
                    <w:t>1</w:t>
                  </w:r>
                </w:sdtContent>
              </w:sdt>
              <w:r>
                <w:rPr>
                  <w:b/>
                  <w:szCs w:val="24"/>
                </w:rPr>
                <w:t xml:space="preserve"> straipsnis. </w:t>
              </w:r>
              <w:sdt>
                <w:sdtPr>
                  <w:alias w:val="Pavadinimas"/>
                  <w:tag w:val="title_524b946e620746caa79d362afa9b9930"/>
                  <w:lock w:val="sdtLocked"/>
                  <w:richText/>
                </w:sdtPr>
                <w:sdtContent>
                  <w:r>
                    <w:rPr>
                      <w:rFonts w:eastAsia="Calibri"/>
                      <w:b/>
                      <w:bCs/>
                      <w:szCs w:val="24"/>
                      <w:shd w:val="clear" w:color="auto" w:fill="FFFFFF"/>
                    </w:rPr>
                    <w:t>3 straipsnio pakeitimas</w:t>
                  </w:r>
                </w:sdtContent>
              </w:sdt>
            </w:p>
            <w:sdt>
              <w:sdtPr>
                <w:alias w:val="1 str. 1 d."/>
                <w:tag w:val="part_d69ba7cab58547b5a97c5ad19368eaf5"/>
                <w:lock w:val="sdtLocked"/>
                <w:richText/>
              </w:sdtPr>
              <w:sdtContent>
                <w:p>
                  <w:pPr>
                    <w:ind w:firstLine="720"/>
                    <w:jc w:val="both"/>
                    <w:rPr>
                      <w:b/>
                      <w:szCs w:val="24"/>
                    </w:rPr>
                  </w:pPr>
                  <w:r>
                    <w:rPr>
                      <w:rFonts w:eastAsia="Calibri"/>
                      <w:bCs/>
                      <w:szCs w:val="24"/>
                      <w:shd w:val="clear" w:color="auto" w:fill="FFFFFF"/>
                    </w:rPr>
                    <w:t>Pakeisti 3 straipsnio 1 dalį ir ją</w:t>
                  </w:r>
                  <w:r>
                    <w:rPr>
                      <w:rFonts w:eastAsia="Calibri"/>
                      <w:b/>
                      <w:bCs/>
                      <w:szCs w:val="24"/>
                      <w:shd w:val="clear" w:color="auto" w:fill="FFFFFF"/>
                    </w:rPr>
                    <w:t xml:space="preserve"> </w:t>
                  </w:r>
                  <w:r>
                    <w:rPr>
                      <w:szCs w:val="24"/>
                    </w:rPr>
                    <w:t>išdėstyti taip:</w:t>
                  </w:r>
                </w:p>
                <w:sdt>
                  <w:sdtPr>
                    <w:alias w:val="citata"/>
                    <w:tag w:val="part_51b6deeb02fe46e0b485510ba61b57d9"/>
                    <w:lock w:val="sdtLocked"/>
                    <w:richText/>
                  </w:sdtPr>
                  <w:sdtContent>
                    <w:sdt>
                      <w:sdtPr>
                        <w:alias w:val="1 d."/>
                        <w:tag w:val="part_081425ea4e684f77a4501fcc13167540"/>
                        <w:lock w:val="sdtLocked"/>
                        <w:richText/>
                      </w:sdtPr>
                      <w:sdtContent>
                        <w:p>
                          <w:pPr>
                            <w:ind w:firstLine="720"/>
                            <w:jc w:val="both"/>
                            <w:rPr>
                              <w:szCs w:val="24"/>
                            </w:rPr>
                          </w:pPr>
                          <w:r>
                            <w:rPr>
                              <w:szCs w:val="24"/>
                            </w:rPr>
                            <w:t>„</w:t>
                          </w:r>
                          <w:sdt>
                            <w:sdtPr>
                              <w:alias w:val="Numeris"/>
                              <w:tag w:val="nr_081425ea4e684f77a4501fcc13167540"/>
                              <w:lock w:val="sdtLocked"/>
                              <w:richText/>
                            </w:sdtPr>
                            <w:sdtContent>
                              <w:r>
                                <w:rPr>
                                  <w:rFonts w:eastAsia="Calibri"/>
                                  <w:color w:val="000000"/>
                                  <w:szCs w:val="24"/>
                                  <w:shd w:val="clear" w:color="auto" w:fill="FFFFFF"/>
                                </w:rPr>
                                <w:t>1</w:t>
                              </w:r>
                            </w:sdtContent>
                          </w:sdt>
                          <w:r>
                            <w:rPr>
                              <w:rFonts w:eastAsia="Calibri"/>
                              <w:color w:val="000000"/>
                              <w:szCs w:val="24"/>
                              <w:shd w:val="clear" w:color="auto" w:fill="FFFFFF"/>
                            </w:rPr>
                            <w:t>. Asmenys, turintys draudžiamųjų pajamų, nuo kurių privalomai skaičiuojamos pensijų socialinio draudimo įmokos, taip pat asmenys, pagal Lietuvos Respublikos Europos Sąjungos institucijų darbuotojų ir Europos Parlamento narių pensinių teisių išsaugojimo ir perkėlimo įstatymą pasirinkę pensines teises perkelti į Valstybinio socialinio draudimo fondą ir pensijų fondą, veikiantį pagal Lietuvos Respublikos pensijų kaupimo įstatymą,</w:t>
                          </w:r>
                          <w:r>
                            <w:rPr>
                              <w:rFonts w:eastAsia="Calibri"/>
                              <w:b/>
                              <w:bCs/>
                              <w:color w:val="000000"/>
                              <w:szCs w:val="24"/>
                              <w:shd w:val="clear" w:color="auto" w:fill="FFFFFF"/>
                            </w:rPr>
                            <w:t> </w:t>
                          </w:r>
                          <w:r>
                            <w:rPr>
                              <w:rFonts w:eastAsia="Calibri"/>
                              <w:color w:val="000000"/>
                              <w:szCs w:val="24"/>
                              <w:shd w:val="clear" w:color="auto" w:fill="FFFFFF"/>
                            </w:rPr>
                            <w:t>išskyrus asmenis, kurie yra sulaukę senatvės pensijos amžiaus, turi teisę jų pačių pasirinkimu tapti pensijų fondo dalyviais ir kaupti šio Įstatymo nustatytą pensijų įmoką pensijų kaupimo bendrovėse. Asmenų, pasirinkusių būti pensijų kaupimo dalyviais, tolesnis dalyvavimas negali būti nutrauktas, išskyrus Pensijų kaupimo įstatymo nustatytus atvejus.“</w:t>
                          </w:r>
                        </w:p>
                        <w:p>
                          <w:pPr>
                            <w:ind w:firstLine="720"/>
                            <w:jc w:val="both"/>
                            <w:rPr>
                              <w:b/>
                              <w:szCs w:val="24"/>
                            </w:rPr>
                          </w:pPr>
                        </w:p>
                      </w:sdtContent>
                    </w:sdt>
                  </w:sdtContent>
                </w:sdt>
              </w:sdtContent>
            </w:sdt>
          </w:sdtContent>
        </w:sdt>
        <w:sdt>
          <w:sdtPr>
            <w:alias w:val="2 str."/>
            <w:tag w:val="part_59129462eaa546f38de77c4516baeeb7"/>
            <w:lock w:val="sdtLocked"/>
            <w:richText/>
          </w:sdtPr>
          <w:sdtContent>
            <w:p>
              <w:pPr>
                <w:ind w:firstLine="720"/>
                <w:jc w:val="both"/>
                <w:rPr>
                  <w:b/>
                  <w:szCs w:val="24"/>
                </w:rPr>
              </w:pPr>
              <w:sdt>
                <w:sdtPr>
                  <w:alias w:val="Numeris"/>
                  <w:tag w:val="nr_59129462eaa546f38de77c4516baeeb7"/>
                  <w:lock w:val="sdtLocked"/>
                  <w:richText/>
                </w:sdtPr>
                <w:sdtContent>
                  <w:r>
                    <w:rPr>
                      <w:b/>
                      <w:szCs w:val="24"/>
                    </w:rPr>
                    <w:t>2</w:t>
                  </w:r>
                </w:sdtContent>
              </w:sdt>
              <w:r>
                <w:rPr>
                  <w:b/>
                  <w:szCs w:val="24"/>
                </w:rPr>
                <w:t xml:space="preserve"> straipsnis. </w:t>
              </w:r>
              <w:sdt>
                <w:sdtPr>
                  <w:alias w:val="Pavadinimas"/>
                  <w:tag w:val="title_59129462eaa546f38de77c4516baeeb7"/>
                  <w:lock w:val="sdtLocked"/>
                  <w:richText/>
                </w:sdtPr>
                <w:sdtContent>
                  <w:r>
                    <w:rPr>
                      <w:b/>
                      <w:szCs w:val="24"/>
                    </w:rPr>
                    <w:t>4 straipsnio pakeitimas</w:t>
                  </w:r>
                </w:sdtContent>
              </w:sdt>
            </w:p>
            <w:sdt>
              <w:sdtPr>
                <w:alias w:val="2 str. 1 d."/>
                <w:tag w:val="part_24e7965f97194c30930fc50af29b9b0e"/>
                <w:lock w:val="sdtLocked"/>
                <w:richText/>
              </w:sdtPr>
              <w:sdtContent>
                <w:p>
                  <w:pPr>
                    <w:ind w:firstLine="720"/>
                    <w:jc w:val="both"/>
                    <w:rPr>
                      <w:szCs w:val="24"/>
                    </w:rPr>
                  </w:pPr>
                  <w:r>
                    <w:rPr>
                      <w:szCs w:val="24"/>
                    </w:rPr>
                    <w:t>Pakeisti 4 straipsnio 3 dalį ir ją išdėstyti taip:</w:t>
                  </w:r>
                </w:p>
                <w:sdt>
                  <w:sdtPr>
                    <w:alias w:val="citata"/>
                    <w:tag w:val="part_2e703e19247b4ea4b1c49f422f3298b9"/>
                    <w:lock w:val="sdtLocked"/>
                    <w:richText/>
                  </w:sdtPr>
                  <w:sdtContent>
                    <w:sdt>
                      <w:sdtPr>
                        <w:alias w:val="3 d."/>
                        <w:tag w:val="part_920f5309fe7c4ef885e2a4d4eea5bdf1"/>
                        <w:lock w:val="sdtLocked"/>
                        <w:richText/>
                      </w:sdtPr>
                      <w:sdtContent>
                        <w:p>
                          <w:pPr>
                            <w:widowControl w:val="0"/>
                            <w:ind w:right="9" w:firstLine="720"/>
                            <w:jc w:val="both"/>
                            <w:rPr>
                              <w:rFonts w:eastAsia="Calibri"/>
                              <w:i/>
                              <w:color w:val="000000"/>
                              <w:szCs w:val="24"/>
                            </w:rPr>
                          </w:pPr>
                          <w:r>
                            <w:rPr>
                              <w:rFonts w:eastAsia="Calibri"/>
                              <w:color w:val="000000"/>
                              <w:szCs w:val="24"/>
                            </w:rPr>
                            <w:t>„</w:t>
                          </w:r>
                          <w:sdt>
                            <w:sdtPr>
                              <w:alias w:val="Numeris"/>
                              <w:tag w:val="nr_920f5309fe7c4ef885e2a4d4eea5bdf1"/>
                              <w:lock w:val="sdtLocked"/>
                              <w:richText/>
                            </w:sdtPr>
                            <w:sdtContent>
                              <w:r>
                                <w:rPr>
                                  <w:bCs/>
                                  <w:szCs w:val="24"/>
                                </w:rPr>
                                <w:t>3</w:t>
                              </w:r>
                            </w:sdtContent>
                          </w:sdt>
                          <w:r>
                            <w:rPr>
                              <w:bCs/>
                              <w:szCs w:val="24"/>
                            </w:rPr>
                            <w:t>. Nuo 2014 m. sausio 1 d. už vieną iš tėvų, auginantį vaiką iki 3 metų ir gaunantį vaiko priežiūros išmoką arba draudžiamą pensijų socialiniu draudimu valstybės lėšomis, į pensijų fondą pervedama 2 procentų Lietuvos statistikos departamento paskelbto užpraeitų metų keturių ketvirčių šalies ūkio darbuotojų vidutinio mėnesinio bruto darbo užmokesčio vidurkio dydžio pensijų įmoka iš valstybės biudžeto lėšų. Vienam iš tėvų, auginančiam daugiau negu vieną vaiką iki 3 metų, pensijų įmoka pervedama už kiekvieną vaiką</w:t>
                          </w:r>
                          <w:r>
                            <w:rPr>
                              <w:szCs w:val="24"/>
                            </w:rPr>
                            <w:t>.“</w:t>
                          </w:r>
                        </w:p>
                        <w:p>
                          <w:pPr>
                            <w:shd w:val="clear" w:color="auto" w:fill="FFFFFF"/>
                            <w:ind w:right="9" w:firstLine="720"/>
                            <w:jc w:val="both"/>
                            <w:rPr>
                              <w:b/>
                              <w:bCs/>
                              <w:color w:val="000000"/>
                              <w:sz w:val="22"/>
                              <w:szCs w:val="22"/>
                              <w:lang w:eastAsia="lt-LT"/>
                            </w:rPr>
                          </w:pPr>
                        </w:p>
                      </w:sdtContent>
                    </w:sdt>
                  </w:sdtContent>
                </w:sdt>
              </w:sdtContent>
            </w:sdt>
          </w:sdtContent>
        </w:sdt>
        <w:sdt>
          <w:sdtPr>
            <w:alias w:val="3 str."/>
            <w:tag w:val="part_22d22e179bd8417d9b21141fa62fd731"/>
            <w:lock w:val="sdtLocked"/>
            <w:richText/>
          </w:sdtPr>
          <w:sdtContent>
            <w:p>
              <w:pPr>
                <w:shd w:val="clear" w:color="auto" w:fill="FFFFFF"/>
                <w:ind w:right="9" w:firstLine="720"/>
                <w:jc w:val="both"/>
                <w:rPr>
                  <w:b/>
                  <w:bCs/>
                  <w:color w:val="000000"/>
                  <w:szCs w:val="24"/>
                  <w:lang w:eastAsia="lt-LT"/>
                </w:rPr>
              </w:pPr>
              <w:sdt>
                <w:sdtPr>
                  <w:alias w:val="Numeris"/>
                  <w:tag w:val="nr_22d22e179bd8417d9b21141fa62fd731"/>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22d22e179bd8417d9b21141fa62fd731"/>
                  <w:lock w:val="sdtLocked"/>
                  <w:richText/>
                </w:sdtPr>
                <w:sdtContent>
                  <w:r>
                    <w:rPr>
                      <w:b/>
                      <w:bCs/>
                      <w:color w:val="000000"/>
                      <w:szCs w:val="24"/>
                      <w:lang w:eastAsia="lt-LT"/>
                    </w:rPr>
                    <w:t>5 straipsnio pakeitimas</w:t>
                  </w:r>
                </w:sdtContent>
              </w:sdt>
            </w:p>
            <w:sdt>
              <w:sdtPr>
                <w:alias w:val="3 str. 1 d."/>
                <w:tag w:val="part_9b0bc2d0c6a74022a380802eda1b093f"/>
                <w:lock w:val="sdtLocked"/>
                <w:richText/>
              </w:sdtPr>
              <w:sdtContent>
                <w:p>
                  <w:pPr>
                    <w:ind w:firstLine="720"/>
                    <w:jc w:val="both"/>
                    <w:rPr>
                      <w:szCs w:val="24"/>
                    </w:rPr>
                  </w:pPr>
                  <w:r>
                    <w:rPr>
                      <w:szCs w:val="24"/>
                    </w:rPr>
                    <w:t>Pakeisti 5 straipsnio 1 dalį ir ją išdėstyti taip:</w:t>
                  </w:r>
                </w:p>
                <w:sdt>
                  <w:sdtPr>
                    <w:alias w:val="citata"/>
                    <w:tag w:val="part_a57517227b754c649826058978983e47"/>
                    <w:lock w:val="sdtLocked"/>
                    <w:richText/>
                  </w:sdtPr>
                  <w:sdtContent>
                    <w:sdt>
                      <w:sdtPr>
                        <w:alias w:val="1 d."/>
                        <w:tag w:val="part_b7449f73c18f44d5bbd31bb3ea458bc0"/>
                        <w:lock w:val="sdtLocked"/>
                        <w:richText/>
                      </w:sdtPr>
                      <w:sdtContent>
                        <w:p>
                          <w:pPr>
                            <w:shd w:val="clear" w:color="auto" w:fill="FFFFFF"/>
                            <w:ind w:right="9" w:firstLine="720"/>
                            <w:jc w:val="both"/>
                            <w:rPr>
                              <w:color w:val="000000"/>
                              <w:szCs w:val="24"/>
                              <w:lang w:eastAsia="lt-LT"/>
                            </w:rPr>
                          </w:pPr>
                          <w:r>
                            <w:rPr>
                              <w:bCs/>
                              <w:color w:val="000000"/>
                              <w:szCs w:val="24"/>
                              <w:lang w:eastAsia="lt-LT"/>
                            </w:rPr>
                            <w:t>„</w:t>
                          </w:r>
                          <w:sdt>
                            <w:sdtPr>
                              <w:alias w:val="Numeris"/>
                              <w:tag w:val="nr_b7449f73c18f44d5bbd31bb3ea458bc0"/>
                              <w:lock w:val="sdtLocked"/>
                              <w:richText/>
                            </w:sdtPr>
                            <w:sdtContent>
                              <w:r>
                                <w:rPr>
                                  <w:color w:val="000000"/>
                                  <w:szCs w:val="24"/>
                                  <w:lang w:eastAsia="lt-LT"/>
                                </w:rPr>
                                <w:t>1</w:t>
                              </w:r>
                            </w:sdtContent>
                          </w:sdt>
                          <w:r>
                            <w:rPr>
                              <w:color w:val="000000"/>
                              <w:szCs w:val="24"/>
                              <w:lang w:eastAsia="lt-LT"/>
                            </w:rPr>
                            <w:t>. Teisę gauti pensijų išmoką iš pensijų kaupimo bendrovių dalyviai įgyja sulaukę senatvės pensijos amžiaus, nustatyto Socialinio draudimo pensijų įstatymu.“</w:t>
                          </w:r>
                        </w:p>
                        <w:p>
                          <w:pPr>
                            <w:ind w:firstLine="720"/>
                            <w:jc w:val="both"/>
                            <w:rPr>
                              <w:szCs w:val="24"/>
                            </w:rPr>
                          </w:pPr>
                        </w:p>
                      </w:sdtContent>
                    </w:sdt>
                  </w:sdtContent>
                </w:sdt>
              </w:sdtContent>
            </w:sdt>
          </w:sdtContent>
        </w:sdt>
        <w:sdt>
          <w:sdtPr>
            <w:alias w:val="4 str."/>
            <w:tag w:val="part_e01fcdcb858f4ace8130bc28c2b000f8"/>
            <w:lock w:val="sdtLocked"/>
            <w:richText/>
          </w:sdtPr>
          <w:sdtContent>
            <w:p>
              <w:pPr>
                <w:shd w:val="clear" w:color="auto" w:fill="FFFFFF"/>
                <w:ind w:left="2160" w:right="9" w:hanging="1440"/>
                <w:jc w:val="both"/>
                <w:rPr>
                  <w:b/>
                  <w:bCs/>
                  <w:color w:val="000000"/>
                  <w:szCs w:val="24"/>
                  <w:lang w:eastAsia="lt-LT"/>
                </w:rPr>
              </w:pPr>
              <w:sdt>
                <w:sdtPr>
                  <w:alias w:val="Numeris"/>
                  <w:tag w:val="nr_e01fcdcb858f4ace8130bc28c2b000f8"/>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e01fcdcb858f4ace8130bc28c2b000f8"/>
                  <w:lock w:val="sdtLocked"/>
                  <w:richText/>
                </w:sdtPr>
                <w:sdtContent>
                  <w:r>
                    <w:rPr>
                      <w:b/>
                      <w:bCs/>
                      <w:color w:val="000000"/>
                      <w:szCs w:val="24"/>
                      <w:lang w:eastAsia="lt-LT"/>
                    </w:rPr>
                    <w:t>6 straipsnio pakeitimas</w:t>
                  </w:r>
                </w:sdtContent>
              </w:sdt>
            </w:p>
            <w:sdt>
              <w:sdtPr>
                <w:alias w:val="4 str. 1 d."/>
                <w:tag w:val="part_5181b7d380334e5786492f8c73acf31e"/>
                <w:lock w:val="sdtLocked"/>
                <w:richText/>
              </w:sdtPr>
              <w:sdtContent>
                <w:p>
                  <w:pPr>
                    <w:ind w:firstLine="720"/>
                    <w:jc w:val="both"/>
                    <w:rPr>
                      <w:szCs w:val="24"/>
                    </w:rPr>
                  </w:pPr>
                  <w:r>
                    <w:rPr>
                      <w:szCs w:val="24"/>
                    </w:rPr>
                    <w:t>Pakeisti 6 straipsnį ir jį išdėstyti taip:</w:t>
                  </w:r>
                </w:p>
                <w:sdt>
                  <w:sdtPr>
                    <w:alias w:val="citata"/>
                    <w:tag w:val="part_43174244d96c418e9eb742ece7602391"/>
                    <w:lock w:val="sdtLocked"/>
                    <w:richText/>
                  </w:sdtPr>
                  <w:sdtContent>
                    <w:sdt>
                      <w:sdtPr>
                        <w:alias w:val="6 str."/>
                        <w:tag w:val="part_71a4f65124f143909a5a55ff876a699c"/>
                        <w:lock w:val="sdtLocked"/>
                        <w:richText/>
                      </w:sdtPr>
                      <w:sdtContent>
                        <w:p>
                          <w:pPr>
                            <w:shd w:val="clear" w:color="auto" w:fill="FFFFFF"/>
                            <w:ind w:left="2127" w:right="9" w:hanging="1407"/>
                            <w:jc w:val="both"/>
                            <w:rPr>
                              <w:color w:val="000000"/>
                              <w:szCs w:val="24"/>
                              <w:lang w:eastAsia="lt-LT"/>
                            </w:rPr>
                          </w:pPr>
                          <w:r>
                            <w:rPr>
                              <w:bCs/>
                              <w:color w:val="000000"/>
                              <w:szCs w:val="24"/>
                              <w:lang w:eastAsia="lt-LT"/>
                            </w:rPr>
                            <w:t>„</w:t>
                          </w:r>
                          <w:sdt>
                            <w:sdtPr>
                              <w:alias w:val="Numeris"/>
                              <w:tag w:val="nr_71a4f65124f143909a5a55ff876a699c"/>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71a4f65124f143909a5a55ff876a699c"/>
                              <w:lock w:val="sdtLocked"/>
                              <w:richText/>
                            </w:sdtPr>
                            <w:sdtContent>
                              <w:r>
                                <w:rPr>
                                  <w:b/>
                                  <w:bCs/>
                                  <w:color w:val="000000"/>
                                  <w:szCs w:val="24"/>
                                  <w:lang w:eastAsia="lt-LT"/>
                                </w:rPr>
                                <w:t>Socialinio draudimo ir kaupiamųjų pensijų išmokų santykis</w:t>
                              </w:r>
                            </w:sdtContent>
                          </w:sdt>
                        </w:p>
                        <w:sdt>
                          <w:sdtPr>
                            <w:alias w:val="6 str. 1 d."/>
                            <w:tag w:val="part_a663550c1a764f66ba57ba68d02d0e74"/>
                            <w:lock w:val="sdtLocked"/>
                            <w:richText/>
                          </w:sdtPr>
                          <w:sdtContent>
                            <w:p>
                              <w:pPr>
                                <w:shd w:val="clear" w:color="auto" w:fill="FFFFFF"/>
                                <w:ind w:right="9" w:firstLine="720"/>
                                <w:jc w:val="both"/>
                                <w:rPr>
                                  <w:rFonts w:eastAsia="Calibri"/>
                                  <w:color w:val="000000"/>
                                  <w:szCs w:val="24"/>
                                </w:rPr>
                              </w:pPr>
                              <w:sdt>
                                <w:sdtPr>
                                  <w:alias w:val="Numeris"/>
                                  <w:tag w:val="nr_a663550c1a764f66ba57ba68d02d0e74"/>
                                  <w:lock w:val="sdtLocked"/>
                                  <w:richText/>
                                </w:sdtPr>
                                <w:sdtContent>
                                  <w:r>
                                    <w:rPr>
                                      <w:rFonts w:eastAsia="Calibri"/>
                                      <w:color w:val="000000"/>
                                      <w:szCs w:val="24"/>
                                    </w:rPr>
                                    <w:t>1</w:t>
                                  </w:r>
                                </w:sdtContent>
                              </w:sdt>
                              <w:r>
                                <w:rPr>
                                  <w:rFonts w:eastAsia="Calibri"/>
                                  <w:color w:val="000000"/>
                                  <w:szCs w:val="24"/>
                                </w:rPr>
                                <w:t>. Dalyviams socialinio draudimo senatvės pensijos individualiosios dalies dydis Socialinio draudimo pensijų įstatymo nustatyta tvarka proporcingai mažinamas, atsižvelgiant į pensijų kaupimui skirtą pensijų socialinio draudimo įmokos dalį. Už laikotarpį, kurį asmuo nebuvo pensijų kaupimo dalyvis, socialinio draudimo senatvės pensijos dydis jam nemažinamas.</w:t>
                              </w:r>
                            </w:p>
                          </w:sdtContent>
                        </w:sdt>
                        <w:sdt>
                          <w:sdtPr>
                            <w:alias w:val="6 str. 2 d."/>
                            <w:tag w:val="part_432e15caeb67422c9cd87f73ffcff84f"/>
                            <w:lock w:val="sdtLocked"/>
                            <w:richText/>
                          </w:sdtPr>
                          <w:sdtContent>
                            <w:p>
                              <w:pPr>
                                <w:shd w:val="clear" w:color="auto" w:fill="FFFFFF"/>
                                <w:ind w:right="9" w:firstLine="720"/>
                                <w:jc w:val="both"/>
                                <w:rPr>
                                  <w:rFonts w:eastAsia="Calibri"/>
                                  <w:color w:val="000000"/>
                                  <w:szCs w:val="24"/>
                                </w:rPr>
                              </w:pPr>
                              <w:sdt>
                                <w:sdtPr>
                                  <w:alias w:val="Numeris"/>
                                  <w:tag w:val="nr_432e15caeb67422c9cd87f73ffcff84f"/>
                                  <w:lock w:val="sdtLocked"/>
                                  <w:richText/>
                                </w:sdtPr>
                                <w:sdtContent>
                                  <w:r>
                                    <w:rPr>
                                      <w:rFonts w:eastAsia="Calibri"/>
                                      <w:color w:val="000000"/>
                                      <w:szCs w:val="24"/>
                                    </w:rPr>
                                    <w:t>2</w:t>
                                  </w:r>
                                </w:sdtContent>
                              </w:sdt>
                              <w:r>
                                <w:rPr>
                                  <w:rFonts w:eastAsia="Calibri"/>
                                  <w:color w:val="000000"/>
                                  <w:szCs w:val="24"/>
                                </w:rPr>
                                <w:t>. Asmenims, nebuvusiems pensijų kaupimo dalyviais, socialinio draudimo senatvės pensijų dydis nemažinamas.“</w:t>
                              </w:r>
                            </w:p>
                            <w:p>
                              <w:pPr>
                                <w:ind w:firstLine="720"/>
                                <w:jc w:val="both"/>
                                <w:rPr>
                                  <w:szCs w:val="24"/>
                                </w:rPr>
                              </w:pPr>
                            </w:p>
                          </w:sdtContent>
                        </w:sdt>
                      </w:sdtContent>
                    </w:sdt>
                  </w:sdtContent>
                </w:sdt>
              </w:sdtContent>
            </w:sdt>
          </w:sdtContent>
        </w:sdt>
        <w:sdt>
          <w:sdtPr>
            <w:alias w:val="5 str."/>
            <w:tag w:val="part_ca07bd3632ba4af4844de4a9d696f495"/>
            <w:lock w:val="sdtLocked"/>
            <w:richText/>
          </w:sdtPr>
          <w:sdtContent>
            <w:p>
              <w:pPr>
                <w:tabs>
                  <w:tab w:val="left" w:pos="720"/>
                </w:tabs>
                <w:ind w:firstLine="720"/>
                <w:rPr>
                  <w:rFonts w:ascii="TimesLT" w:hAnsi="TimesLT"/>
                  <w:szCs w:val="24"/>
                </w:rPr>
              </w:pPr>
              <w:sdt>
                <w:sdtPr>
                  <w:alias w:val="Numeris"/>
                  <w:tag w:val="nr_ca07bd3632ba4af4844de4a9d696f495"/>
                  <w:lock w:val="sdtLocked"/>
                  <w:richText/>
                </w:sdtPr>
                <w:sdtContent>
                  <w:r>
                    <w:rPr>
                      <w:rFonts w:ascii="TimesLT" w:hAnsi="TimesLT"/>
                      <w:b/>
                      <w:bCs/>
                      <w:szCs w:val="24"/>
                    </w:rPr>
                    <w:t>5</w:t>
                  </w:r>
                </w:sdtContent>
              </w:sdt>
              <w:r>
                <w:rPr>
                  <w:rFonts w:ascii="TimesLT" w:hAnsi="TimesLT"/>
                  <w:b/>
                  <w:bCs/>
                  <w:szCs w:val="24"/>
                </w:rPr>
                <w:t xml:space="preserve"> straipsnis. </w:t>
              </w:r>
              <w:sdt>
                <w:sdtPr>
                  <w:alias w:val="Pavadinimas"/>
                  <w:tag w:val="title_ca07bd3632ba4af4844de4a9d696f495"/>
                  <w:lock w:val="sdtLocked"/>
                  <w:richText/>
                </w:sdtPr>
                <w:sdtContent>
                  <w:r>
                    <w:rPr>
                      <w:rFonts w:ascii="TimesLT" w:hAnsi="TimesLT"/>
                      <w:b/>
                      <w:bCs/>
                      <w:szCs w:val="24"/>
                    </w:rPr>
                    <w:t xml:space="preserve">Įstatymo įsigaliojimas </w:t>
                  </w:r>
                </w:sdtContent>
              </w:sdt>
            </w:p>
            <w:sdt>
              <w:sdtPr>
                <w:alias w:val="5 str. 1 d."/>
                <w:tag w:val="part_9ab41f37a92a47f89a407aa1336e07d9"/>
                <w:lock w:val="sdtLocked"/>
                <w:richText/>
              </w:sdtPr>
              <w:sdtContent>
                <w:p>
                  <w:pPr>
                    <w:tabs>
                      <w:tab w:val="left" w:pos="720"/>
                    </w:tabs>
                    <w:ind w:firstLine="720"/>
                    <w:rPr>
                      <w:rFonts w:ascii="TimesLT" w:hAnsi="TimesLT"/>
                      <w:szCs w:val="24"/>
                    </w:rPr>
                  </w:pPr>
                  <w:r>
                    <w:rPr>
                      <w:rFonts w:ascii="TimesLT" w:hAnsi="TimesLT"/>
                      <w:szCs w:val="24"/>
                    </w:rPr>
                    <w:t xml:space="preserve">Šis įstatymas įsigalioja </w:t>
                  </w:r>
                  <w:r>
                    <w:rPr>
                      <w:color w:val="000000"/>
                      <w:szCs w:val="22"/>
                    </w:rPr>
                    <w:t>2017 m. sausio 1 d.</w:t>
                  </w:r>
                </w:p>
                <w:p>
                  <w:pPr>
                    <w:ind w:firstLine="720"/>
                    <w:jc w:val="both"/>
                    <w:rPr>
                      <w:szCs w:val="24"/>
                    </w:rPr>
                  </w:pPr>
                </w:p>
                <w:p>
                  <w:pPr>
                    <w:ind w:firstLine="720"/>
                    <w:jc w:val="both"/>
                    <w:rPr>
                      <w:szCs w:val="24"/>
                    </w:rPr>
                  </w:pPr>
                </w:p>
              </w:sdtContent>
            </w:sdt>
          </w:sdtContent>
        </w:sdt>
        <w:sdt>
          <w:sdtPr>
            <w:alias w:val="signatura"/>
            <w:tag w:val="part_c4f1ee354ff0434194b1e840959f27a2"/>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rFonts w:ascii="Calibri" w:eastAsia="Calibri" w:hAnsi="Calibri"/>
                  <w:sz w:val="22"/>
                  <w:szCs w:val="22"/>
                </w:rPr>
              </w:pPr>
              <w:r>
                <w:rPr>
                  <w:szCs w:val="24"/>
                </w:rPr>
                <w:t>Respublikos Prezidentas</w:t>
              </w:r>
            </w:p>
          </w:sdtContent>
        </w:sdt>
      </w:sdtContent>
    </w:sdt>
    <w:sectPr>
      <w:pgSz w:w="11906" w:h="16838"/>
      <w:pgMar w:top="85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42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392653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56027fcf2d48eb9f5231b7423bb966" PartId="9b3fe712d98049c5920bc5555456638b">
    <Part Type="straipsnis" Nr="1" Abbr="1 str." Title="3 straipsnio pakeitimas" DocPartId="c83a08c6365b4f8ebc7510fae3c66f19" PartId="524b946e620746caa79d362afa9b9930">
      <Part Type="strDalis" Nr="1" Abbr="1 str. 1 d." DocPartId="70de223cb0b043ccbf30b4915644a96c" PartId="d69ba7cab58547b5a97c5ad19368eaf5">
        <Part Type="citata" DocPartId="35fbce313be34437b547b166b6e64c62" PartId="51b6deeb02fe46e0b485510ba61b57d9">
          <Part Type="strDalis" Nr="1" Abbr="1 d." DocPartId="776f639e92824a20be2c72e7de750723" PartId="081425ea4e684f77a4501fcc13167540"/>
        </Part>
      </Part>
    </Part>
    <Part Type="straipsnis" Nr="2" Abbr="2 str." Title="4 straipsnio pakeitimas" DocPartId="b3acebb39b3443238bcbacd0249d1a22" PartId="59129462eaa546f38de77c4516baeeb7">
      <Part Type="strDalis" Nr="1" Abbr="2 str. 1 d." DocPartId="2de7bff85d4744e2a8f6585f0c7920eb" PartId="24e7965f97194c30930fc50af29b9b0e">
        <Part Type="citata" DocPartId="b0683f6e36dc42dc91a6a6277b93f6ae" PartId="2e703e19247b4ea4b1c49f422f3298b9">
          <Part Type="strDalis" Nr="3" Abbr="3 d." DocPartId="a5605fc978234a7f9adf3987e14b5fbd" PartId="920f5309fe7c4ef885e2a4d4eea5bdf1"/>
        </Part>
      </Part>
    </Part>
    <Part Type="straipsnis" Nr="3" Abbr="3 str." Title="5 straipsnio pakeitimas" DocPartId="441f67c61a4742ef8fa1640b945b6ac3" PartId="22d22e179bd8417d9b21141fa62fd731">
      <Part Type="strDalis" Nr="1" Abbr="3 str. 1 d." DocPartId="6b45dcacf1514f3488a7cbc3cd522ce1" PartId="9b0bc2d0c6a74022a380802eda1b093f">
        <Part Type="citata" DocPartId="0092529b3a3e401f831c2a63559e9b22" PartId="a57517227b754c649826058978983e47">
          <Part Type="strDalis" Nr="1" Abbr="1 d." DocPartId="e2e1726c411142d3a69b37cbf2e0232e" PartId="b7449f73c18f44d5bbd31bb3ea458bc0"/>
        </Part>
      </Part>
    </Part>
    <Part Type="straipsnis" Nr="4" Abbr="4 str." Title="6 straipsnio pakeitimas" DocPartId="bec73c068f1748acb598433f661401f5" PartId="e01fcdcb858f4ace8130bc28c2b000f8">
      <Part Type="strDalis" Nr="1" Abbr="4 str. 1 d." DocPartId="e39f4847deac482fa4cad5a1a6dc2d11" PartId="5181b7d380334e5786492f8c73acf31e">
        <Part Type="citata" DocPartId="a0774a9721874aa6b5a562805583daf0" PartId="43174244d96c418e9eb742ece7602391">
          <Part Type="straipsnis" Nr="6" Abbr="6 str." Title="Socialinio draudimo ir kaupiamųjų pensijų išmokų santykis" DocPartId="f52a4a704a744d519af2df249b362464" PartId="71a4f65124f143909a5a55ff876a699c">
            <Part Type="strDalis" Nr="1" Abbr="6 str. 1 d." DocPartId="3e8a48d9841d4687bbaaeb852c8a2ef4" PartId="a663550c1a764f66ba57ba68d02d0e74"/>
            <Part Type="strDalis" Nr="2" Abbr="6 str. 2 d." DocPartId="ccf0d50216be4b719149c164e7737355" PartId="432e15caeb67422c9cd87f73ffcff84f"/>
          </Part>
        </Part>
      </Part>
    </Part>
    <Part Type="straipsnis" Nr="5" Abbr="5 str." Title="Įstatymo įsigaliojimas" DocPartId="f4a6347a43ea4525a136d31fe4106ecf" PartId="ca07bd3632ba4af4844de4a9d696f495">
      <Part Type="strDalis" Nr="1" Abbr="5 str. 1 d." DocPartId="e1ac890f604f437aac0f6299f328e98c" PartId="9ab41f37a92a47f89a407aa1336e07d9"/>
    </Part>
    <Part Type="signatura" DocPartId="480842385cd8445a90c144c78cfd1a41" PartId="c4f1ee354ff0434194b1e840959f27a2"/>
  </Part>
</Parts>
</file>

<file path=customXml/itemProps1.xml><?xml version="1.0" encoding="utf-8"?>
<ds:datastoreItem xmlns:ds="http://schemas.openxmlformats.org/officeDocument/2006/customXml" ds:itemID="{D0529C59-1ABF-40FF-9A4A-F2BA5BB57F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356</Words>
  <Characters>2344</Characters>
  <Application>Microsoft Office Word</Application>
  <DocSecurity>4</DocSecurity>
  <Lines>54</Lines>
  <Paragraphs>29</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2671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2015-06-12T14:24:00Z</dcterms:created>
  <dc:creator>Aušra Kanclerienė</dc:creator>
  <lastModifiedBy>CLUSadmin</lastModifiedBy>
  <dcterms:modified xsi:type="dcterms:W3CDTF">2015-06-12T14:24:00Z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1232893380</vt:i4>
  </property>
  <property fmtid="{D5CDD505-2E9C-101B-9397-08002B2CF9AE}" pid="3" name="_NewReviewCycle">
    <vt:lpwstr/>
  </property>
  <property fmtid="{D5CDD505-2E9C-101B-9397-08002B2CF9AE}" pid="4" name="_EmailSubject">
    <vt:lpwstr>GALUTINIS PATAISYTAS PENSIJŲ ĮSTATYMAS IR ATITIKTIES LENTELĖS PASIRAŠYMUI</vt:lpwstr>
  </property>
  <property fmtid="{D5CDD505-2E9C-101B-9397-08002B2CF9AE}" pid="5" name="_AuthorEmail">
    <vt:lpwstr>Inga.Buskute@socmin.lt</vt:lpwstr>
  </property>
  <property fmtid="{D5CDD505-2E9C-101B-9397-08002B2CF9AE}" pid="6" name="_AuthorEmailDisplayName">
    <vt:lpwstr>Inga Buškutė</vt:lpwstr>
  </property>
  <property fmtid="{D5CDD505-2E9C-101B-9397-08002B2CF9AE}" pid="7" name="_ReviewingToolsShownOnce">
    <vt:lpwstr/>
  </property>
</Properties>
</file>