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5459d054af48c5baa98f615d4d0ce5"/>
        <w:lock w:val="sdtLocked"/>
        <w:richText/>
      </w:sdtPr>
      <w:sdtContent>
        <w:p w14:paraId="0D3FE8BE" w14:textId="77777777">
          <w:pPr>
            <w:widowControl w:val="0"/>
            <w:tabs>
              <w:tab w:val="center" w:pos="4986"/>
              <w:tab w:val="right" w:pos="9972"/>
            </w:tabs>
            <w:suppressAutoHyphens/>
            <w:rPr>
              <w:rFonts w:ascii="Thorndale" w:eastAsia="HG Mincho Light J" w:hAnsi="Thorndale" w:hint="eastAsia"/>
              <w:color w:val="000000"/>
              <w:szCs w:val="24"/>
              <w:lang w:eastAsia="lt-LT"/>
            </w:rPr>
          </w:pPr>
        </w:p>
        <w:p w14:paraId="462E9627" w14:textId="2A9923AF">
          <w:pPr>
            <w:widowControl w:val="0"/>
            <w:tabs>
              <w:tab w:val="left" w:pos="0"/>
              <w:tab w:val="center" w:pos="4986"/>
              <w:tab w:val="right" w:pos="9972"/>
            </w:tabs>
            <w:suppressAutoHyphens/>
            <w:jc w:val="right"/>
            <w:rPr>
              <w:rFonts w:ascii="Thorndale" w:eastAsia="HG Mincho Light J" w:hAnsi="Thorndale" w:hint="eastAsia"/>
              <w:b/>
              <w:color w:val="000000"/>
              <w:szCs w:val="24"/>
              <w:lang w:eastAsia="lt-LT"/>
            </w:rPr>
          </w:pPr>
          <w:r>
            <w:rPr>
              <w:rFonts w:ascii="Thorndale" w:eastAsia="HG Mincho Light J" w:hAnsi="Thorndale"/>
              <w:b/>
              <w:color w:val="000000"/>
              <w:szCs w:val="24"/>
              <w:lang w:eastAsia="lt-LT"/>
            </w:rPr>
            <w:tab/>
          </w:r>
          <w:r>
            <w:rPr>
              <w:rFonts w:ascii="Thorndale" w:eastAsia="HG Mincho Light J" w:hAnsi="Thorndale"/>
              <w:b/>
              <w:szCs w:val="24"/>
              <w:lang w:eastAsia="lt-LT"/>
            </w:rPr>
            <w:t>Projektas</w:t>
          </w:r>
        </w:p>
        <w:p w14:paraId="462E9628" w14:textId="77777777">
          <w:pPr>
            <w:widowControl w:val="0"/>
            <w:suppressAutoHyphens/>
            <w:rPr>
              <w:rFonts w:ascii="Thorndale" w:eastAsia="HG Mincho Light J" w:hAnsi="Thorndale" w:hint="eastAsia"/>
              <w:color w:val="000000"/>
              <w:szCs w:val="24"/>
              <w:lang w:eastAsia="lt-LT"/>
            </w:rPr>
          </w:pPr>
        </w:p>
        <w:p w14:paraId="462E962A"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ŠIAULIŲ MIESTO SAVIVALDYBĖS TARYBA</w:t>
          </w:r>
        </w:p>
        <w:p w14:paraId="462E962B" w14:textId="77777777">
          <w:pPr>
            <w:widowControl w:val="0"/>
            <w:suppressAutoHyphens/>
            <w:jc w:val="center"/>
            <w:rPr>
              <w:rFonts w:eastAsia="HG Mincho Light J"/>
              <w:b/>
              <w:color w:val="000000"/>
              <w:szCs w:val="24"/>
              <w:lang w:eastAsia="lt-LT"/>
            </w:rPr>
          </w:pPr>
        </w:p>
        <w:p w14:paraId="462E962C"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462E962D" w14:textId="31E59988">
          <w:pPr>
            <w:widowControl w:val="0"/>
            <w:suppressAutoHyphens/>
            <w:jc w:val="center"/>
            <w:rPr>
              <w:rFonts w:eastAsia="HG Mincho Light J"/>
              <w:color w:val="000000"/>
              <w:szCs w:val="24"/>
              <w:lang w:eastAsia="lt-LT"/>
            </w:rPr>
          </w:pPr>
          <w:r>
            <w:rPr>
              <w:rFonts w:ascii="Thorndale" w:eastAsia="HG Mincho Light J" w:hAnsi="Thorndale"/>
              <w:b/>
              <w:color w:val="000000"/>
              <w:szCs w:val="24"/>
              <w:lang w:eastAsia="lt-LT"/>
            </w:rPr>
            <w:t>DĖL ŠIAULIŲ MIESTO SAVIVALDYBĖS TARYBOS 2022 M. BALANDŽIO 7 D. SPRENDIMO NR. T-130 „DĖL VAŽIAVIMO VIETINIO (MIESTO) REGULIARAUS SUSISIEKIMO AUTOBUSŲ MARŠRUTAIS ŠIAULIŲ MIESTO SAVIVALDYBĖJE LENGVATOS KARO PABĖGĖLIAMS IŠ UKRAINOS“ PAKEITIMO</w:t>
          </w:r>
        </w:p>
        <w:p w14:paraId="7FC19ED7" w14:textId="77777777">
          <w:pPr>
            <w:widowControl w:val="0"/>
            <w:suppressAutoHyphens/>
            <w:jc w:val="center"/>
            <w:rPr>
              <w:rFonts w:eastAsia="HG Mincho Light J"/>
              <w:color w:val="000000"/>
              <w:szCs w:val="24"/>
              <w:lang w:eastAsia="lt-LT"/>
            </w:rPr>
          </w:pPr>
        </w:p>
        <w:p w14:paraId="462E962E" w14:textId="3AA65840">
          <w:pPr>
            <w:widowControl w:val="0"/>
            <w:suppressAutoHyphens/>
            <w:jc w:val="center"/>
            <w:rPr>
              <w:rFonts w:eastAsia="HG Mincho Light J"/>
              <w:color w:val="000000"/>
              <w:szCs w:val="24"/>
              <w:lang w:eastAsia="lt-LT"/>
            </w:rPr>
          </w:pPr>
          <w:r>
            <w:rPr>
              <w:rFonts w:eastAsia="HG Mincho Light J"/>
              <w:color w:val="000000"/>
              <w:szCs w:val="24"/>
              <w:lang w:eastAsia="lt-LT"/>
            </w:rPr>
            <w:t xml:space="preserve">2024 m.                                      d. Nr.</w:t>
          </w:r>
        </w:p>
        <w:p w14:paraId="462E962F" w14:textId="77777777">
          <w:pPr>
            <w:widowControl w:val="0"/>
            <w:suppressAutoHyphens/>
            <w:jc w:val="center"/>
            <w:rPr>
              <w:rFonts w:eastAsia="HG Mincho Light J"/>
              <w:color w:val="000000"/>
              <w:szCs w:val="24"/>
              <w:lang w:eastAsia="lt-LT"/>
            </w:rPr>
          </w:pPr>
          <w:r>
            <w:rPr>
              <w:rFonts w:eastAsia="HG Mincho Light J"/>
              <w:color w:val="000000"/>
              <w:szCs w:val="24"/>
              <w:lang w:eastAsia="lt-LT"/>
            </w:rPr>
            <w:t>Šiauliai</w:t>
          </w:r>
        </w:p>
        <w:p w14:paraId="462E9630" w14:textId="77777777">
          <w:pPr>
            <w:widowControl w:val="0"/>
            <w:suppressAutoHyphens/>
            <w:rPr>
              <w:rFonts w:eastAsia="HG Mincho Light J"/>
              <w:color w:val="000000"/>
              <w:szCs w:val="24"/>
              <w:lang w:eastAsia="lt-LT"/>
            </w:rPr>
          </w:pPr>
        </w:p>
        <w:p w14:paraId="462E9631" w14:textId="77777777">
          <w:pPr>
            <w:widowControl w:val="0"/>
            <w:suppressAutoHyphens/>
            <w:rPr>
              <w:rFonts w:eastAsia="HG Mincho Light J"/>
              <w:color w:val="000000"/>
              <w:szCs w:val="24"/>
              <w:lang w:eastAsia="lt-LT"/>
            </w:rPr>
          </w:pPr>
        </w:p>
        <w:sdt>
          <w:sdtPr>
            <w:alias w:val="preambule"/>
            <w:tag w:val="part_fc2e15f95d604d22b9bd4a50315f1520"/>
            <w:lock w:val="sdtLocked"/>
            <w:richText/>
          </w:sdtPr>
          <w:sdtContent>
            <w:p w14:paraId="462E9632" w14:textId="333A1F9A">
              <w:pPr>
                <w:widowControl w:val="0"/>
                <w:ind w:firstLine="680"/>
                <w:jc w:val="both"/>
                <w:rPr>
                  <w:rFonts w:eastAsia="HG Mincho Light J"/>
                  <w:color w:val="000000"/>
                  <w:szCs w:val="24"/>
                  <w:lang w:eastAsia="lt-LT"/>
                </w:rPr>
              </w:pPr>
              <w:r>
                <w:rPr>
                  <w:rFonts w:eastAsia="HG Mincho Light J"/>
                  <w:color w:val="000000"/>
                  <w:szCs w:val="24"/>
                  <w:lang w:eastAsia="lt-LT"/>
                </w:rPr>
                <w:t xml:space="preserve">Vadovaudamasi </w:t>
              </w:r>
              <w:r>
                <w:rPr>
                  <w:rFonts w:eastAsia="HG Mincho Light J"/>
                  <w:color w:val="000000"/>
                  <w:szCs w:val="24"/>
                  <w:lang w:eastAsia="ar-SA"/>
                </w:rPr>
                <w:t>Lietuvos Respublikos vietos savivaldos įstatymo 6 straipsnio 33 punktu, 15 straipsnio 2 dalies 29 punktu, Lietuvos Respublikos kelių transporto kodekso 16 straipsnio 2 dalimi ir Lietuvos Respublikos transporto lengvatų įstatymo 5 straipsnio 8 dalimi, siekdama suteikti pagalbą asmenims, pasitraukusiems iš Ukrainos dėl Rusijos Federacijos karinių veiksmų ir gyvenantiems Šiaulių miesto savivaldybėje (toliau – karo pabėgėliai)</w:t>
              </w:r>
              <w:r>
                <w:rPr>
                  <w:rFonts w:eastAsia="HG Mincho Light J"/>
                  <w:color w:val="000000"/>
                  <w:szCs w:val="24"/>
                  <w:lang w:eastAsia="lt-LT"/>
                </w:rPr>
                <w:t xml:space="preserve">, Šiaulių miesto savivaldybės taryba </w:t>
              </w:r>
              <w:r>
                <w:rPr>
                  <w:rFonts w:eastAsia="HG Mincho Light J"/>
                  <w:color w:val="000000"/>
                  <w:spacing w:val="40"/>
                  <w:szCs w:val="24"/>
                  <w:lang w:eastAsia="lt-LT"/>
                </w:rPr>
                <w:t>nusprendžia</w:t>
              </w:r>
              <w:r>
                <w:rPr>
                  <w:rFonts w:eastAsia="HG Mincho Light J"/>
                  <w:color w:val="000000"/>
                  <w:szCs w:val="24"/>
                  <w:lang w:eastAsia="lt-LT"/>
                </w:rPr>
                <w:t>:</w:t>
              </w:r>
            </w:p>
          </w:sdtContent>
        </w:sdt>
        <w:sdt>
          <w:sdtPr>
            <w:alias w:val="pastraipa"/>
            <w:tag w:val="part_3f8e48a6fe2149eab199b93e5a63c3af"/>
            <w:lock w:val="sdtLocked"/>
            <w:richText/>
          </w:sdtPr>
          <w:sdtContent>
            <w:p w14:paraId="462E9633" w14:textId="11F5ACDA">
              <w:pPr>
                <w:widowControl w:val="0"/>
                <w:ind w:firstLine="680"/>
                <w:jc w:val="both"/>
                <w:rPr>
                  <w:rFonts w:eastAsia="HG Mincho Light J"/>
                  <w:color w:val="000000"/>
                  <w:szCs w:val="24"/>
                  <w:lang w:eastAsia="lt-LT"/>
                </w:rPr>
              </w:pPr>
              <w:r>
                <w:rPr>
                  <w:rFonts w:eastAsia="HG Mincho Light J"/>
                  <w:color w:val="000000"/>
                  <w:szCs w:val="24"/>
                  <w:lang w:eastAsia="lt-LT"/>
                </w:rPr>
                <w:t>Pakeisti Šiaulių miesto savivaldybės tarybos 2022 m. balandžio 7 d. sprendimą Nr. T-130 „Dėl važiavimo vietinio (miesto) reguliaraus susisiekimo autobusų maršrutais Šiaulių miesto savivaldybėje lengvatos karo pabėgėliams iš Ukrainos“:</w:t>
              </w:r>
            </w:p>
          </w:sdtContent>
        </w:sdt>
        <w:sdt>
          <w:sdtPr>
            <w:alias w:val="1 p."/>
            <w:tag w:val="part_8a5aa99294ad40cba9a672b5dc34f884"/>
            <w:lock w:val="sdtLocked"/>
            <w:richText/>
          </w:sdtPr>
          <w:sdtContent>
            <w:p w14:paraId="462E9636" w14:textId="693B7F8D">
              <w:pPr>
                <w:widowControl w:val="0"/>
                <w:tabs>
                  <w:tab w:val="left" w:pos="993"/>
                </w:tabs>
                <w:ind w:firstLine="680"/>
                <w:jc w:val="both"/>
                <w:rPr>
                  <w:rFonts w:ascii="Thorndale" w:eastAsia="HG Mincho Light J" w:hAnsi="Thorndale" w:hint="eastAsia"/>
                  <w:color w:val="000000"/>
                  <w:szCs w:val="24"/>
                  <w:shd w:val="clear" w:color="auto" w:fill="FFFFFF"/>
                  <w:lang w:eastAsia="lt-LT"/>
                </w:rPr>
              </w:pPr>
              <w:sdt>
                <w:sdtPr>
                  <w:alias w:val="Numeris"/>
                  <w:tag w:val="nr_8a5aa99294ad40cba9a672b5dc34f884"/>
                  <w:lock w:val="sdtLocked"/>
                  <w:richText/>
                </w:sdtPr>
                <w:sdtContent>
                  <w:r>
                    <w:rPr>
                      <w:color w:val="000000"/>
                      <w:lang w:eastAsia="ar-SA"/>
                    </w:rPr>
                    <w:t>1</w:t>
                  </w:r>
                </w:sdtContent>
              </w:sdt>
              <w:r>
                <w:rPr>
                  <w:color w:val="000000"/>
                  <w:lang w:eastAsia="ar-SA"/>
                </w:rPr>
                <w:t>.</w:t>
                <w:tab/>
              </w:r>
              <w:r>
                <w:rPr>
                  <w:rFonts w:ascii="Thorndale" w:eastAsia="HG Mincho Light J" w:hAnsi="Thorndale"/>
                  <w:color w:val="000000"/>
                  <w:szCs w:val="24"/>
                  <w:shd w:val="clear" w:color="auto" w:fill="FFFFFF"/>
                  <w:lang w:eastAsia="lt-LT"/>
                </w:rPr>
                <w:t>Pakeisti preambulę ir ją išdėstyti taip:</w:t>
              </w:r>
            </w:p>
            <w:sdt>
              <w:sdtPr>
                <w:alias w:val="citata"/>
                <w:tag w:val="part_6c9c18fa64f7416d81db6ebfaefaa5ec"/>
                <w:lock w:val="sdtLocked"/>
                <w:richText/>
              </w:sdtPr>
              <w:sdtContent>
                <w:sdt>
                  <w:sdtPr>
                    <w:alias w:val="pastraipa"/>
                    <w:tag w:val="part_afdb233eabab4ede93d62fae4d2b8aae"/>
                    <w:lock w:val="sdtLocked"/>
                    <w:richText/>
                  </w:sdtPr>
                  <w:sdtContent>
                    <w:p w14:paraId="462E9637" w14:textId="708987BA">
                      <w:pPr>
                        <w:widowControl w:val="0"/>
                        <w:tabs>
                          <w:tab w:val="left" w:pos="993"/>
                        </w:tabs>
                        <w:suppressAutoHyphens/>
                        <w:ind w:firstLine="680"/>
                        <w:jc w:val="both"/>
                        <w:rPr>
                          <w:rFonts w:eastAsia="HG Mincho Light J"/>
                          <w:color w:val="000000"/>
                          <w:szCs w:val="24"/>
                          <w:lang w:eastAsia="ar-SA"/>
                        </w:rPr>
                      </w:pPr>
                      <w:r>
                        <w:rPr>
                          <w:rFonts w:eastAsia="HG Mincho Light J"/>
                          <w:color w:val="000000"/>
                          <w:szCs w:val="24"/>
                          <w:shd w:val="clear" w:color="auto" w:fill="FFFFFF"/>
                          <w:lang w:eastAsia="lt-LT"/>
                        </w:rPr>
                        <w:t>„</w:t>
                      </w:r>
                      <w:r>
                        <w:rPr>
                          <w:rFonts w:eastAsia="HG Mincho Light J"/>
                          <w:color w:val="000000"/>
                          <w:szCs w:val="24"/>
                          <w:lang w:eastAsia="ar-SA"/>
                        </w:rPr>
                        <w:t xml:space="preserve">Vadovaudamasi Lietuvos Respublikos vietos savivaldos įstatymo 6 straipsnio 33 punktu, 15 straipsnio 2 dalies 29 punktu, Lietuvos Respublikos kelių transporto kodekso 16 straipsnio 2 dalimi ir Lietuvos Respublikos transporto lengvatų įstatymo 5 straipsnio 8 dalimi, siekdama suteikti pagalbą asmenims, pasitraukusiems iš Ukrainos dėl Rusijos Federacijos karinių veiksmų ir gyvenantiems Šiaulių miesto savivaldybėje (toliau – karo pabėgėliai), Šiaulių miesto savivaldybės taryba </w:t>
                      </w:r>
                      <w:r>
                        <w:rPr>
                          <w:rFonts w:eastAsia="HG Mincho Light J"/>
                          <w:color w:val="000000"/>
                          <w:spacing w:val="40"/>
                          <w:szCs w:val="24"/>
                          <w:lang w:eastAsia="ar-SA"/>
                        </w:rPr>
                        <w:t>nusprendžia</w:t>
                      </w:r>
                      <w:r>
                        <w:rPr>
                          <w:rFonts w:eastAsia="HG Mincho Light J"/>
                          <w:color w:val="000000"/>
                          <w:szCs w:val="24"/>
                          <w:lang w:eastAsia="ar-SA"/>
                        </w:rPr>
                        <w:t>:</w:t>
                      </w:r>
                      <w:r>
                        <w:rPr>
                          <w:rFonts w:eastAsia="HG Mincho Light J"/>
                          <w:color w:val="000000"/>
                          <w:szCs w:val="24"/>
                          <w:lang w:eastAsia="lt-LT"/>
                        </w:rPr>
                        <w:t>“.</w:t>
                      </w:r>
                    </w:p>
                  </w:sdtContent>
                </w:sdt>
              </w:sdtContent>
            </w:sdt>
          </w:sdtContent>
        </w:sdt>
        <w:sdt>
          <w:sdtPr>
            <w:alias w:val="2 p."/>
            <w:tag w:val="part_0aefb2fbb6db41e08c18d89ca8697725"/>
            <w:lock w:val="sdtLocked"/>
            <w:richText/>
          </w:sdtPr>
          <w:sdtContent>
            <w:p w14:paraId="462E9638" w14:textId="259B44F6">
              <w:pPr>
                <w:widowControl w:val="0"/>
                <w:tabs>
                  <w:tab w:val="left" w:pos="993"/>
                </w:tabs>
                <w:ind w:firstLine="680"/>
                <w:jc w:val="both"/>
                <w:rPr>
                  <w:rFonts w:ascii="Thorndale" w:eastAsia="HG Mincho Light J" w:hAnsi="Thorndale" w:hint="eastAsia"/>
                  <w:color w:val="000000"/>
                  <w:szCs w:val="24"/>
                  <w:shd w:val="clear" w:color="auto" w:fill="FFFFFF"/>
                  <w:lang w:eastAsia="lt-LT"/>
                </w:rPr>
              </w:pPr>
              <w:sdt>
                <w:sdtPr>
                  <w:alias w:val="Numeris"/>
                  <w:tag w:val="nr_0aefb2fbb6db41e08c18d89ca8697725"/>
                  <w:lock w:val="sdtLocked"/>
                  <w:richText/>
                </w:sdtPr>
                <w:sdtContent>
                  <w:r>
                    <w:rPr>
                      <w:color w:val="000000"/>
                      <w:lang w:eastAsia="ar-SA"/>
                    </w:rPr>
                    <w:t>2</w:t>
                  </w:r>
                </w:sdtContent>
              </w:sdt>
              <w:r>
                <w:rPr>
                  <w:color w:val="000000"/>
                  <w:lang w:eastAsia="ar-SA"/>
                </w:rPr>
                <w:t>.</w:t>
                <w:tab/>
              </w:r>
              <w:r>
                <w:rPr>
                  <w:rFonts w:ascii="Thorndale" w:eastAsia="HG Mincho Light J" w:hAnsi="Thorndale"/>
                  <w:color w:val="000000"/>
                  <w:szCs w:val="24"/>
                  <w:shd w:val="clear" w:color="auto" w:fill="FFFFFF"/>
                  <w:lang w:eastAsia="lt-LT"/>
                </w:rPr>
                <w:t>Pakeisti 7 punktą ir jį išdėstyti taip:</w:t>
              </w:r>
            </w:p>
            <w:sdt>
              <w:sdtPr>
                <w:alias w:val="citata"/>
                <w:tag w:val="part_cf12922e88a943d0bfc86d3542f4650d"/>
                <w:lock w:val="sdtLocked"/>
                <w:richText/>
              </w:sdtPr>
              <w:sdtContent>
                <w:sdt>
                  <w:sdtPr>
                    <w:alias w:val="7 p."/>
                    <w:tag w:val="part_798bfaada2684010b547d070e8951d53"/>
                    <w:lock w:val="sdtLocked"/>
                    <w:richText/>
                  </w:sdtPr>
                  <w:sdtContent>
                    <w:p w14:paraId="462E9639" w14:textId="0135344C">
                      <w:pPr>
                        <w:widowControl w:val="0"/>
                        <w:tabs>
                          <w:tab w:val="left" w:pos="993"/>
                        </w:tabs>
                        <w:suppressAutoHyphens/>
                        <w:ind w:firstLine="680"/>
                        <w:jc w:val="both"/>
                        <w:rPr>
                          <w:rFonts w:eastAsia="HG Mincho Light J"/>
                          <w:color w:val="000000"/>
                          <w:szCs w:val="24"/>
                          <w:shd w:val="clear" w:color="auto" w:fill="FFFFFF"/>
                          <w:lang w:eastAsia="lt-LT"/>
                        </w:rPr>
                      </w:pPr>
                      <w:r>
                        <w:rPr>
                          <w:rFonts w:eastAsia="HG Mincho Light J"/>
                          <w:color w:val="000000"/>
                          <w:szCs w:val="24"/>
                          <w:shd w:val="clear" w:color="auto" w:fill="FFFFFF"/>
                          <w:lang w:eastAsia="lt-LT"/>
                        </w:rPr>
                        <w:t>„</w:t>
                      </w:r>
                      <w:sdt>
                        <w:sdtPr>
                          <w:alias w:val="Numeris"/>
                          <w:tag w:val="nr_798bfaada2684010b547d070e8951d53"/>
                          <w:lock w:val="sdtLocked"/>
                          <w:richText/>
                        </w:sdtPr>
                        <w:sdtContent>
                          <w:r>
                            <w:rPr>
                              <w:rFonts w:eastAsia="HG Mincho Light J"/>
                              <w:color w:val="000000"/>
                              <w:szCs w:val="24"/>
                              <w:shd w:val="clear" w:color="auto" w:fill="FFFFFF"/>
                              <w:lang w:eastAsia="lt-LT"/>
                            </w:rPr>
                            <w:t>7</w:t>
                          </w:r>
                        </w:sdtContent>
                      </w:sdt>
                      <w:r>
                        <w:rPr>
                          <w:rFonts w:eastAsia="HG Mincho Light J"/>
                          <w:color w:val="000000"/>
                          <w:szCs w:val="24"/>
                          <w:shd w:val="clear" w:color="auto" w:fill="FFFFFF"/>
                          <w:lang w:eastAsia="lt-LT"/>
                        </w:rPr>
                        <w:t>. Vežėjui išlaidos kompensuojamos pagal faktinį karo pabėgėlių kelionių skaičių, bet suma negali viršyti daugiau kaip 44 (keturiasdešimt keturių) važiavimų per vieną mėnesį miesto autobusais kainos, apytiksliai atitinkančios vieno kalendorinio mėnesio terminuoto elektroninio bilieto kainą. Už vieną keleivio (karo pabėgėlio) važiavimą vežėjui mokama 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w:t>
                      </w:r>
                      <w:r>
                        <w:rPr>
                          <w:rFonts w:eastAsia="HG Mincho Light J"/>
                          <w:color w:val="000000"/>
                          <w:szCs w:val="24"/>
                          <w:lang w:eastAsia="lt-LT"/>
                        </w:rPr>
                        <w:t>“</w:t>
                      </w:r>
                    </w:p>
                  </w:sdtContent>
                </w:sdt>
              </w:sdtContent>
            </w:sdt>
          </w:sdtContent>
        </w:sdt>
        <w:sdt>
          <w:sdtPr>
            <w:alias w:val="3 p."/>
            <w:tag w:val="part_ed6e4af128044bb89535a60e78c3cdae"/>
            <w:lock w:val="sdtLocked"/>
            <w:richText/>
          </w:sdtPr>
          <w:sdtContent>
            <w:p w14:paraId="462E9640" w14:textId="5857F6DF">
              <w:pPr>
                <w:widowControl w:val="0"/>
                <w:tabs>
                  <w:tab w:val="left" w:pos="993"/>
                </w:tabs>
                <w:ind w:firstLine="680"/>
                <w:jc w:val="both"/>
                <w:rPr>
                  <w:rFonts w:ascii="Thorndale" w:eastAsia="HG Mincho Light J" w:hAnsi="Thorndale" w:hint="eastAsia"/>
                  <w:color w:val="000000"/>
                  <w:szCs w:val="24"/>
                  <w:lang w:eastAsia="lt-LT"/>
                </w:rPr>
              </w:pPr>
              <w:sdt>
                <w:sdtPr>
                  <w:alias w:val="Numeris"/>
                  <w:tag w:val="nr_ed6e4af128044bb89535a60e78c3cdae"/>
                  <w:lock w:val="sdtLocked"/>
                  <w:richText/>
                </w:sdtPr>
                <w:sdtContent>
                  <w:r>
                    <w:rPr>
                      <w:lang w:eastAsia="ar-SA"/>
                    </w:rPr>
                    <w:t>3</w:t>
                  </w:r>
                </w:sdtContent>
              </w:sdt>
              <w:r>
                <w:rPr>
                  <w:lang w:eastAsia="ar-SA"/>
                </w:rPr>
                <w:t>.</w:t>
                <w:tab/>
              </w:r>
              <w:r>
                <w:rPr>
                  <w:rFonts w:ascii="Thorndale" w:eastAsia="HG Mincho Light J" w:hAnsi="Thorndale"/>
                  <w:color w:val="000000"/>
                  <w:szCs w:val="24"/>
                  <w:shd w:val="clear" w:color="auto" w:fill="FFFFFF"/>
                  <w:lang w:eastAsia="lt-LT"/>
                </w:rPr>
                <w:t>Nustatyti, kad šis sprendimas įsigalioja 2025 m. sausio 1 d.</w:t>
              </w:r>
            </w:p>
            <w:p w14:paraId="462E9641" w14:textId="6284BC6E">
              <w:pPr>
                <w:widowControl w:val="0"/>
                <w:tabs>
                  <w:tab w:val="right" w:pos="9570"/>
                </w:tabs>
                <w:suppressAutoHyphens/>
                <w:jc w:val="both"/>
                <w:rPr>
                  <w:rFonts w:eastAsia="HG Mincho Light J"/>
                  <w:color w:val="000000"/>
                  <w:szCs w:val="24"/>
                  <w:lang w:eastAsia="lt-LT"/>
                </w:rPr>
              </w:pPr>
            </w:p>
            <w:p w14:paraId="193DA998" w14:textId="77777777">
              <w:pPr>
                <w:widowControl w:val="0"/>
                <w:tabs>
                  <w:tab w:val="right" w:pos="9570"/>
                </w:tabs>
                <w:suppressAutoHyphens/>
                <w:jc w:val="both"/>
                <w:rPr>
                  <w:rFonts w:eastAsia="HG Mincho Light J"/>
                  <w:color w:val="000000"/>
                  <w:szCs w:val="24"/>
                  <w:lang w:eastAsia="lt-LT"/>
                </w:rPr>
              </w:pPr>
            </w:p>
          </w:sdtContent>
        </w:sdt>
        <w:sdt>
          <w:sdtPr>
            <w:alias w:val="signatura"/>
            <w:tag w:val="part_2bbb7cee1d724e61a923ec456feef9ea"/>
            <w:lock w:val="sdtLocked"/>
            <w:richText/>
          </w:sdtPr>
          <w:sdtContent>
            <w:p w14:paraId="462E9642" w14:textId="77777777">
              <w:pPr>
                <w:widowControl w:val="0"/>
                <w:tabs>
                  <w:tab w:val="right" w:pos="9570"/>
                </w:tabs>
                <w:suppressAutoHyphens/>
                <w:jc w:val="both"/>
                <w:rPr>
                  <w:rFonts w:eastAsia="HG Mincho Light J"/>
                  <w:color w:val="000000"/>
                  <w:szCs w:val="24"/>
                  <w:lang w:eastAsia="lt-LT"/>
                </w:rPr>
              </w:pPr>
              <w:r>
                <w:rPr>
                  <w:rFonts w:eastAsia="HG Mincho Light J"/>
                  <w:color w:val="000000"/>
                  <w:szCs w:val="24"/>
                  <w:lang w:eastAsia="lt-LT"/>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numRestart w:val="eachPage"/>
      </w:footnotePr>
      <w:endnotePr>
        <w:numFmt w:val="decimal"/>
      </w:endnotePr>
      <w:pgSz w:w="11906" w:h="16838" w:code="9"/>
      <w:pgMar w:top="1134" w:right="567" w:bottom="1134" w:left="1701" w:header="561" w:footer="69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2D39A"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endnote>
  <w:endnote w:type="continuationSeparator" w:id="0">
    <w:p w14:paraId="756BC889"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default"/>
  </w:font>
  <w:font w:name="HG Mincho Light J">
    <w:altName w:val="Cambria"/>
    <w:charset w:val="00"/>
    <w:family w:val="auto"/>
    <w:pitch w:val="default"/>
    <w:sig w:usb0="00000000" w:usb1="00000000" w:usb2="00000000" w:usb3="00000000" w:csb0="00040001"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8E584" w14:textId="77777777">
    <w:pPr>
      <w:widowControl w:val="0"/>
      <w:tabs>
        <w:tab w:val="center" w:pos="4819"/>
        <w:tab w:val="right" w:pos="9638"/>
      </w:tabs>
      <w:suppressAutoHyphens/>
      <w:rPr>
        <w:rFonts w:ascii="Thorndale" w:eastAsia="HG Mincho Light J" w:hAnsi="Thorndale" w:hint="eastAsia"/>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72B69" w14:textId="77777777">
    <w:pPr>
      <w:widowControl w:val="0"/>
      <w:tabs>
        <w:tab w:val="center" w:pos="4819"/>
        <w:tab w:val="right" w:pos="9638"/>
      </w:tabs>
      <w:suppressAutoHyphens/>
      <w:rPr>
        <w:rFonts w:ascii="Thorndale" w:eastAsia="HG Mincho Light J" w:hAnsi="Thorndale" w:hint="eastAsia"/>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8D5C9" w14:textId="77777777">
    <w:pPr>
      <w:widowControl w:val="0"/>
      <w:tabs>
        <w:tab w:val="center" w:pos="4819"/>
        <w:tab w:val="right" w:pos="9638"/>
      </w:tabs>
      <w:suppressAutoHyphens/>
      <w:rPr>
        <w:rFonts w:ascii="Thorndale" w:eastAsia="HG Mincho Light J" w:hAnsi="Thorndale" w:hint="eastAsia"/>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647149"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footnote>
  <w:footnote w:type="continuationSeparator" w:id="0">
    <w:p w14:paraId="106C8876" w14:textId="77777777">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52CF2" w14:textId="77777777">
    <w:pPr>
      <w:widowControl w:val="0"/>
      <w:tabs>
        <w:tab w:val="center" w:pos="4986"/>
        <w:tab w:val="right" w:pos="9972"/>
      </w:tabs>
      <w:suppressAutoHyphens/>
      <w:rPr>
        <w:rFonts w:ascii="Thorndale" w:eastAsia="HG Mincho Light J" w:hAnsi="Thorndale" w:hint="eastAsia"/>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15625" w14:textId="00C34024">
    <w:pPr>
      <w:widowControl w:val="0"/>
      <w:tabs>
        <w:tab w:val="center" w:pos="4986"/>
        <w:tab w:val="right" w:pos="9972"/>
      </w:tabs>
      <w:suppressAutoHyphens/>
      <w:jc w:val="center"/>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PAGE   \* MERGEFORMAT</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40EEDC27" w14:textId="77777777">
    <w:pPr>
      <w:widowControl w:val="0"/>
      <w:tabs>
        <w:tab w:val="center" w:pos="4986"/>
        <w:tab w:val="right" w:pos="9972"/>
      </w:tabs>
      <w:suppressAutoHyphens/>
      <w:rPr>
        <w:rFonts w:ascii="Thorndale" w:eastAsia="HG Mincho Light J" w:hAnsi="Thorndale" w:hint="eastAsia"/>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64BC6" w14:textId="77777777">
    <w:pPr>
      <w:widowControl w:val="0"/>
      <w:tabs>
        <w:tab w:val="center" w:pos="4986"/>
        <w:tab w:val="right" w:pos="9972"/>
      </w:tabs>
      <w:suppressAutoHyphens/>
      <w:rPr>
        <w:rFonts w:ascii="Thorndale" w:eastAsia="HG Mincho Light J" w:hAnsi="Thorndale" w:hint="eastAsia"/>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2E9627"/>
  <w15:chartTrackingRefBased/>
  <w15:docId w15:val="{222FE4F0-3E9C-4BE6-85C9-83177D2E00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128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5f78e2f84d4e6c9265cc27fa549474" PartId="b55459d054af48c5baa98f615d4d0ce5">
    <Part Type="preambule" DocPartId="ef1b4a7aebd149a9807df087d099968b" PartId="fc2e15f95d604d22b9bd4a50315f1520"/>
    <Part Type="pastraipa" DocPartId="2c92117c52ba4eb7ac38447460eadb25" PartId="3f8e48a6fe2149eab199b93e5a63c3af"/>
    <Part Type="punktas" Nr="1" Abbr="1 p." DocPartId="cef47631719443c2b87bc1e3276be24a" PartId="8a5aa99294ad40cba9a672b5dc34f884">
      <Part Type="citata" DocPartId="3b62ec86e9544736a0871d5a8faa458a" PartId="6c9c18fa64f7416d81db6ebfaefaa5ec">
        <Part Type="pastraipa" DocPartId="3598ad31d1924db9a31ea5866a0aa3e4" PartId="afdb233eabab4ede93d62fae4d2b8aae"/>
      </Part>
    </Part>
    <Part Type="punktas" Nr="2" Abbr="2 p." DocPartId="99bbb4eca4814d729a679e22a30dc194" PartId="0aefb2fbb6db41e08c18d89ca8697725">
      <Part Type="citata" DocPartId="ef2355eb6f124641aea2c61fda32e599" PartId="cf12922e88a943d0bfc86d3542f4650d">
        <Part Type="punktas" Nr="7" Abbr="7 p." DocPartId="07949684910545bb9be74be56aeaf7c3" PartId="798bfaada2684010b547d070e8951d53"/>
      </Part>
    </Part>
    <Part Type="punktas" Nr="3" Abbr="3 p." DocPartId="968b95f174f042c2bfa24baf6691b1fd" PartId="ed6e4af128044bb89535a60e78c3cdae"/>
    <Part Type="signatura" DocPartId="632d9f56cf174e038a7d9aef4bb50350" PartId="2bbb7cee1d724e61a923ec456feef9ea"/>
  </Part>
</Parts>
</file>

<file path=customXml/itemProps1.xml><?xml version="1.0" encoding="utf-8"?>
<ds:datastoreItem xmlns:ds="http://schemas.openxmlformats.org/officeDocument/2006/customXml" ds:itemID="{3F19352D-9E50-40CA-A259-E74FD1544C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299</Words>
  <Characters>2109</Characters>
  <Application>Microsoft Office Word</Application>
  <DocSecurity>4</DocSecurity>
  <Lines>43</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2024-11-28T07:35:00Z</dcterms:created>
  <dc:creator>Violeta Valančienė</dc:creator>
  <lastModifiedBy>adlibuser</lastModifiedBy>
  <dcterms:modified xsi:type="dcterms:W3CDTF">2024-11-28T07:35:00Z</dcterms:modified>
  <revision>2</revision>
</coreProperties>
</file>