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05ff0d5c47154217948150a58bbd12c2"/>
        <w:lock w:val="sdtLocked"/>
        <w:richText/>
      </w:sdtPr>
      <w:sdtContent>
        <w:tbl>
          <w:tblPr>
            <w:tblW w:w="12426" w:type="dxa"/>
            <w:tblLayout w:type="fixed"/>
            <w:tblLook w:val="01E0" w:firstRow="1" w:lastRow="1" w:firstColumn="1" w:lastColumn="1" w:noHBand="0" w:noVBand="0"/>
          </w:tblPr>
          <w:tblGrid>
            <w:gridCol w:w="4968"/>
            <w:gridCol w:w="540"/>
            <w:gridCol w:w="1800"/>
            <w:gridCol w:w="540"/>
            <w:gridCol w:w="2289"/>
            <w:gridCol w:w="2289"/>
          </w:tblGrid>
          <w:tr>
            <w:trPr>
              <w:cantSplit/>
            </w:trPr>
            <w:tc>
              <w:tcPr>
                <w:tcW w:w="4968" w:type="dxa"/>
                <w:vMerge w:val="restart"/>
              </w:tcPr>
              <w:tbl>
                <w:tblPr>
                  <w:tblW w:w="0" w:type="auto"/>
                  <w:jc w:val="center"/>
                  <w:tblLayout w:type="fixed"/>
                  <w:tblLook w:val="0000" w:firstRow="0" w:lastRow="0" w:firstColumn="0" w:lastColumn="0" w:noHBand="0" w:noVBand="0"/>
                </w:tblPr>
                <w:tblGrid>
                  <w:gridCol w:w="9880"/>
                </w:tblGrid>
                <w:tr>
                  <w:trPr>
                    <w:jc w:val="center"/>
                  </w:trPr>
                  <w:tc>
                    <w:tcPr>
                      <w:tcW w:w="9880" w:type="dxa"/>
                    </w:tcPr>
                    <w:p>
                      <w:pPr>
                        <w:jc w:val="center"/>
                        <w:rPr>
                          <w:rFonts w:ascii="Helvetica" w:hAnsi="Helvetica"/>
                          <w:sz w:val="20"/>
                        </w:rPr>
                      </w:pPr>
                      <w:r>
                        <w:rPr>
                          <w:rFonts w:ascii="Helvetica" w:hAnsi="Helvetica"/>
                          <w:sz w:val="20"/>
                          <w:lang w:val="en-US"/>
                        </w:rPr>
                        <w:drawing>
                          <wp:inline distT="0" distB="0" distL="0" distR="0" wp14:anchorId="7A0BD808" wp14:editId="336BA9F3">
                            <wp:extent cx="561975" cy="638175"/>
                            <wp:effectExtent l="0" t="0" r="0" b="0"/>
                            <wp:docPr id="1"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1975" cy="638175"/>
                                    </a:xfrm>
                                    <a:prstGeom prst="rect">
                                      <a:avLst/>
                                    </a:prstGeom>
                                    <a:noFill/>
                                    <a:ln>
                                      <a:noFill/>
                                    </a:ln>
                                  </pic:spPr>
                                </pic:pic>
                              </a:graphicData>
                            </a:graphic>
                          </wp:inline>
                        </w:drawing>
                      </w:r>
                    </w:p>
                  </w:tc>
                </w:tr>
              </w:tbl>
              <w:p>
                <w:pPr>
                  <w:ind w:right="-341"/>
                  <w:rPr>
                    <w:rFonts w:ascii="Helvetica" w:hAnsi="Helvetica"/>
                    <w:sz w:val="16"/>
                    <w:szCs w:val="16"/>
                  </w:rPr>
                </w:pPr>
              </w:p>
              <w:p>
                <w:pPr>
                  <w:jc w:val="center"/>
                  <w:rPr>
                    <w:b/>
                  </w:rPr>
                </w:pPr>
                <w:r>
                  <w:rPr>
                    <w:b/>
                  </w:rPr>
                  <w:t>NARKOTIKŲ, TABAKO IR ALKOHOLIO KONTROLĖS DEPARTAMENTAS</w:t>
                </w:r>
              </w:p>
              <w:p>
                <w:pPr>
                  <w:rPr>
                    <w:sz w:val="16"/>
                  </w:rPr>
                </w:pPr>
              </w:p>
              <w:tbl>
                <w:tblPr>
                  <w:tblW w:w="0" w:type="auto"/>
                  <w:tblInd w:w="108" w:type="dxa"/>
                  <w:tblBorders>
                    <w:bottom w:val="single" w:sz="4" w:space="0" w:color="auto"/>
                  </w:tblBorders>
                  <w:tblLayout w:type="fixed"/>
                  <w:tblLook w:val="0000" w:firstRow="0" w:lastRow="0" w:firstColumn="0" w:lastColumn="0" w:noHBand="0" w:noVBand="0"/>
                </w:tblPr>
                <w:tblGrid>
                  <w:gridCol w:w="9717"/>
                </w:tblGrid>
                <w:tr>
                  <w:trPr>
                    <w:trHeight w:val="96"/>
                  </w:trPr>
                  <w:tc>
                    <w:tcPr>
                      <w:tcW w:w="9717" w:type="dxa"/>
                    </w:tcPr>
                    <w:p>
                      <w:pPr>
                        <w:keepNext/>
                        <w:jc w:val="center"/>
                        <w:outlineLvl w:val="2"/>
                        <w:rPr>
                          <w:sz w:val="18"/>
                          <w:szCs w:val="24"/>
                          <w:lang w:eastAsia="lt-LT"/>
                        </w:rPr>
                      </w:pPr>
                      <w:r>
                        <w:rPr>
                          <w:sz w:val="18"/>
                          <w:szCs w:val="24"/>
                          <w:lang w:eastAsia="lt-LT"/>
                        </w:rPr>
                        <w:t>Šv. Stepono g. 27A, 01315 Vilnius, tel. +370 706 68060, el. p. ntakd</w:t>
                      </w:r>
                      <w:r>
                        <w:rPr>
                          <w:sz w:val="18"/>
                          <w:szCs w:val="24"/>
                          <w:lang w:val="pt-BR" w:eastAsia="lt-LT"/>
                        </w:rPr>
                        <w:t>@</w:t>
                      </w:r>
                      <w:r>
                        <w:rPr>
                          <w:sz w:val="18"/>
                          <w:szCs w:val="24"/>
                          <w:lang w:eastAsia="lt-LT"/>
                        </w:rPr>
                        <w:t>ntakd.lt</w:t>
                      </w:r>
                    </w:p>
                    <w:p>
                      <w:pPr>
                        <w:jc w:val="center"/>
                      </w:pPr>
                      <w:r>
                        <w:rPr>
                          <w:sz w:val="18"/>
                          <w:szCs w:val="24"/>
                          <w:lang w:eastAsia="lt-LT"/>
                        </w:rPr>
                        <w:t>Duomenys kaupiami ir saugomi Juridinių asmenų registre, kodas 302610311</w:t>
                      </w:r>
                    </w:p>
                  </w:tc>
                </w:tr>
              </w:tbl>
              <w:p>
                <w:pPr>
                  <w:tabs>
                    <w:tab w:val="center" w:pos="4153"/>
                    <w:tab w:val="right" w:pos="8306"/>
                  </w:tabs>
                  <w:rPr>
                    <w:sz w:val="16"/>
                    <w:szCs w:val="16"/>
                  </w:rPr>
                </w:pPr>
              </w:p>
              <w:p>
                <w:pPr>
                  <w:rPr>
                    <w:lang w:val="pt-BR"/>
                  </w:rPr>
                </w:pPr>
                <w:r>
                  <w:rPr>
                    <w:lang w:val="pt-BR"/>
                  </w:rPr>
                  <w:t>Pagal adresatų sąrašą</w:t>
                </w:r>
              </w:p>
              <w:p>
                <w:pPr>
                  <w:rPr>
                    <w:lang w:val="pt-BR"/>
                  </w:rPr>
                </w:pPr>
              </w:p>
              <w:p>
                <w:pPr>
                  <w:rPr>
                    <w:lang w:val="pt-BR"/>
                  </w:rPr>
                </w:pPr>
              </w:p>
            </w:tc>
            <w:tc>
              <w:tcPr>
                <w:tcW w:w="540" w:type="dxa"/>
              </w:tcPr>
              <w:p/>
            </w:tc>
            <w:tc>
              <w:tcPr>
                <w:tcW w:w="1800" w:type="dxa"/>
              </w:tcPr>
              <w:p/>
            </w:tc>
            <w:tc>
              <w:tcPr>
                <w:tcW w:w="540" w:type="dxa"/>
              </w:tcPr>
              <w:p>
                <w:r>
                  <w:t>Nr.</w:t>
                </w:r>
              </w:p>
            </w:tc>
            <w:tc>
              <w:tcPr>
                <w:tcW w:w="2289" w:type="dxa"/>
              </w:tcPr>
              <w:p/>
            </w:tc>
            <w:tc>
              <w:tcPr>
                <w:tcW w:w="2289" w:type="dxa"/>
              </w:tcPr>
              <w:p/>
            </w:tc>
          </w:tr>
          <w:tr>
            <w:trPr>
              <w:cantSplit/>
            </w:trPr>
            <w:tc>
              <w:tcPr>
                <w:tcW w:w="4968" w:type="dxa"/>
                <w:vMerge/>
              </w:tcPr>
              <w:p/>
            </w:tc>
            <w:tc>
              <w:tcPr>
                <w:tcW w:w="540" w:type="dxa"/>
              </w:tcPr>
              <w:p/>
            </w:tc>
            <w:tc>
              <w:tcPr>
                <w:tcW w:w="1800" w:type="dxa"/>
              </w:tcPr>
              <w:p/>
            </w:tc>
            <w:tc>
              <w:tcPr>
                <w:tcW w:w="540" w:type="dxa"/>
              </w:tcPr>
              <w:p/>
            </w:tc>
            <w:tc>
              <w:tcPr>
                <w:tcW w:w="2289" w:type="dxa"/>
              </w:tcPr>
              <w:p/>
            </w:tc>
            <w:tc>
              <w:tcPr>
                <w:tcW w:w="2289" w:type="dxa"/>
              </w:tcPr>
              <w:p/>
              <w:p/>
            </w:tc>
          </w:tr>
        </w:tbl>
        <w:sdt>
          <w:sdtPr>
            <w:alias w:val="skirsnis"/>
            <w:tag w:val="part_9c66abc726014da3a9518d212f69140e"/>
            <w:lock w:val="sdtLocked"/>
            <w:richText/>
          </w:sdtPr>
          <w:sdtContent>
            <w:p>
              <w:pPr>
                <w:jc w:val="both"/>
              </w:pPr>
              <w:sdt>
                <w:sdtPr>
                  <w:alias w:val="Pavadinimas"/>
                  <w:tag w:val="title_9c66abc726014da3a9518d212f69140e"/>
                  <w:lock w:val="sdtLocked"/>
                  <w:richText/>
                </w:sdtPr>
                <w:sdtContent>
                  <w:r>
                    <w:rPr>
                      <w:b/>
                      <w:szCs w:val="24"/>
                    </w:rPr>
                    <w:t>DĖL LIETUVOS RESPUBLIKOS VYRIAUSYBĖS NUTARIMO PROJEKTO DERINIMO</w:t>
                  </w:r>
                </w:sdtContent>
              </w:sdt>
            </w:p>
            <w:p>
              <w:pPr>
                <w:rPr>
                  <w:sz w:val="2"/>
                  <w:szCs w:val="2"/>
                </w:rPr>
              </w:pPr>
            </w:p>
            <w:p>
              <w:pPr>
                <w:jc w:val="both"/>
                <w:rPr>
                  <w:b/>
                  <w:szCs w:val="24"/>
                </w:rPr>
              </w:pPr>
            </w:p>
            <w:p>
              <w:pPr>
                <w:ind w:firstLine="709"/>
                <w:jc w:val="both"/>
                <w:rPr>
                  <w:szCs w:val="24"/>
                </w:rPr>
              </w:pPr>
              <w:r>
                <w:rPr>
                  <w:szCs w:val="24"/>
                </w:rPr>
                <w:t xml:space="preserve">Narkotikų, tabako ir alkoholio kontrolės departamentas (toliau – Departamentas) kartu su Sveikatos apsaugos ministerija, atsižvelgdami į Nacionalinės darbotvarkės narkotikų, tabako ir alkoholio kontrolės, vartojimo prevencijos ir žalos mažinimo klausimais iki 2035 metų, patvirtintos Lietuvos Respublikos Seimo 2023 m. gegužės 23 d. nutarimu Nr. XIV-1982 „Dėl Nacionalinės darbotvarkės narkotikų, tabako ir alkoholio kontrolės, vartojimo prevencijos ir žalos mažinimo klausimais iki 2035 metų patvirtinimo“, pirmojo tikslo uždavinio nurodyto 32.1.1 papunktyje nuostatas bei įgyvendindamas Nacionalinės darbotvarkės narkotikų, tabako ir alkoholio kontrolės, vartojimo prevencijos ir žalos mažinimo klausimais iki 2035 metų įgyvendinimo 2024–2026 metų plano, patvirtinto Lietuvos Respublikos Vyriausybės 2024 m. gegužės 8 d. nutarimu Nr.336 „Dėl Nacionalinės darbotvarkės narkotikų, tabako ir alkoholio kontrolės, vartojimo prevencijos ir žalos mažinimo klausimais iki 2035 metų įgyvendinimo 2024–2026 metų plano patvirtinimo“, 2 priede nurodyto 1 tikslo 7 priemonę, parengė Lietuvos Respublikos Vyriausybės nutarimo „Dėl mokyklų (išskyrus aukštąsias mokyklas) reagavimo į mokinių psichoaktyviųjų medžiagų vartojimo, platinimo ir disponavimo psichoaktyviosiomis medžiagomis atvejus bei pagalbos teikimo mokiniams, jų tėvams ar atstovams pagal įstatymą pavyzdinio tvarkos aprašo patvirtinimo“ projektą (toliau – Nutarimo projektas). </w:t>
              </w:r>
            </w:p>
            <w:p>
              <w:pPr>
                <w:ind w:firstLine="709"/>
                <w:jc w:val="both"/>
                <w:rPr>
                  <w:szCs w:val="24"/>
                </w:rPr>
              </w:pPr>
              <w:r>
                <w:rPr>
                  <w:szCs w:val="24"/>
                </w:rPr>
                <w:t xml:space="preserve">Šio Nutarimo projekto rengime aktyviai dalyvavo ir </w:t>
              </w:r>
              <w:r>
                <w:t>Lietuvos Respublikos vidaus reikalų ministerija</w:t>
              </w:r>
              <w:r>
                <w:rPr>
                  <w:szCs w:val="24"/>
                </w:rPr>
                <w:t xml:space="preserve">, </w:t>
              </w:r>
              <w:r>
                <w:t xml:space="preserve">2023 m. gruodžio mėnesį inicijavusi bandomąjį projektą pasirinktose septyniose Vilniaus m., Alytaus m. ir Klaipėdos r. mokyklose. Projekto metu buvo išbandytos įvairios reagavimo, bendradarbiavimo ir pagalbos priemonės, skirtos efektyvesniam narkotikų vartojimo, platinimo ir disponavimo atvejų mokyklose atpažinimui ir valdymui. Gauti bandomojo projekto rezultatai parodė būtinybę atnaujinti esamą veiksmų planą ir sukurti vieningą, aiškiai apibrėžtą reagavimo algoritmą visoms šalies mokykloms. Vykdytas projektas taip pat pabrėžė institucijų bendradarbiavimo svarbą ir įtraukė mokyklų bendruomenes į prevencinį darbą, todėl, siekiant ilgalaikio poveikio ir nuoseklaus prevencinių priemonių taikymo, reikalingas Lietuvos Respublikos Vyriausybės 2002 m. balandžio 2 d. nutarimo Nr. 437 „Dėl Vaikų, vartojančių narkotines, psichotropines, kitas psichiką veikiančias medžiagas, nustatymo organizavimo tvarkos aprašo patvirtinimo“ pakeitimas. </w:t>
              </w:r>
            </w:p>
            <w:p>
              <w:pPr>
                <w:ind w:firstLine="709"/>
                <w:jc w:val="both"/>
                <w:rPr>
                  <w:szCs w:val="24"/>
                </w:rPr>
              </w:pPr>
              <w:r>
                <w:rPr>
                  <w:szCs w:val="24"/>
                </w:rPr>
                <w:t xml:space="preserve">Nutarimo projektu siekiama nustatyti rekomenduojamą vienodą reagavimo į narkotikų vartojimo, platinimo ir disponavimo atvejus mokyklose algoritmą  ir tolimesnės pagalbos galimybes.  </w:t>
              </w:r>
            </w:p>
            <w:p>
              <w:pPr>
                <w:jc w:val="both"/>
              </w:pPr>
              <w:r>
                <w:rPr>
                  <w:szCs w:val="24"/>
                </w:rPr>
                <w:t xml:space="preserve">Šis Nutarimo projektas darbo tvarka buvo derintas su Savivaldybių visuomenės sveikatos biurų, </w:t>
              </w:r>
              <w:r>
                <w:t>Lietuvos mokyklų vadovų, Lietuvos progimnazijų, Lietuvos pagrindinių mokyklų, Lietuvos gimnazijų asociacijomis.</w:t>
              </w:r>
            </w:p>
            <w:p>
              <w:pPr>
                <w:ind w:firstLine="720"/>
                <w:jc w:val="both"/>
                <w:rPr>
                  <w:szCs w:val="24"/>
                </w:rPr>
              </w:pPr>
              <w:r>
                <w:rPr>
                  <w:szCs w:val="24"/>
                </w:rPr>
                <w:t>Projektas skelbiamas Lietuvos Respublikos Seimo kanceliarijos Teisės aktų informacinėje sistemoje (TAIS).</w:t>
              </w:r>
            </w:p>
            <w:p>
              <w:pPr>
                <w:spacing w:line="256" w:lineRule="auto"/>
                <w:ind w:firstLine="709"/>
                <w:jc w:val="both"/>
              </w:pPr>
              <w:r>
                <w:rPr>
                  <w:color w:val="000000"/>
                  <w:szCs w:val="24"/>
                  <w:lang w:eastAsia="lt-LT"/>
                </w:rPr>
                <w:t xml:space="preserve">Projektą parengė Departamento Prevencijos koordinavimo skyriaus vedėja Aušra Želvienė (el. p. </w:t>
              </w:r>
              <w:r>
                <w:rPr>
                  <w:szCs w:val="24"/>
                  <w:lang w:eastAsia="lt-LT"/>
                </w:rPr>
                <w:t>ausra.zelviene@ntakd.lt</w:t>
              </w:r>
              <w:r>
                <w:rPr>
                  <w:color w:val="000000"/>
                  <w:szCs w:val="24"/>
                  <w:lang w:eastAsia="lt-LT"/>
                </w:rPr>
                <w:t xml:space="preserve">, tel. +370 690 58344), Prevencijos koordinavimo skyriaus vyr. specialistė Aneta Abromavičiūtė (el. p. </w:t>
              </w:r>
              <w:r>
                <w:rPr>
                  <w:szCs w:val="24"/>
                  <w:lang w:eastAsia="lt-LT"/>
                </w:rPr>
                <w:t>aneta.abromaviciute@ntakd.lt</w:t>
              </w:r>
              <w:r>
                <w:rPr>
                  <w:color w:val="000000"/>
                  <w:szCs w:val="24"/>
                  <w:lang w:eastAsia="lt-LT"/>
                </w:rPr>
                <w:t xml:space="preserve">, tel. +370 690 58295), parengimą koordinavo Departamento direktoriaus pavaduotoja Gražina Belian (el. p. </w:t>
              </w:r>
              <w:r>
                <w:rPr>
                  <w:szCs w:val="24"/>
                  <w:lang w:eastAsia="lt-LT"/>
                </w:rPr>
                <w:t>grazina.belian@ntakd.lt</w:t>
              </w:r>
              <w:r>
                <w:rPr>
                  <w:color w:val="000000"/>
                  <w:szCs w:val="24"/>
                  <w:lang w:eastAsia="lt-LT"/>
                </w:rPr>
                <w:t>, tel. +370 687 33051)</w:t>
              </w:r>
              <w:r>
                <w:rPr>
                  <w:szCs w:val="24"/>
                  <w:lang w:eastAsia="lt-LT"/>
                </w:rPr>
                <w:t>.</w:t>
              </w:r>
            </w:p>
            <w:p>
              <w:pPr>
                <w:ind w:firstLine="709"/>
                <w:jc w:val="both"/>
                <w:rPr>
                  <w:sz w:val="2"/>
                  <w:szCs w:val="2"/>
                  <w:highlight w:val="yellow"/>
                </w:rPr>
              </w:pPr>
            </w:p>
            <w:p>
              <w:pPr>
                <w:tabs>
                  <w:tab w:val="left" w:pos="709"/>
                </w:tabs>
                <w:ind w:firstLine="709"/>
                <w:jc w:val="both"/>
                <w:rPr>
                  <w:szCs w:val="24"/>
                </w:rPr>
              </w:pPr>
              <w:r>
                <w:rPr>
                  <w:rFonts w:eastAsia="Arial Unicode MS"/>
                  <w:szCs w:val="24"/>
                </w:rPr>
                <w:t xml:space="preserve">PRIDEDAMA: </w:t>
              </w:r>
              <w:r>
                <w:rPr>
                  <w:szCs w:val="24"/>
                </w:rPr>
                <w:t xml:space="preserve">Lietuvos Respublikos Vyriausybės nutarimo „Dėl mokyklų (išskyrus aukštąsias mokyklas) reagavimo į mokinių psichoaktyviųjų medžiagų vartojimo, platinimo ir disponavimo psichoaktyviosiomis medžiagomis atvejus bei pagalbos teikimo mokiniams, jų tėvams ar atstovams pagal įstatymą pavyzdinio tvarkos aprašo patvirtinimo“ projektas,  11 lapų.</w:t>
              </w:r>
            </w:p>
            <w:p>
              <w:pPr>
                <w:tabs>
                  <w:tab w:val="left" w:pos="709"/>
                </w:tabs>
                <w:ind w:firstLine="709"/>
                <w:jc w:val="both"/>
                <w:rPr>
                  <w:szCs w:val="24"/>
                </w:rPr>
              </w:pPr>
            </w:p>
            <w:p>
              <w:pPr>
                <w:tabs>
                  <w:tab w:val="left" w:pos="709"/>
                </w:tabs>
                <w:ind w:firstLine="709"/>
                <w:jc w:val="both"/>
                <w:rPr>
                  <w:szCs w:val="24"/>
                </w:rPr>
              </w:pPr>
            </w:p>
            <w:p>
              <w:pPr>
                <w:tabs>
                  <w:tab w:val="left" w:pos="709"/>
                </w:tabs>
                <w:jc w:val="both"/>
                <w:rPr>
                  <w:szCs w:val="24"/>
                </w:rPr>
              </w:pPr>
              <w:r>
                <w:rPr>
                  <w:szCs w:val="24"/>
                </w:rPr>
                <w:t xml:space="preserve">Direktorė </w:t>
                <w:tab/>
                <w:tab/>
                <w:tab/>
                <w:tab/>
                <w:tab/>
                <w:tab/>
                <w:tab/>
                <w:t xml:space="preserve">                       </w:t>
                <w:tab/>
                <w:t xml:space="preserve"> Rita Sketerskienė</w:t>
              </w: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p>
            <w:p>
              <w:pPr>
                <w:ind w:right="-1"/>
                <w:rPr>
                  <w:iCs/>
                </w:rPr>
              </w:pPr>
              <w:r>
                <w:rPr>
                  <w:iCs/>
                </w:rPr>
                <w:t>Aneta Abromavičiūtė, tel. +370 690 58295, el. p. aneta.abromaviciute@ntakd.lt</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code="9"/>
      <w:pgMar w:top="709" w:right="567" w:bottom="851" w:left="1701" w:header="706" w:footer="124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
    <w:panose1 w:val="020B0604020202020204"/>
    <w:charset w:val="BA"/>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2</w:t>
    </w:r>
    <w:r>
      <w:fldChar w:fldCharType="end"/>
    </w:r>
  </w:p>
  <w:p>
    <w:pPr>
      <w:tabs>
        <w:tab w:val="center" w:pos="4153"/>
        <w:tab w:val="right" w:pos="830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38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8D7F37AD-7832-4586-A76F-EA54EE6006A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9511946">
      <w:bodyDiv w:val="1"/>
      <w:marLeft w:val="0"/>
      <w:marRight w:val="0"/>
      <w:marTop w:val="0"/>
      <w:marBottom w:val="0"/>
      <w:divBdr>
        <w:top w:val="none" w:sz="0" w:space="0" w:color="auto"/>
        <w:left w:val="none" w:sz="0" w:space="0" w:color="auto"/>
        <w:bottom w:val="none" w:sz="0" w:space="0" w:color="auto"/>
        <w:right w:val="none" w:sz="0" w:space="0" w:color="auto"/>
      </w:divBdr>
    </w:div>
    <w:div w:id="208955058">
      <w:bodyDiv w:val="1"/>
      <w:marLeft w:val="0"/>
      <w:marRight w:val="0"/>
      <w:marTop w:val="0"/>
      <w:marBottom w:val="0"/>
      <w:divBdr>
        <w:top w:val="none" w:sz="0" w:space="0" w:color="auto"/>
        <w:left w:val="none" w:sz="0" w:space="0" w:color="auto"/>
        <w:bottom w:val="none" w:sz="0" w:space="0" w:color="auto"/>
        <w:right w:val="none" w:sz="0" w:space="0" w:color="auto"/>
      </w:divBdr>
    </w:div>
    <w:div w:id="348259675">
      <w:bodyDiv w:val="1"/>
      <w:marLeft w:val="0"/>
      <w:marRight w:val="0"/>
      <w:marTop w:val="0"/>
      <w:marBottom w:val="0"/>
      <w:divBdr>
        <w:top w:val="none" w:sz="0" w:space="0" w:color="auto"/>
        <w:left w:val="none" w:sz="0" w:space="0" w:color="auto"/>
        <w:bottom w:val="none" w:sz="0" w:space="0" w:color="auto"/>
        <w:right w:val="none" w:sz="0" w:space="0" w:color="auto"/>
      </w:divBdr>
    </w:div>
    <w:div w:id="420033581">
      <w:bodyDiv w:val="1"/>
      <w:marLeft w:val="0"/>
      <w:marRight w:val="0"/>
      <w:marTop w:val="0"/>
      <w:marBottom w:val="0"/>
      <w:divBdr>
        <w:top w:val="none" w:sz="0" w:space="0" w:color="auto"/>
        <w:left w:val="none" w:sz="0" w:space="0" w:color="auto"/>
        <w:bottom w:val="none" w:sz="0" w:space="0" w:color="auto"/>
        <w:right w:val="none" w:sz="0" w:space="0" w:color="auto"/>
      </w:divBdr>
      <w:divsChild>
        <w:div w:id="1408961349">
          <w:marLeft w:val="0"/>
          <w:marRight w:val="0"/>
          <w:marTop w:val="0"/>
          <w:marBottom w:val="0"/>
          <w:divBdr>
            <w:top w:val="none" w:sz="0" w:space="0" w:color="auto"/>
            <w:left w:val="none" w:sz="0" w:space="0" w:color="auto"/>
            <w:bottom w:val="none" w:sz="0" w:space="0" w:color="auto"/>
            <w:right w:val="none" w:sz="0" w:space="0" w:color="auto"/>
          </w:divBdr>
          <w:divsChild>
            <w:div w:id="1965888362">
              <w:marLeft w:val="0"/>
              <w:marRight w:val="0"/>
              <w:marTop w:val="0"/>
              <w:marBottom w:val="0"/>
              <w:divBdr>
                <w:top w:val="none" w:sz="0" w:space="0" w:color="auto"/>
                <w:left w:val="none" w:sz="0" w:space="0" w:color="auto"/>
                <w:bottom w:val="none" w:sz="0" w:space="0" w:color="auto"/>
                <w:right w:val="none" w:sz="0" w:space="0" w:color="auto"/>
              </w:divBdr>
            </w:div>
            <w:div w:id="1315722318">
              <w:marLeft w:val="0"/>
              <w:marRight w:val="0"/>
              <w:marTop w:val="0"/>
              <w:marBottom w:val="0"/>
              <w:divBdr>
                <w:top w:val="none" w:sz="0" w:space="0" w:color="auto"/>
                <w:left w:val="none" w:sz="0" w:space="0" w:color="auto"/>
                <w:bottom w:val="none" w:sz="0" w:space="0" w:color="auto"/>
                <w:right w:val="none" w:sz="0" w:space="0" w:color="auto"/>
              </w:divBdr>
            </w:div>
            <w:div w:id="1324116182">
              <w:marLeft w:val="0"/>
              <w:marRight w:val="0"/>
              <w:marTop w:val="0"/>
              <w:marBottom w:val="0"/>
              <w:divBdr>
                <w:top w:val="none" w:sz="0" w:space="0" w:color="auto"/>
                <w:left w:val="none" w:sz="0" w:space="0" w:color="auto"/>
                <w:bottom w:val="none" w:sz="0" w:space="0" w:color="auto"/>
                <w:right w:val="none" w:sz="0" w:space="0" w:color="auto"/>
              </w:divBdr>
            </w:div>
            <w:div w:id="2013606734">
              <w:marLeft w:val="0"/>
              <w:marRight w:val="0"/>
              <w:marTop w:val="0"/>
              <w:marBottom w:val="0"/>
              <w:divBdr>
                <w:top w:val="none" w:sz="0" w:space="0" w:color="auto"/>
                <w:left w:val="none" w:sz="0" w:space="0" w:color="auto"/>
                <w:bottom w:val="none" w:sz="0" w:space="0" w:color="auto"/>
                <w:right w:val="none" w:sz="0" w:space="0" w:color="auto"/>
              </w:divBdr>
            </w:div>
          </w:divsChild>
        </w:div>
        <w:div w:id="1849833229">
          <w:marLeft w:val="0"/>
          <w:marRight w:val="0"/>
          <w:marTop w:val="0"/>
          <w:marBottom w:val="0"/>
          <w:divBdr>
            <w:top w:val="none" w:sz="0" w:space="0" w:color="auto"/>
            <w:left w:val="none" w:sz="0" w:space="0" w:color="auto"/>
            <w:bottom w:val="none" w:sz="0" w:space="0" w:color="auto"/>
            <w:right w:val="none" w:sz="0" w:space="0" w:color="auto"/>
          </w:divBdr>
        </w:div>
        <w:div w:id="134033031">
          <w:marLeft w:val="0"/>
          <w:marRight w:val="0"/>
          <w:marTop w:val="0"/>
          <w:marBottom w:val="0"/>
          <w:divBdr>
            <w:top w:val="none" w:sz="0" w:space="0" w:color="auto"/>
            <w:left w:val="none" w:sz="0" w:space="0" w:color="auto"/>
            <w:bottom w:val="none" w:sz="0" w:space="0" w:color="auto"/>
            <w:right w:val="none" w:sz="0" w:space="0" w:color="auto"/>
          </w:divBdr>
          <w:divsChild>
            <w:div w:id="353701433">
              <w:marLeft w:val="0"/>
              <w:marRight w:val="0"/>
              <w:marTop w:val="0"/>
              <w:marBottom w:val="0"/>
              <w:divBdr>
                <w:top w:val="none" w:sz="0" w:space="0" w:color="auto"/>
                <w:left w:val="none" w:sz="0" w:space="0" w:color="auto"/>
                <w:bottom w:val="none" w:sz="0" w:space="0" w:color="auto"/>
                <w:right w:val="none" w:sz="0" w:space="0" w:color="auto"/>
              </w:divBdr>
            </w:div>
            <w:div w:id="1001004885">
              <w:marLeft w:val="0"/>
              <w:marRight w:val="0"/>
              <w:marTop w:val="0"/>
              <w:marBottom w:val="0"/>
              <w:divBdr>
                <w:top w:val="none" w:sz="0" w:space="0" w:color="auto"/>
                <w:left w:val="none" w:sz="0" w:space="0" w:color="auto"/>
                <w:bottom w:val="none" w:sz="0" w:space="0" w:color="auto"/>
                <w:right w:val="none" w:sz="0" w:space="0" w:color="auto"/>
              </w:divBdr>
            </w:div>
            <w:div w:id="161239097">
              <w:marLeft w:val="0"/>
              <w:marRight w:val="0"/>
              <w:marTop w:val="0"/>
              <w:marBottom w:val="0"/>
              <w:divBdr>
                <w:top w:val="none" w:sz="0" w:space="0" w:color="auto"/>
                <w:left w:val="none" w:sz="0" w:space="0" w:color="auto"/>
                <w:bottom w:val="none" w:sz="0" w:space="0" w:color="auto"/>
                <w:right w:val="none" w:sz="0" w:space="0" w:color="auto"/>
              </w:divBdr>
            </w:div>
            <w:div w:id="1209953929">
              <w:marLeft w:val="0"/>
              <w:marRight w:val="0"/>
              <w:marTop w:val="0"/>
              <w:marBottom w:val="0"/>
              <w:divBdr>
                <w:top w:val="none" w:sz="0" w:space="0" w:color="auto"/>
                <w:left w:val="none" w:sz="0" w:space="0" w:color="auto"/>
                <w:bottom w:val="none" w:sz="0" w:space="0" w:color="auto"/>
                <w:right w:val="none" w:sz="0" w:space="0" w:color="auto"/>
              </w:divBdr>
            </w:div>
            <w:div w:id="853302242">
              <w:marLeft w:val="0"/>
              <w:marRight w:val="0"/>
              <w:marTop w:val="0"/>
              <w:marBottom w:val="0"/>
              <w:divBdr>
                <w:top w:val="none" w:sz="0" w:space="0" w:color="auto"/>
                <w:left w:val="none" w:sz="0" w:space="0" w:color="auto"/>
                <w:bottom w:val="none" w:sz="0" w:space="0" w:color="auto"/>
                <w:right w:val="none" w:sz="0" w:space="0" w:color="auto"/>
              </w:divBdr>
            </w:div>
            <w:div w:id="2115399868">
              <w:marLeft w:val="0"/>
              <w:marRight w:val="0"/>
              <w:marTop w:val="0"/>
              <w:marBottom w:val="0"/>
              <w:divBdr>
                <w:top w:val="none" w:sz="0" w:space="0" w:color="auto"/>
                <w:left w:val="none" w:sz="0" w:space="0" w:color="auto"/>
                <w:bottom w:val="none" w:sz="0" w:space="0" w:color="auto"/>
                <w:right w:val="none" w:sz="0" w:space="0" w:color="auto"/>
              </w:divBdr>
            </w:div>
            <w:div w:id="229511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8963639">
      <w:bodyDiv w:val="1"/>
      <w:marLeft w:val="0"/>
      <w:marRight w:val="0"/>
      <w:marTop w:val="0"/>
      <w:marBottom w:val="0"/>
      <w:divBdr>
        <w:top w:val="none" w:sz="0" w:space="0" w:color="auto"/>
        <w:left w:val="none" w:sz="0" w:space="0" w:color="auto"/>
        <w:bottom w:val="none" w:sz="0" w:space="0" w:color="auto"/>
        <w:right w:val="none" w:sz="0" w:space="0" w:color="auto"/>
      </w:divBdr>
    </w:div>
    <w:div w:id="620916911">
      <w:bodyDiv w:val="1"/>
      <w:marLeft w:val="0"/>
      <w:marRight w:val="0"/>
      <w:marTop w:val="0"/>
      <w:marBottom w:val="0"/>
      <w:divBdr>
        <w:top w:val="none" w:sz="0" w:space="0" w:color="auto"/>
        <w:left w:val="none" w:sz="0" w:space="0" w:color="auto"/>
        <w:bottom w:val="none" w:sz="0" w:space="0" w:color="auto"/>
        <w:right w:val="none" w:sz="0" w:space="0" w:color="auto"/>
      </w:divBdr>
    </w:div>
    <w:div w:id="693503522">
      <w:bodyDiv w:val="1"/>
      <w:marLeft w:val="0"/>
      <w:marRight w:val="0"/>
      <w:marTop w:val="0"/>
      <w:marBottom w:val="0"/>
      <w:divBdr>
        <w:top w:val="none" w:sz="0" w:space="0" w:color="auto"/>
        <w:left w:val="none" w:sz="0" w:space="0" w:color="auto"/>
        <w:bottom w:val="none" w:sz="0" w:space="0" w:color="auto"/>
        <w:right w:val="none" w:sz="0" w:space="0" w:color="auto"/>
      </w:divBdr>
    </w:div>
    <w:div w:id="726533195">
      <w:bodyDiv w:val="1"/>
      <w:marLeft w:val="0"/>
      <w:marRight w:val="0"/>
      <w:marTop w:val="0"/>
      <w:marBottom w:val="0"/>
      <w:divBdr>
        <w:top w:val="none" w:sz="0" w:space="0" w:color="auto"/>
        <w:left w:val="none" w:sz="0" w:space="0" w:color="auto"/>
        <w:bottom w:val="none" w:sz="0" w:space="0" w:color="auto"/>
        <w:right w:val="none" w:sz="0" w:space="0" w:color="auto"/>
      </w:divBdr>
    </w:div>
    <w:div w:id="731267608">
      <w:bodyDiv w:val="1"/>
      <w:marLeft w:val="0"/>
      <w:marRight w:val="0"/>
      <w:marTop w:val="0"/>
      <w:marBottom w:val="0"/>
      <w:divBdr>
        <w:top w:val="none" w:sz="0" w:space="0" w:color="auto"/>
        <w:left w:val="none" w:sz="0" w:space="0" w:color="auto"/>
        <w:bottom w:val="none" w:sz="0" w:space="0" w:color="auto"/>
        <w:right w:val="none" w:sz="0" w:space="0" w:color="auto"/>
      </w:divBdr>
    </w:div>
    <w:div w:id="735904689">
      <w:bodyDiv w:val="1"/>
      <w:marLeft w:val="0"/>
      <w:marRight w:val="0"/>
      <w:marTop w:val="0"/>
      <w:marBottom w:val="0"/>
      <w:divBdr>
        <w:top w:val="none" w:sz="0" w:space="0" w:color="auto"/>
        <w:left w:val="none" w:sz="0" w:space="0" w:color="auto"/>
        <w:bottom w:val="none" w:sz="0" w:space="0" w:color="auto"/>
        <w:right w:val="none" w:sz="0" w:space="0" w:color="auto"/>
      </w:divBdr>
      <w:divsChild>
        <w:div w:id="142698347">
          <w:marLeft w:val="0"/>
          <w:marRight w:val="0"/>
          <w:marTop w:val="0"/>
          <w:marBottom w:val="0"/>
          <w:divBdr>
            <w:top w:val="none" w:sz="0" w:space="0" w:color="auto"/>
            <w:left w:val="none" w:sz="0" w:space="0" w:color="auto"/>
            <w:bottom w:val="none" w:sz="0" w:space="0" w:color="auto"/>
            <w:right w:val="none" w:sz="0" w:space="0" w:color="auto"/>
          </w:divBdr>
        </w:div>
      </w:divsChild>
    </w:div>
    <w:div w:id="821114741">
      <w:bodyDiv w:val="1"/>
      <w:marLeft w:val="0"/>
      <w:marRight w:val="0"/>
      <w:marTop w:val="0"/>
      <w:marBottom w:val="0"/>
      <w:divBdr>
        <w:top w:val="none" w:sz="0" w:space="0" w:color="auto"/>
        <w:left w:val="none" w:sz="0" w:space="0" w:color="auto"/>
        <w:bottom w:val="none" w:sz="0" w:space="0" w:color="auto"/>
        <w:right w:val="none" w:sz="0" w:space="0" w:color="auto"/>
      </w:divBdr>
    </w:div>
    <w:div w:id="960766507">
      <w:bodyDiv w:val="1"/>
      <w:marLeft w:val="0"/>
      <w:marRight w:val="0"/>
      <w:marTop w:val="0"/>
      <w:marBottom w:val="0"/>
      <w:divBdr>
        <w:top w:val="none" w:sz="0" w:space="0" w:color="auto"/>
        <w:left w:val="none" w:sz="0" w:space="0" w:color="auto"/>
        <w:bottom w:val="none" w:sz="0" w:space="0" w:color="auto"/>
        <w:right w:val="none" w:sz="0" w:space="0" w:color="auto"/>
      </w:divBdr>
    </w:div>
    <w:div w:id="981010020">
      <w:bodyDiv w:val="1"/>
      <w:marLeft w:val="0"/>
      <w:marRight w:val="0"/>
      <w:marTop w:val="0"/>
      <w:marBottom w:val="0"/>
      <w:divBdr>
        <w:top w:val="none" w:sz="0" w:space="0" w:color="auto"/>
        <w:left w:val="none" w:sz="0" w:space="0" w:color="auto"/>
        <w:bottom w:val="none" w:sz="0" w:space="0" w:color="auto"/>
        <w:right w:val="none" w:sz="0" w:space="0" w:color="auto"/>
      </w:divBdr>
      <w:divsChild>
        <w:div w:id="292752751">
          <w:marLeft w:val="0"/>
          <w:marRight w:val="0"/>
          <w:marTop w:val="0"/>
          <w:marBottom w:val="0"/>
          <w:divBdr>
            <w:top w:val="none" w:sz="0" w:space="0" w:color="auto"/>
            <w:left w:val="none" w:sz="0" w:space="0" w:color="auto"/>
            <w:bottom w:val="none" w:sz="0" w:space="0" w:color="auto"/>
            <w:right w:val="none" w:sz="0" w:space="0" w:color="auto"/>
          </w:divBdr>
          <w:divsChild>
            <w:div w:id="937374647">
              <w:marLeft w:val="0"/>
              <w:marRight w:val="0"/>
              <w:marTop w:val="0"/>
              <w:marBottom w:val="0"/>
              <w:divBdr>
                <w:top w:val="none" w:sz="0" w:space="0" w:color="auto"/>
                <w:left w:val="none" w:sz="0" w:space="0" w:color="auto"/>
                <w:bottom w:val="none" w:sz="0" w:space="0" w:color="auto"/>
                <w:right w:val="none" w:sz="0" w:space="0" w:color="auto"/>
              </w:divBdr>
              <w:divsChild>
                <w:div w:id="1312632606">
                  <w:marLeft w:val="0"/>
                  <w:marRight w:val="0"/>
                  <w:marTop w:val="0"/>
                  <w:marBottom w:val="0"/>
                  <w:divBdr>
                    <w:top w:val="none" w:sz="0" w:space="0" w:color="auto"/>
                    <w:left w:val="none" w:sz="0" w:space="0" w:color="auto"/>
                    <w:bottom w:val="none" w:sz="0" w:space="0" w:color="auto"/>
                    <w:right w:val="none" w:sz="0" w:space="0" w:color="auto"/>
                  </w:divBdr>
                  <w:divsChild>
                    <w:div w:id="2049604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286242">
          <w:marLeft w:val="0"/>
          <w:marRight w:val="0"/>
          <w:marTop w:val="0"/>
          <w:marBottom w:val="0"/>
          <w:divBdr>
            <w:top w:val="none" w:sz="0" w:space="0" w:color="auto"/>
            <w:left w:val="none" w:sz="0" w:space="0" w:color="auto"/>
            <w:bottom w:val="none" w:sz="0" w:space="0" w:color="auto"/>
            <w:right w:val="none" w:sz="0" w:space="0" w:color="auto"/>
          </w:divBdr>
          <w:divsChild>
            <w:div w:id="808933782">
              <w:marLeft w:val="0"/>
              <w:marRight w:val="0"/>
              <w:marTop w:val="0"/>
              <w:marBottom w:val="0"/>
              <w:divBdr>
                <w:top w:val="none" w:sz="0" w:space="0" w:color="auto"/>
                <w:left w:val="none" w:sz="0" w:space="0" w:color="auto"/>
                <w:bottom w:val="none" w:sz="0" w:space="0" w:color="auto"/>
                <w:right w:val="none" w:sz="0" w:space="0" w:color="auto"/>
              </w:divBdr>
              <w:divsChild>
                <w:div w:id="873885505">
                  <w:marLeft w:val="0"/>
                  <w:marRight w:val="0"/>
                  <w:marTop w:val="0"/>
                  <w:marBottom w:val="0"/>
                  <w:divBdr>
                    <w:top w:val="none" w:sz="0" w:space="0" w:color="auto"/>
                    <w:left w:val="none" w:sz="0" w:space="0" w:color="auto"/>
                    <w:bottom w:val="none" w:sz="0" w:space="0" w:color="auto"/>
                    <w:right w:val="none" w:sz="0" w:space="0" w:color="auto"/>
                  </w:divBdr>
                  <w:divsChild>
                    <w:div w:id="1495103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810732">
      <w:bodyDiv w:val="1"/>
      <w:marLeft w:val="0"/>
      <w:marRight w:val="0"/>
      <w:marTop w:val="0"/>
      <w:marBottom w:val="0"/>
      <w:divBdr>
        <w:top w:val="none" w:sz="0" w:space="0" w:color="auto"/>
        <w:left w:val="none" w:sz="0" w:space="0" w:color="auto"/>
        <w:bottom w:val="none" w:sz="0" w:space="0" w:color="auto"/>
        <w:right w:val="none" w:sz="0" w:space="0" w:color="auto"/>
      </w:divBdr>
    </w:div>
    <w:div w:id="1302613917">
      <w:bodyDiv w:val="1"/>
      <w:marLeft w:val="0"/>
      <w:marRight w:val="0"/>
      <w:marTop w:val="0"/>
      <w:marBottom w:val="0"/>
      <w:divBdr>
        <w:top w:val="none" w:sz="0" w:space="0" w:color="auto"/>
        <w:left w:val="none" w:sz="0" w:space="0" w:color="auto"/>
        <w:bottom w:val="none" w:sz="0" w:space="0" w:color="auto"/>
        <w:right w:val="none" w:sz="0" w:space="0" w:color="auto"/>
      </w:divBdr>
    </w:div>
    <w:div w:id="1921016374">
      <w:bodyDiv w:val="1"/>
      <w:marLeft w:val="0"/>
      <w:marRight w:val="0"/>
      <w:marTop w:val="0"/>
      <w:marBottom w:val="0"/>
      <w:divBdr>
        <w:top w:val="none" w:sz="0" w:space="0" w:color="auto"/>
        <w:left w:val="none" w:sz="0" w:space="0" w:color="auto"/>
        <w:bottom w:val="none" w:sz="0" w:space="0" w:color="auto"/>
        <w:right w:val="none" w:sz="0" w:space="0" w:color="auto"/>
      </w:divBdr>
      <w:divsChild>
        <w:div w:id="510605314">
          <w:marLeft w:val="0"/>
          <w:marRight w:val="0"/>
          <w:marTop w:val="0"/>
          <w:marBottom w:val="0"/>
          <w:divBdr>
            <w:top w:val="none" w:sz="0" w:space="0" w:color="auto"/>
            <w:left w:val="none" w:sz="0" w:space="0" w:color="auto"/>
            <w:bottom w:val="none" w:sz="0" w:space="0" w:color="auto"/>
            <w:right w:val="none" w:sz="0" w:space="0" w:color="auto"/>
          </w:divBdr>
          <w:divsChild>
            <w:div w:id="352919832">
              <w:marLeft w:val="0"/>
              <w:marRight w:val="0"/>
              <w:marTop w:val="0"/>
              <w:marBottom w:val="0"/>
              <w:divBdr>
                <w:top w:val="none" w:sz="0" w:space="0" w:color="auto"/>
                <w:left w:val="none" w:sz="0" w:space="0" w:color="auto"/>
                <w:bottom w:val="none" w:sz="0" w:space="0" w:color="auto"/>
                <w:right w:val="none" w:sz="0" w:space="0" w:color="auto"/>
              </w:divBdr>
              <w:divsChild>
                <w:div w:id="1313876785">
                  <w:marLeft w:val="0"/>
                  <w:marRight w:val="0"/>
                  <w:marTop w:val="0"/>
                  <w:marBottom w:val="0"/>
                  <w:divBdr>
                    <w:top w:val="none" w:sz="0" w:space="0" w:color="auto"/>
                    <w:left w:val="none" w:sz="0" w:space="0" w:color="auto"/>
                    <w:bottom w:val="none" w:sz="0" w:space="0" w:color="auto"/>
                    <w:right w:val="none" w:sz="0" w:space="0" w:color="auto"/>
                  </w:divBdr>
                  <w:divsChild>
                    <w:div w:id="991643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521652">
          <w:marLeft w:val="0"/>
          <w:marRight w:val="0"/>
          <w:marTop w:val="0"/>
          <w:marBottom w:val="0"/>
          <w:divBdr>
            <w:top w:val="none" w:sz="0" w:space="0" w:color="auto"/>
            <w:left w:val="none" w:sz="0" w:space="0" w:color="auto"/>
            <w:bottom w:val="none" w:sz="0" w:space="0" w:color="auto"/>
            <w:right w:val="none" w:sz="0" w:space="0" w:color="auto"/>
          </w:divBdr>
          <w:divsChild>
            <w:div w:id="802772840">
              <w:marLeft w:val="0"/>
              <w:marRight w:val="0"/>
              <w:marTop w:val="0"/>
              <w:marBottom w:val="0"/>
              <w:divBdr>
                <w:top w:val="none" w:sz="0" w:space="0" w:color="auto"/>
                <w:left w:val="none" w:sz="0" w:space="0" w:color="auto"/>
                <w:bottom w:val="none" w:sz="0" w:space="0" w:color="auto"/>
                <w:right w:val="none" w:sz="0" w:space="0" w:color="auto"/>
              </w:divBdr>
              <w:divsChild>
                <w:div w:id="1355036974">
                  <w:marLeft w:val="0"/>
                  <w:marRight w:val="0"/>
                  <w:marTop w:val="0"/>
                  <w:marBottom w:val="0"/>
                  <w:divBdr>
                    <w:top w:val="none" w:sz="0" w:space="0" w:color="auto"/>
                    <w:left w:val="none" w:sz="0" w:space="0" w:color="auto"/>
                    <w:bottom w:val="none" w:sz="0" w:space="0" w:color="auto"/>
                    <w:right w:val="none" w:sz="0" w:space="0" w:color="auto"/>
                  </w:divBdr>
                  <w:divsChild>
                    <w:div w:id="1315527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1793343">
      <w:bodyDiv w:val="1"/>
      <w:marLeft w:val="0"/>
      <w:marRight w:val="0"/>
      <w:marTop w:val="0"/>
      <w:marBottom w:val="0"/>
      <w:divBdr>
        <w:top w:val="none" w:sz="0" w:space="0" w:color="auto"/>
        <w:left w:val="none" w:sz="0" w:space="0" w:color="auto"/>
        <w:bottom w:val="none" w:sz="0" w:space="0" w:color="auto"/>
        <w:right w:val="none" w:sz="0" w:space="0" w:color="auto"/>
      </w:divBdr>
    </w:div>
    <w:div w:id="2025283185">
      <w:bodyDiv w:val="1"/>
      <w:marLeft w:val="0"/>
      <w:marRight w:val="0"/>
      <w:marTop w:val="0"/>
      <w:marBottom w:val="0"/>
      <w:divBdr>
        <w:top w:val="none" w:sz="0" w:space="0" w:color="auto"/>
        <w:left w:val="none" w:sz="0" w:space="0" w:color="auto"/>
        <w:bottom w:val="none" w:sz="0" w:space="0" w:color="auto"/>
        <w:right w:val="none" w:sz="0" w:space="0" w:color="auto"/>
      </w:divBdr>
    </w:div>
    <w:div w:id="2144732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d929acf84fd54cae85f49d2dcc53b9cc" PartId="05ff0d5c47154217948150a58bbd12c2">
    <Part Type="skirsnis" Title="DĖL LIETUVOS RESPUBLIKOS VYRIAUSYBĖS NUTARIMO PROJEKTO DERINIMO" DocPartId="180a7206a0ad420993b17758022c5e8e" PartId="9c66abc726014da3a9518d212f69140e"/>
  </Part>
</Parts>
</file>

<file path=customXml/itemProps1.xml><?xml version="1.0" encoding="utf-8"?>
<ds:datastoreItem xmlns:ds="http://schemas.openxmlformats.org/officeDocument/2006/customXml" ds:itemID="{0758370D-E0A4-40DB-88C1-7BE30D07227F}">
  <ds:schemaRefs>
    <ds:schemaRef ds:uri="http://schemas.openxmlformats.org/officeDocument/2006/bibliography"/>
  </ds:schemaRefs>
</ds:datastoreItem>
</file>

<file path=customXml/itemProps2.xml><?xml version="1.0" encoding="utf-8"?>
<ds:datastoreItem xmlns:ds="http://schemas.openxmlformats.org/officeDocument/2006/customXml" ds:itemID="{8A0FF757-7726-415C-9A72-F48D5445C1D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506</Words>
  <Characters>3866</Characters>
  <Application>Microsoft Office Word</Application>
  <DocSecurity>4</DocSecurity>
  <Lines>128</Lines>
  <Paragraphs>15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2011-</vt:lpstr>
      <vt:lpstr>2011-</vt:lpstr>
    </vt:vector>
  </TitlesOfParts>
  <Company>NKD</Company>
  <LinksUpToDate>false</LinksUpToDate>
  <CharactersWithSpaces>4357</CharactersWithSpaces>
  <SharedDoc>false</SharedDoc>
  <HyperlinkBase/>
  <HLinks>
    <vt:vector size="6" baseType="variant">
      <vt:variant>
        <vt:i4>1441905</vt:i4>
      </vt:variant>
      <vt:variant>
        <vt:i4>0</vt:i4>
      </vt:variant>
      <vt:variant>
        <vt:i4>0</vt:i4>
      </vt:variant>
      <vt:variant>
        <vt:i4>5</vt:i4>
      </vt:variant>
      <vt:variant>
        <vt:lpwstr>mailto:irena.zlabiene@ntakd.lt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2024-12-10T13:26:00Z</dcterms:created>
  <dc:creator>NKD15TEISESSK</dc:creator>
  <lastModifiedBy>adlibuser</lastModifiedBy>
  <lastPrinted>2024-07-02T12:50:00Z</lastPrinted>
  <dcterms:modified xsi:type="dcterms:W3CDTF">2024-12-10T13:26:00Z</dcterms:modified>
  <revision>2</revision>
  <dc:title>2011-</dc:title>
</coreProperties>
</file>