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a32f0b40a324113a9d1d6c8b674c8cf"/>
        <w:lock w:val="sdtLocked"/>
        <w:richText/>
      </w:sdtPr>
      <w:sdtContent>
        <w:p>
          <w:pPr>
            <w:ind w:left="7776"/>
            <w:rPr>
              <w:szCs w:val="24"/>
            </w:rPr>
          </w:pPr>
          <w:r>
            <w:rPr>
              <w:b/>
              <w:bCs/>
              <w:szCs w:val="24"/>
            </w:rPr>
            <w:t>Projektas</w:t>
            <w:br/>
          </w:r>
          <w:r>
            <w:rPr>
              <w:szCs w:val="24"/>
            </w:rPr>
            <w:t>Nr. TSP-</w:t>
          </w:r>
        </w:p>
        <w:p>
          <w:pPr>
            <w:jc w:val="center"/>
            <w:rPr>
              <w:b/>
              <w:bCs/>
              <w:szCs w:val="24"/>
            </w:rPr>
          </w:pPr>
        </w:p>
        <w:p>
          <w:pPr>
            <w:jc w:val="center"/>
            <w:rPr>
              <w:b/>
              <w:bCs/>
              <w:szCs w:val="24"/>
            </w:rPr>
          </w:pPr>
          <w:r>
            <w:rPr>
              <w:b/>
              <w:bCs/>
              <w:szCs w:val="24"/>
            </w:rPr>
            <w:t>RADVILIŠKIO RAJONO SAVIVALDYBĖS TARYBA</w:t>
          </w:r>
        </w:p>
        <w:p>
          <w:pPr>
            <w:tabs>
              <w:tab w:val="left" w:pos="2010"/>
            </w:tabs>
            <w:ind w:firstLine="2010"/>
            <w:rPr>
              <w:b/>
              <w:bCs/>
              <w:sz w:val="16"/>
              <w:szCs w:val="16"/>
            </w:rPr>
          </w:pPr>
        </w:p>
        <w:p>
          <w:pPr>
            <w:jc w:val="center"/>
            <w:rPr>
              <w:b/>
              <w:bCs/>
              <w:szCs w:val="24"/>
            </w:rPr>
          </w:pPr>
          <w:r>
            <w:rPr>
              <w:b/>
              <w:bCs/>
              <w:szCs w:val="24"/>
            </w:rPr>
            <w:t>SPRENDIMAS</w:t>
          </w:r>
        </w:p>
        <w:p>
          <w:pPr>
            <w:jc w:val="center"/>
            <w:rPr>
              <w:b/>
              <w:szCs w:val="24"/>
            </w:rPr>
          </w:pPr>
          <w:r>
            <w:rPr>
              <w:b/>
              <w:position w:val="6"/>
              <w:szCs w:val="24"/>
              <w:lang w:eastAsia="lt-LT"/>
              <w14:cntxtAlts/>
            </w:rPr>
            <w:t xml:space="preserve">DĖL RADVILIŠKIO RAJONO SAVIVALDYBĖS TARYBOS 2025 M. VASARIO 13 D. SPRENDIMO NR. T-570 „DĖL RADVILIŠKIO RAJONO SAVIVALDYBĖS APLINKOS APSAUGOS RĖMIMO SPECIALIOSIOS PROGRAMOS 2025 METŲ PRIEMONIŲ VYKDYMO SĄMATOS PATVIRTINIMO“ PAKEITIMO </w:t>
          </w:r>
        </w:p>
        <w:p>
          <w:pPr>
            <w:rPr>
              <w:sz w:val="20"/>
            </w:rPr>
          </w:pPr>
        </w:p>
        <w:p>
          <w:pPr>
            <w:jc w:val="center"/>
            <w:rPr>
              <w:szCs w:val="24"/>
            </w:rPr>
          </w:pPr>
          <w:r>
            <w:rPr>
              <w:szCs w:val="24"/>
            </w:rPr>
            <w:t xml:space="preserve">2025 m.                           d. Nr. T-</w:t>
          </w:r>
        </w:p>
        <w:p>
          <w:pPr>
            <w:jc w:val="center"/>
            <w:rPr>
              <w:szCs w:val="24"/>
            </w:rPr>
          </w:pPr>
          <w:r>
            <w:rPr>
              <w:szCs w:val="24"/>
            </w:rPr>
            <w:t>Radviliškis</w:t>
          </w:r>
        </w:p>
        <w:p>
          <w:pPr>
            <w:tabs>
              <w:tab w:val="left" w:pos="7680"/>
            </w:tabs>
            <w:jc w:val="both"/>
            <w:rPr>
              <w:sz w:val="22"/>
              <w:szCs w:val="24"/>
            </w:rPr>
          </w:pPr>
        </w:p>
        <w:sdt>
          <w:sdtPr>
            <w:alias w:val="preambule"/>
            <w:tag w:val="part_9749c6e7e36342b4b8d21e320ba0a4ba"/>
            <w:lock w:val="sdtLocked"/>
            <w:richText/>
          </w:sdtPr>
          <w:sdtContent>
            <w:p>
              <w:pPr>
                <w:tabs>
                  <w:tab w:val="left" w:pos="8222"/>
                  <w:tab w:val="left" w:pos="8505"/>
                  <w:tab w:val="left" w:pos="9639"/>
                </w:tabs>
                <w:spacing w:line="276" w:lineRule="auto"/>
                <w:ind w:firstLine="709"/>
                <w:jc w:val="both"/>
                <w:rPr>
                  <w:lang w:bidi="he-IL"/>
                </w:rPr>
              </w:pPr>
              <w:r>
                <w:rPr>
                  <w:szCs w:val="24"/>
                  <w:lang w:eastAsia="lt-LT"/>
                </w:rPr>
                <w:t xml:space="preserve">Radviliškio rajono savivaldybės taryba </w:t>
              </w:r>
              <w:r>
                <w:rPr>
                  <w:spacing w:val="50"/>
                  <w:szCs w:val="24"/>
                  <w:lang w:eastAsia="lt-LT"/>
                </w:rPr>
                <w:t>nusprendžia</w:t>
              </w:r>
              <w:r>
                <w:rPr>
                  <w:lang w:bidi="he-IL"/>
                </w:rPr>
                <w:t xml:space="preserve">: </w:t>
              </w:r>
            </w:p>
          </w:sdtContent>
        </w:sdt>
        <w:sdt>
          <w:sdtPr>
            <w:alias w:val="pastraipa"/>
            <w:tag w:val="part_4738153514d044f8bbfef36ac631a405"/>
            <w:lock w:val="sdtLocked"/>
            <w:richText/>
          </w:sdtPr>
          <w:sdtContent>
            <w:p>
              <w:pPr>
                <w:tabs>
                  <w:tab w:val="left" w:pos="8222"/>
                  <w:tab w:val="left" w:pos="8505"/>
                  <w:tab w:val="left" w:pos="9639"/>
                </w:tabs>
                <w:spacing w:line="276" w:lineRule="auto"/>
                <w:ind w:firstLine="709"/>
                <w:jc w:val="both"/>
                <w:rPr>
                  <w:rFonts w:ascii="Thorndale" w:eastAsia="Lucida Sans Unicode" w:hAnsi="Thorndale" w:cs="Tahoma"/>
                  <w:kern w:val="2"/>
                  <w:szCs w:val="24"/>
                  <w:lang w:eastAsia="zh-CN"/>
                </w:rPr>
              </w:pPr>
              <w:r>
                <w:rPr>
                  <w:szCs w:val="24"/>
                  <w:lang w:eastAsia="lt-LT"/>
                </w:rPr>
                <w:t xml:space="preserve">Pakeisti Radviliškio rajono savivaldybės aplinkos apsaugos rėmimo programos sąmatos, patvirtintos 2025 m. vasario 13 d. sprendimu Nr. T-570 „Dėl Radviliškio rajono savivaldybės aplinkos apsaugos priemonių rėmimo specialiosios programos 2025 metų priemonių vykdymo sąmatos patvirtinimo“ </w:t>
              </w:r>
              <w:r>
                <w:rPr>
                  <w:rFonts w:ascii="Thorndale" w:eastAsia="Lucida Sans Unicode" w:hAnsi="Thorndale" w:cs="Tahoma"/>
                  <w:kern w:val="2"/>
                  <w:szCs w:val="24"/>
                  <w:lang w:eastAsia="zh-CN"/>
                </w:rPr>
                <w:t>4.1.1 papunktį ir jį išdėstyti taip:</w:t>
              </w:r>
            </w:p>
          </w:sdtContent>
        </w:sdt>
        <w:sdt>
          <w:sdtPr>
            <w:alias w:val="4 p."/>
            <w:tag w:val="part_63aec682f1f1490d86f357a8b008280d"/>
            <w:lock w:val="sdtLocked"/>
            <w:richText/>
          </w:sdtPr>
          <w:sdtContent>
            <w:p>
              <w:pPr>
                <w:ind w:left="709"/>
                <w:jc w:val="both"/>
                <w:rPr>
                  <w:b/>
                  <w:szCs w:val="24"/>
                </w:rPr>
              </w:pPr>
              <w:sdt>
                <w:sdtPr>
                  <w:alias w:val="Numeris"/>
                  <w:tag w:val="nr_63aec682f1f1490d86f357a8b008280d"/>
                  <w:lock w:val="sdtLocked"/>
                  <w:richText/>
                </w:sdtPr>
                <w:sdtContent>
                  <w:r>
                    <w:rPr>
                      <w:b/>
                      <w:szCs w:val="24"/>
                    </w:rPr>
                    <w:t>4</w:t>
                  </w:r>
                </w:sdtContent>
              </w:sdt>
              <w:r>
                <w:rPr>
                  <w:b/>
                  <w:szCs w:val="24"/>
                </w:rPr>
                <w:t>. Kitos aplinkosaugos priemonės, kurioms įgyvendinti panaudotos Programos lėšos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2592"/>
                <w:gridCol w:w="4807"/>
                <w:gridCol w:w="1360"/>
              </w:tblGrid>
              <w:tr>
                <w:trPr>
                  <w:tblHeader/>
                </w:trPr>
                <w:tc>
                  <w:tcPr>
                    <w:tcW w:w="869" w:type="dxa"/>
                  </w:tcPr>
                  <w:p>
                    <w:pPr>
                      <w:widowControl w:val="0"/>
                      <w:suppressAutoHyphens/>
                      <w:jc w:val="both"/>
                      <w:rPr>
                        <w:b/>
                        <w:szCs w:val="24"/>
                      </w:rPr>
                    </w:pPr>
                    <w:r>
                      <w:rPr>
                        <w:b/>
                        <w:szCs w:val="24"/>
                      </w:rPr>
                      <w:t>Eil. Nr.</w:t>
                    </w:r>
                  </w:p>
                </w:tc>
                <w:tc>
                  <w:tcPr>
                    <w:tcW w:w="2592" w:type="dxa"/>
                  </w:tcPr>
                  <w:p>
                    <w:pPr>
                      <w:widowControl w:val="0"/>
                      <w:suppressAutoHyphens/>
                      <w:rPr>
                        <w:szCs w:val="24"/>
                      </w:rPr>
                    </w:pPr>
                    <w:r>
                      <w:rPr>
                        <w:b/>
                        <w:szCs w:val="24"/>
                      </w:rPr>
                      <w:t>Priemonės pavadinimas</w:t>
                    </w:r>
                  </w:p>
                </w:tc>
                <w:tc>
                  <w:tcPr>
                    <w:tcW w:w="4807" w:type="dxa"/>
                  </w:tcPr>
                  <w:p>
                    <w:pPr>
                      <w:widowControl w:val="0"/>
                      <w:suppressAutoHyphens/>
                      <w:ind w:firstLine="312"/>
                      <w:jc w:val="both"/>
                      <w:rPr>
                        <w:b/>
                        <w:szCs w:val="24"/>
                      </w:rPr>
                    </w:pPr>
                    <w:r>
                      <w:rPr>
                        <w:b/>
                        <w:szCs w:val="24"/>
                      </w:rPr>
                      <w:t>Detalus priemonės vykdymo aprašymas</w:t>
                    </w:r>
                  </w:p>
                </w:tc>
                <w:tc>
                  <w:tcPr>
                    <w:tcW w:w="1360" w:type="dxa"/>
                  </w:tcPr>
                  <w:p>
                    <w:pPr>
                      <w:widowControl w:val="0"/>
                      <w:suppressAutoHyphens/>
                      <w:jc w:val="both"/>
                      <w:rPr>
                        <w:b/>
                        <w:szCs w:val="24"/>
                      </w:rPr>
                    </w:pPr>
                    <w:r>
                      <w:rPr>
                        <w:b/>
                        <w:szCs w:val="24"/>
                      </w:rPr>
                      <w:t>Pagal sąmatą lėšų poreikis, Eur</w:t>
                    </w:r>
                  </w:p>
                </w:tc>
              </w:tr>
              <w:tr>
                <w:tc>
                  <w:tcPr>
                    <w:tcW w:w="869" w:type="dxa"/>
                  </w:tcPr>
                  <w:p>
                    <w:pPr>
                      <w:widowControl w:val="0"/>
                      <w:suppressAutoHyphens/>
                      <w:jc w:val="both"/>
                      <w:rPr>
                        <w:szCs w:val="24"/>
                      </w:rPr>
                    </w:pPr>
                    <w:r>
                      <w:rPr>
                        <w:szCs w:val="24"/>
                      </w:rPr>
                      <w:t>4.1.</w:t>
                    </w:r>
                  </w:p>
                </w:tc>
                <w:tc>
                  <w:tcPr>
                    <w:tcW w:w="7399" w:type="dxa"/>
                    <w:gridSpan w:val="2"/>
                  </w:tcPr>
                  <w:p>
                    <w:pPr>
                      <w:widowControl w:val="0"/>
                      <w:suppressAutoHyphens/>
                      <w:ind w:firstLine="13"/>
                      <w:rPr>
                        <w:b/>
                        <w:szCs w:val="24"/>
                      </w:rPr>
                    </w:pPr>
                    <w:r>
                      <w:rPr>
                        <w:b/>
                        <w:szCs w:val="24"/>
                      </w:rPr>
                      <w:t>Aplinkos kokybės gerinimo ir apsaugos priemonės</w:t>
                    </w:r>
                  </w:p>
                </w:tc>
                <w:tc>
                  <w:tcPr>
                    <w:tcW w:w="1360" w:type="dxa"/>
                  </w:tcPr>
                  <w:p>
                    <w:pPr>
                      <w:widowControl w:val="0"/>
                      <w:suppressAutoHyphens/>
                      <w:jc w:val="both"/>
                      <w:rPr>
                        <w:szCs w:val="24"/>
                      </w:rPr>
                    </w:pPr>
                  </w:p>
                </w:tc>
              </w:tr>
              <w:tr>
                <w:tc>
                  <w:tcPr>
                    <w:tcW w:w="869" w:type="dxa"/>
                  </w:tcPr>
                  <w:p>
                    <w:pPr>
                      <w:widowControl w:val="0"/>
                      <w:suppressAutoHyphens/>
                      <w:jc w:val="both"/>
                      <w:rPr>
                        <w:szCs w:val="24"/>
                      </w:rPr>
                    </w:pPr>
                    <w:r>
                      <w:rPr>
                        <w:szCs w:val="24"/>
                      </w:rPr>
                      <w:t>4.1.1.</w:t>
                    </w:r>
                  </w:p>
                </w:tc>
                <w:tc>
                  <w:tcPr>
                    <w:tcW w:w="2592" w:type="dxa"/>
                  </w:tcPr>
                  <w:p>
                    <w:pPr>
                      <w:widowControl w:val="0"/>
                      <w:suppressAutoHyphens/>
                      <w:ind w:firstLine="13"/>
                      <w:jc w:val="both"/>
                      <w:rPr>
                        <w:szCs w:val="24"/>
                      </w:rPr>
                    </w:pPr>
                    <w:r>
                      <w:rPr>
                        <w:szCs w:val="24"/>
                      </w:rPr>
                      <w:t xml:space="preserve">Teršalų, išmetamų į atmosferą, vandenį, žemės paviršių ir gilesnius jo sluoksnius, mažinimo įrenginių (pvz., nuotekų ir lietaus surinkimo, valymo, vandens tiekimo sistemos ir jų elementai) įsigijimo, projektavimo, statybos, remonto, rekonstravimo darbų finansavimas </w:t>
                    </w:r>
                    <w:r>
                      <w:rPr>
                        <w:b/>
                        <w:i/>
                        <w:szCs w:val="24"/>
                      </w:rPr>
                      <w:t>(Polekėlės k. – buitinių nuotekų tinklų rekonstrukcija ir siurblinės įrengimas)</w:t>
                    </w:r>
                  </w:p>
                </w:tc>
                <w:tc>
                  <w:tcPr>
                    <w:tcW w:w="4807" w:type="dxa"/>
                  </w:tcPr>
                  <w:p>
                    <w:pPr>
                      <w:widowControl w:val="0"/>
                      <w:suppressAutoHyphens/>
                      <w:ind w:firstLine="13"/>
                      <w:jc w:val="both"/>
                      <w:rPr>
                        <w:szCs w:val="24"/>
                      </w:rPr>
                    </w:pPr>
                    <w:r>
                      <w:rPr>
                        <w:szCs w:val="24"/>
                      </w:rPr>
                      <w:t>Asignavimų valdytojas – Radviliškio rajono savivaldybės administracija, atsakingas – Investicijų ir turto skyrius. Vykdytojas – Investicijų ir turto skyrius. Vykdymo pradžia – 2025 m. I ketv., pabaiga – 2025 m. IV ketv. (dotacija UAB „Radviliškio vanduo“).</w:t>
                    </w:r>
                  </w:p>
                </w:tc>
                <w:tc>
                  <w:tcPr>
                    <w:tcW w:w="1360" w:type="dxa"/>
                  </w:tcPr>
                  <w:p>
                    <w:pPr>
                      <w:widowControl w:val="0"/>
                      <w:suppressAutoHyphens/>
                      <w:jc w:val="center"/>
                      <w:rPr>
                        <w:szCs w:val="24"/>
                      </w:rPr>
                    </w:pPr>
                    <w:r>
                      <w:rPr>
                        <w:szCs w:val="24"/>
                      </w:rPr>
                      <w:t>30 000</w:t>
                    </w:r>
                  </w:p>
                  <w:p>
                    <w:pPr>
                      <w:widowControl w:val="0"/>
                      <w:suppressAutoHyphens/>
                      <w:jc w:val="center"/>
                      <w:rPr>
                        <w:szCs w:val="24"/>
                      </w:rPr>
                    </w:pPr>
                  </w:p>
                </w:tc>
              </w:tr>
            </w:tbl>
            <w:p>
              <w:pPr>
                <w:tabs>
                  <w:tab w:val="left" w:pos="8222"/>
                  <w:tab w:val="left" w:pos="8505"/>
                  <w:tab w:val="left" w:pos="9639"/>
                </w:tabs>
                <w:spacing w:line="276" w:lineRule="auto"/>
                <w:ind w:left="1069"/>
                <w:jc w:val="both"/>
                <w:rPr>
                  <w:rFonts w:eastAsia="Lucida Sans Unicode"/>
                  <w:kern w:val="2"/>
                  <w:szCs w:val="24"/>
                  <w:lang w:val="en-US" w:eastAsia="zh-CN"/>
                </w:rPr>
              </w:pPr>
            </w:p>
            <w:p>
              <w:pPr>
                <w:rPr>
                  <w:szCs w:val="24"/>
                </w:rPr>
              </w:pPr>
            </w:p>
            <w:p>
              <w:pPr>
                <w:rPr>
                  <w:szCs w:val="24"/>
                </w:rPr>
              </w:pPr>
            </w:p>
            <w:p>
              <w:pPr>
                <w:rPr>
                  <w:szCs w:val="24"/>
                </w:rPr>
              </w:pPr>
              <w:r>
                <w:rPr>
                  <w:szCs w:val="24"/>
                </w:rPr>
                <w:t xml:space="preserve">Savivaldybės meras        </w:t>
              </w: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p>
              <w:pPr>
                <w:jc w:val="center"/>
                <w:rPr>
                  <w:b/>
                  <w:position w:val="6"/>
                  <w:szCs w:val="24"/>
                  <w:lang w:eastAsia="lt-LT"/>
                  <w14:cntxtAlts/>
                </w:rPr>
              </w:pPr>
            </w:p>
            <w:sdt>
              <w:sdtPr>
                <w:alias w:val="lentele"/>
                <w:tag w:val="part_720c458a5f6243c3ae4f25481ba89234"/>
                <w:lock w:val="sdtLocked"/>
                <w:richText/>
              </w:sdtPr>
              <w:sdtContent>
                <w:sdt>
                  <w:sdtPr>
                    <w:alias w:val="Pavadinimas"/>
                    <w:tag w:val="title_720c458a5f6243c3ae4f25481ba89234"/>
                    <w:lock w:val="sdtLocked"/>
                    <w:richText/>
                  </w:sdtPr>
                  <w:sdtContent>
                    <w:p>
                      <w:pPr>
                        <w:jc w:val="center"/>
                        <w:rPr>
                          <w:szCs w:val="24"/>
                        </w:rPr>
                      </w:pPr>
                      <w:r>
                        <w:rPr>
                          <w:b/>
                          <w:position w:val="6"/>
                          <w:szCs w:val="24"/>
                          <w:lang w:eastAsia="lt-LT"/>
                          <w14:cntxtAlts/>
                        </w:rPr>
                        <w:t>DĖL RADVILIŠKIO RAJONO SAVIVALDYBĖS TARYBOS 2025 M. VASARIO 13 D. SPRENDIMO NR. T-570 „DĖL RADVILIŠKIO RAJONO SAVIVALDYBĖS APLINKOS APSAUGOS RĖMIMO SPECIALIOSIOS PROGRAMOS 2025 METŲ PRIEMONIŲ VYKDYMO SĄMATOS PATVIRTINIMO“ PAKEITIMO</w:t>
                      </w:r>
                    </w:p>
                    <w:p>
                      <w:pPr>
                        <w:keepNext/>
                        <w:jc w:val="center"/>
                        <w:outlineLvl w:val="1"/>
                        <w:rPr>
                          <w:b/>
                          <w:bCs/>
                          <w:caps/>
                          <w:szCs w:val="24"/>
                        </w:rPr>
                      </w:pPr>
                      <w:r>
                        <w:rPr>
                          <w:b/>
                          <w:bCs/>
                          <w:caps/>
                          <w:szCs w:val="24"/>
                        </w:rPr>
                        <w:t>AIŠKINAMASIS RAŠTAS</w:t>
                      </w:r>
                    </w:p>
                  </w:sdtContent>
                </w:sdt>
                <w:tbl>
                  <w:tblPr>
                    <w:tblW w:w="9793" w:type="dxa"/>
                    <w:tblInd w:w="-12" w:type="dxa"/>
                    <w:tblLayout w:type="fixed"/>
                    <w:tblLook w:val="0000" w:firstRow="0" w:lastRow="0" w:firstColumn="0" w:lastColumn="0" w:noHBand="0" w:noVBand="0"/>
                  </w:tblPr>
                  <w:tblGrid>
                    <w:gridCol w:w="12"/>
                    <w:gridCol w:w="9781"/>
                  </w:tblGrid>
                  <w:tr>
                    <w:tc>
                      <w:tcPr>
                        <w:tcW w:w="9793" w:type="dxa"/>
                        <w:gridSpan w:val="2"/>
                      </w:tcPr>
                      <w:p>
                        <w:pPr>
                          <w:widowControl w:val="0"/>
                          <w:tabs>
                            <w:tab w:val="left" w:pos="567"/>
                          </w:tabs>
                          <w:suppressAutoHyphens/>
                          <w:spacing w:line="360" w:lineRule="auto"/>
                          <w:jc w:val="center"/>
                          <w:rPr>
                            <w:szCs w:val="24"/>
                          </w:rPr>
                        </w:pPr>
                      </w:p>
                      <w:p>
                        <w:pPr>
                          <w:widowControl w:val="0"/>
                          <w:tabs>
                            <w:tab w:val="left" w:pos="567"/>
                          </w:tabs>
                          <w:suppressAutoHyphens/>
                          <w:spacing w:line="360" w:lineRule="auto"/>
                          <w:jc w:val="center"/>
                          <w:rPr>
                            <w:szCs w:val="24"/>
                          </w:rPr>
                        </w:pPr>
                        <w:r>
                          <w:rPr>
                            <w:szCs w:val="24"/>
                          </w:rPr>
                          <w:t>2025 m. spalio 20 d.</w:t>
                        </w:r>
                      </w:p>
                      <w:p>
                        <w:pPr>
                          <w:widowControl w:val="0"/>
                          <w:tabs>
                            <w:tab w:val="left" w:pos="567"/>
                          </w:tabs>
                          <w:suppressAutoHyphens/>
                          <w:spacing w:line="360" w:lineRule="auto"/>
                          <w:jc w:val="center"/>
                          <w:rPr>
                            <w:szCs w:val="24"/>
                          </w:rPr>
                        </w:pPr>
                        <w:r>
                          <w:rPr>
                            <w:szCs w:val="24"/>
                          </w:rPr>
                          <w:t>Radviliškis</w:t>
                        </w:r>
                      </w:p>
                      <w:p>
                        <w:pPr>
                          <w:tabs>
                            <w:tab w:val="left" w:pos="1134"/>
                          </w:tabs>
                          <w:spacing w:line="360" w:lineRule="auto"/>
                          <w:jc w:val="both"/>
                          <w:rPr>
                            <w:rFonts w:ascii="Thorndale" w:hAnsi="Thorndale" w:cs="Tahoma"/>
                            <w:szCs w:val="24"/>
                            <w:lang w:bidi="he-IL"/>
                          </w:rPr>
                        </w:pPr>
                      </w:p>
                      <w:p>
                        <w:pPr>
                          <w:widowControl w:val="0"/>
                          <w:tabs>
                            <w:tab w:val="left" w:pos="993"/>
                          </w:tabs>
                          <w:suppressAutoHyphens/>
                          <w:spacing w:line="360" w:lineRule="auto"/>
                          <w:ind w:firstLine="761"/>
                          <w:jc w:val="both"/>
                          <w:rPr>
                            <w:rFonts w:ascii="Thorndale" w:hAnsi="Thorndale" w:cs="Tahoma"/>
                            <w:b/>
                            <w:bCs/>
                            <w:szCs w:val="24"/>
                          </w:rPr>
                        </w:pPr>
                        <w:r>
                          <w:rPr>
                            <w:b/>
                            <w:bCs/>
                            <w:szCs w:val="24"/>
                          </w:rPr>
                          <w:t>1.</w:t>
                          <w:tab/>
                        </w:r>
                        <w:r>
                          <w:rPr>
                            <w:rFonts w:ascii="Thorndale" w:hAnsi="Thorndale" w:cs="Tahoma"/>
                            <w:b/>
                            <w:szCs w:val="24"/>
                            <w:lang w:bidi="he-IL"/>
                          </w:rPr>
                          <w:t>Projekto rengimą paskatinusios priežastys, parengto projekto tikslai, sprendimo projekto tikslai ir uždaviniai</w:t>
                        </w:r>
                        <w:r>
                          <w:rPr>
                            <w:rFonts w:ascii="Thorndale" w:hAnsi="Thorndale" w:cs="Tahoma"/>
                            <w:szCs w:val="24"/>
                            <w:lang w:bidi="he-IL"/>
                          </w:rPr>
                          <w:t>.</w:t>
                        </w:r>
                      </w:p>
                      <w:p>
                        <w:pPr>
                          <w:spacing w:line="360" w:lineRule="auto"/>
                          <w:ind w:firstLine="761"/>
                          <w:jc w:val="both"/>
                          <w:rPr>
                            <w:rFonts w:ascii="Thorndale" w:hAnsi="Thorndale" w:cs="Tahoma"/>
                            <w:bCs/>
                            <w:iCs/>
                            <w:szCs w:val="24"/>
                          </w:rPr>
                        </w:pPr>
                        <w:r>
                          <w:rPr>
                            <w:rFonts w:ascii="Thorndale" w:hAnsi="Thorndale" w:cs="Tahoma"/>
                            <w:szCs w:val="24"/>
                          </w:rPr>
                          <w:t>Pakeisti Radviliškio rajono savivaldybės 2025 m. aplinkos apsaugos rėmimo specialiosios programos priemonių vykdymo sąmatą, patvirtintą R</w:t>
                        </w:r>
                        <w:r>
                          <w:rPr>
                            <w:rFonts w:ascii="Thorndale" w:hAnsi="Thorndale" w:cs="Tahoma"/>
                            <w:bCs/>
                            <w:szCs w:val="24"/>
                          </w:rPr>
                          <w:t xml:space="preserve">adviliškio rajono savivaldybės tarybos 2025 m. vasario 13 d. sprendimu Nr. T-570 „ Dėl Radviliškio rajono savivaldybės aplinkos apsaugos rėmimo specialiosios programos 2025 metų priemonių vykdymo sąmatos patvirtinimo“ 4 punkto 4.1.1 papunktį, nes 30 000 eurų Radviliškio rajono savivaldybės aplinkos apsaugos rėmimo specialiosios programos lėšų, skirtų Baisogalos miestelio paviršinių nuotekų tinklų atskyrimui nuo buitinių nuotekų tinklų, nebuvo panaudotos ir jas siūloma nukreipti </w:t>
                        </w:r>
                        <w:r>
                          <w:rPr>
                            <w:rFonts w:cs="Tahoma"/>
                            <w:bCs/>
                            <w:iCs/>
                            <w:szCs w:val="24"/>
                          </w:rPr>
                          <w:t>Polekėlės kaimo buitinių nuotekų tinklų rekonstrukcijai ir siurblinės įrengimui.</w:t>
                        </w:r>
                      </w:p>
                      <w:p>
                        <w:pPr>
                          <w:widowControl w:val="0"/>
                          <w:tabs>
                            <w:tab w:val="left" w:pos="993"/>
                          </w:tabs>
                          <w:suppressAutoHyphens/>
                          <w:spacing w:line="360" w:lineRule="auto"/>
                          <w:ind w:left="1656" w:hanging="895"/>
                          <w:jc w:val="both"/>
                          <w:rPr>
                            <w:rFonts w:ascii="Thorndale" w:hAnsi="Thorndale" w:cs="Tahoma"/>
                            <w:b/>
                            <w:bCs/>
                            <w:szCs w:val="24"/>
                          </w:rPr>
                        </w:pPr>
                        <w:r>
                          <w:rPr>
                            <w:b/>
                            <w:bCs/>
                            <w:szCs w:val="24"/>
                          </w:rPr>
                          <w:t>2.</w:t>
                          <w:tab/>
                        </w:r>
                        <w:r>
                          <w:rPr>
                            <w:rFonts w:ascii="Thorndale" w:hAnsi="Thorndale" w:cs="Tahoma"/>
                            <w:b/>
                            <w:bCs/>
                            <w:szCs w:val="24"/>
                          </w:rPr>
                          <w:t>Projekto iniciatoriai (institucija, asmenys ar piliečių atstovai) ir rengėjai.</w:t>
                        </w:r>
                      </w:p>
                      <w:p>
                        <w:pPr>
                          <w:widowControl w:val="0"/>
                          <w:suppressAutoHyphens/>
                          <w:spacing w:line="360" w:lineRule="auto"/>
                          <w:ind w:firstLine="761"/>
                          <w:jc w:val="both"/>
                          <w:rPr>
                            <w:rFonts w:ascii="Thorndale" w:hAnsi="Thorndale" w:cs="Tahoma"/>
                            <w:szCs w:val="24"/>
                          </w:rPr>
                        </w:pPr>
                        <w:r>
                          <w:rPr>
                            <w:szCs w:val="24"/>
                          </w:rPr>
                          <w:t>Žemės ūkio skyriaus vyriausioji specialistė Valentina Grinienė.</w:t>
                        </w:r>
                      </w:p>
                      <w:p>
                        <w:pPr>
                          <w:widowControl w:val="0"/>
                          <w:tabs>
                            <w:tab w:val="left" w:pos="993"/>
                          </w:tabs>
                          <w:suppressAutoHyphens/>
                          <w:spacing w:line="360" w:lineRule="auto"/>
                          <w:ind w:left="1656" w:hanging="895"/>
                          <w:jc w:val="both"/>
                          <w:rPr>
                            <w:rFonts w:ascii="Thorndale" w:hAnsi="Thorndale" w:cs="Tahoma"/>
                            <w:b/>
                            <w:szCs w:val="24"/>
                          </w:rPr>
                        </w:pPr>
                        <w:r>
                          <w:rPr>
                            <w:b/>
                            <w:szCs w:val="24"/>
                          </w:rPr>
                          <w:t>3.</w:t>
                          <w:tab/>
                        </w:r>
                        <w:r>
                          <w:rPr>
                            <w:rFonts w:ascii="Thorndale" w:hAnsi="Thorndale" w:cs="Tahoma"/>
                            <w:b/>
                            <w:szCs w:val="24"/>
                          </w:rPr>
                          <w:t>Kaip šiuo metu yra reguliuojami sprendimo projekte aptarti teisiniai santykiai.</w:t>
                        </w:r>
                      </w:p>
                      <w:p>
                        <w:pPr>
                          <w:widowControl w:val="0"/>
                          <w:tabs>
                            <w:tab w:val="left" w:pos="0"/>
                          </w:tabs>
                          <w:suppressAutoHyphens/>
                          <w:spacing w:line="360" w:lineRule="auto"/>
                          <w:ind w:firstLine="761"/>
                          <w:jc w:val="both"/>
                          <w:rPr>
                            <w:szCs w:val="24"/>
                          </w:rPr>
                        </w:pPr>
                        <w:r>
                          <w:rPr>
                            <w:szCs w:val="24"/>
                          </w:rPr>
                          <w:t>-</w:t>
                        </w:r>
                      </w:p>
                      <w:p>
                        <w:pPr>
                          <w:widowControl w:val="0"/>
                          <w:tabs>
                            <w:tab w:val="left" w:pos="993"/>
                          </w:tabs>
                          <w:suppressAutoHyphens/>
                          <w:spacing w:line="360" w:lineRule="auto"/>
                          <w:ind w:firstLine="761"/>
                          <w:jc w:val="both"/>
                          <w:rPr>
                            <w:rFonts w:ascii="Thorndale" w:hAnsi="Thorndale" w:cs="Tahoma"/>
                            <w:szCs w:val="24"/>
                            <w:shd w:val="clear" w:color="auto" w:fill="FFFFFF"/>
                          </w:rPr>
                        </w:pPr>
                        <w:r>
                          <w:rPr>
                            <w:b/>
                            <w:szCs w:val="24"/>
                          </w:rPr>
                          <w:t>4.</w:t>
                          <w:tab/>
                        </w:r>
                        <w:r>
                          <w:rPr>
                            <w:rFonts w:ascii="Thorndale" w:hAnsi="Thorndale" w:cs="Tahoma"/>
                            <w:b/>
                            <w:bCs/>
                            <w:szCs w:val="24"/>
                          </w:rPr>
                          <w:t>Kokios siūlomos naujos teisinio reguliavimo nuostatos, kokių teigiamų rezultatų laukiama.</w:t>
                        </w:r>
                      </w:p>
                      <w:p>
                        <w:pPr>
                          <w:widowControl w:val="0"/>
                          <w:tabs>
                            <w:tab w:val="left" w:pos="993"/>
                          </w:tabs>
                          <w:suppressAutoHyphens/>
                          <w:spacing w:line="360" w:lineRule="auto"/>
                          <w:ind w:firstLine="761"/>
                          <w:jc w:val="both"/>
                          <w:rPr>
                            <w:rFonts w:ascii="Thorndale" w:hAnsi="Thorndale" w:cs="Tahoma"/>
                            <w:szCs w:val="24"/>
                          </w:rPr>
                        </w:pPr>
                        <w:r>
                          <w:rPr>
                            <w:rFonts w:ascii="Thorndale" w:hAnsi="Thorndale" w:cs="Tahoma"/>
                            <w:szCs w:val="24"/>
                          </w:rPr>
                          <w:t>Bus pakeista Radviliškio rajono savivaldybės 2025 m. aplinkos apsaugos rėmimo specialiosios programos priemonių vykdymo sąmata.</w:t>
                        </w:r>
                      </w:p>
                      <w:p>
                        <w:pPr>
                          <w:widowControl w:val="0"/>
                          <w:tabs>
                            <w:tab w:val="left" w:pos="993"/>
                          </w:tabs>
                          <w:suppressAutoHyphens/>
                          <w:spacing w:line="360" w:lineRule="auto"/>
                          <w:ind w:left="-90" w:firstLine="851"/>
                          <w:jc w:val="both"/>
                          <w:rPr>
                            <w:rFonts w:ascii="Thorndale" w:hAnsi="Thorndale" w:cs="Tahoma"/>
                            <w:b/>
                            <w:bCs/>
                            <w:szCs w:val="24"/>
                          </w:rPr>
                        </w:pPr>
                        <w:r>
                          <w:rPr>
                            <w:b/>
                            <w:bCs/>
                            <w:szCs w:val="24"/>
                          </w:rPr>
                          <w:t>5.</w:t>
                          <w:tab/>
                        </w:r>
                        <w:r>
                          <w:rPr>
                            <w:rFonts w:ascii="Thorndale" w:hAnsi="Thorndale" w:cs="Tahoma"/>
                            <w:b/>
                            <w:bCs/>
                            <w:szCs w:val="24"/>
                          </w:rPr>
                          <w:t>Galimos neigiamos priimto sprendimo projekto pasekmės ir kokių priemonių reikėtų imtis, kad tokių pasekmių būtų išvengta.</w:t>
                        </w:r>
                      </w:p>
                      <w:p>
                        <w:pPr>
                          <w:widowControl w:val="0"/>
                          <w:suppressAutoHyphens/>
                          <w:spacing w:line="360" w:lineRule="auto"/>
                          <w:ind w:firstLine="709"/>
                          <w:jc w:val="both"/>
                          <w:rPr>
                            <w:rFonts w:ascii="Thorndale" w:hAnsi="Thorndale" w:cs="Tahoma"/>
                            <w:szCs w:val="24"/>
                          </w:rPr>
                        </w:pPr>
                        <w:r>
                          <w:rPr>
                            <w:rFonts w:ascii="Thorndale" w:hAnsi="Thorndale" w:cs="Tahoma"/>
                            <w:szCs w:val="24"/>
                          </w:rPr>
                          <w:t xml:space="preserve">Neigiamų pasekmių nenumatoma. </w:t>
                        </w:r>
                      </w:p>
                      <w:p>
                        <w:pPr>
                          <w:widowControl w:val="0"/>
                          <w:tabs>
                            <w:tab w:val="left" w:pos="993"/>
                          </w:tabs>
                          <w:suppressAutoHyphens/>
                          <w:spacing w:line="360" w:lineRule="auto"/>
                          <w:ind w:firstLine="761"/>
                          <w:jc w:val="both"/>
                          <w:rPr>
                            <w:rFonts w:ascii="Thorndale" w:hAnsi="Thorndale" w:cs="Tahoma"/>
                            <w:b/>
                            <w:bCs/>
                            <w:szCs w:val="24"/>
                          </w:rPr>
                        </w:pPr>
                        <w:r>
                          <w:rPr>
                            <w:b/>
                            <w:bCs/>
                            <w:szCs w:val="24"/>
                          </w:rPr>
                          <w:t>6.</w:t>
                          <w:tab/>
                        </w:r>
                        <w:r>
                          <w:rPr>
                            <w:rFonts w:ascii="Thorndale" w:hAnsi="Thorndale" w:cs="Tahoma"/>
                            <w:b/>
                            <w:bCs/>
                            <w:szCs w:val="24"/>
                          </w:rPr>
                          <w:t>Kokius teisės aktus būtina priimti, kokius galiojančius teisės aktus būtina pakeisti ar pripažinti netekusiais galios priėmus sprendimo projektą.</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2" w:firstLine="709"/>
                          <w:jc w:val="both"/>
                          <w:rPr>
                            <w:bCs/>
                            <w:szCs w:val="24"/>
                            <w:lang w:val="en-US"/>
                          </w:rPr>
                        </w:pPr>
                        <w:r>
                          <w:rPr>
                            <w:szCs w:val="24"/>
                          </w:rPr>
                          <w:t xml:space="preserve">Reikės patikslinti </w:t>
                        </w:r>
                        <w:r>
                          <w:rPr>
                            <w:szCs w:val="24"/>
                            <w:lang w:val="en-US"/>
                          </w:rPr>
                          <w:t>R</w:t>
                        </w:r>
                        <w:r>
                          <w:rPr>
                            <w:bCs/>
                            <w:szCs w:val="24"/>
                            <w:lang w:val="en-US"/>
                          </w:rPr>
                          <w:t xml:space="preserve">adviliškio </w:t>
                        </w:r>
                        <w:r>
                          <w:rPr>
                            <w:bCs/>
                            <w:szCs w:val="24"/>
                          </w:rPr>
                          <w:t>rajono savivaldybės tarybos 2025 m. vasario 13 d. sprendimą Nr. T-570 „ Dėl Radviliškio rajono savivaldybės aplinkos apsaugos rėmimo specialiosios programos 2025 metų priemonių vykdymo sąmatos patvirtinimo“.</w:t>
                        </w:r>
                        <w:r>
                          <w:rPr>
                            <w:bCs/>
                            <w:szCs w:val="24"/>
                            <w:lang w:val="en-US"/>
                          </w:rPr>
                          <w:t xml:space="preserve"> </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left="1611" w:hanging="850"/>
                          <w:jc w:val="both"/>
                          <w:rPr>
                            <w:rFonts w:ascii="Thorndale" w:hAnsi="Thorndale" w:cs="Tahoma"/>
                            <w:b/>
                            <w:szCs w:val="24"/>
                          </w:rPr>
                        </w:pPr>
                        <w:r>
                          <w:rPr>
                            <w:b/>
                            <w:szCs w:val="24"/>
                          </w:rPr>
                          <w:t>7.</w:t>
                          <w:tab/>
                        </w:r>
                        <w:r>
                          <w:rPr>
                            <w:rFonts w:ascii="Thorndale" w:hAnsi="Thorndale" w:cs="Tahoma"/>
                            <w:b/>
                            <w:szCs w:val="24"/>
                          </w:rPr>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61"/>
                          <w:jc w:val="both"/>
                          <w:rPr>
                            <w:bCs/>
                            <w:szCs w:val="24"/>
                          </w:rPr>
                        </w:pPr>
                        <w:r>
                          <w:rPr>
                            <w:bCs/>
                            <w:szCs w:val="24"/>
                          </w:rPr>
                          <w:t>-</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left="1656" w:hanging="895"/>
                          <w:jc w:val="both"/>
                          <w:rPr>
                            <w:rFonts w:ascii="Thorndale" w:hAnsi="Thorndale" w:cs="Tahoma"/>
                            <w:b/>
                            <w:szCs w:val="24"/>
                          </w:rPr>
                        </w:pPr>
                        <w:r>
                          <w:rPr>
                            <w:b/>
                            <w:szCs w:val="24"/>
                          </w:rPr>
                          <w:t>8.</w:t>
                          <w:tab/>
                        </w:r>
                        <w:r>
                          <w:rPr>
                            <w:rFonts w:ascii="Thorndale" w:hAnsi="Thorndale" w:cs="Tahoma"/>
                            <w:b/>
                            <w:szCs w:val="24"/>
                          </w:rPr>
                          <w:t xml:space="preserve">Sprendimo projekto rengimo metu gauti specialistų vertinimai ir išvados. </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left="761"/>
                          <w:jc w:val="both"/>
                          <w:rPr>
                            <w:rFonts w:ascii="Thorndale" w:hAnsi="Thorndale" w:cs="Tahoma"/>
                            <w:b/>
                            <w:szCs w:val="24"/>
                          </w:rPr>
                        </w:pPr>
                        <w:r>
                          <w:rPr>
                            <w:rFonts w:ascii="Thorndale" w:hAnsi="Thorndale" w:cs="Tahoma"/>
                            <w:b/>
                            <w:szCs w:val="24"/>
                          </w:rPr>
                          <w:t>-</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left="1656" w:hanging="895"/>
                          <w:jc w:val="both"/>
                          <w:rPr>
                            <w:rFonts w:ascii="Thorndale" w:hAnsi="Thorndale" w:cs="Tahoma"/>
                            <w:bCs/>
                            <w:szCs w:val="24"/>
                          </w:rPr>
                        </w:pPr>
                        <w:r>
                          <w:rPr>
                            <w:b/>
                            <w:bCs/>
                            <w:szCs w:val="24"/>
                          </w:rPr>
                          <w:t>9.</w:t>
                          <w:tab/>
                        </w:r>
                        <w:r>
                          <w:rPr>
                            <w:rFonts w:ascii="Thorndale" w:hAnsi="Thorndale" w:cs="Tahoma"/>
                            <w:b/>
                            <w:szCs w:val="24"/>
                          </w:rPr>
                          <w:t>Numatomo teisinio reguliavimo poveikio vertinimo rezultatai.</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left="761"/>
                          <w:jc w:val="both"/>
                          <w:rPr>
                            <w:rFonts w:ascii="Thorndale" w:hAnsi="Thorndale" w:cs="Tahoma"/>
                            <w:bCs/>
                            <w:szCs w:val="24"/>
                          </w:rPr>
                        </w:pPr>
                        <w:r>
                          <w:rPr>
                            <w:rFonts w:ascii="Thorndale" w:hAnsi="Thorndale" w:cs="Tahoma"/>
                            <w:bCs/>
                            <w:szCs w:val="24"/>
                          </w:rPr>
                          <w:t>-</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left="1656" w:hanging="895"/>
                          <w:jc w:val="both"/>
                          <w:rPr>
                            <w:rFonts w:ascii="Thorndale" w:hAnsi="Thorndale" w:cs="Tahoma"/>
                            <w:bCs/>
                            <w:szCs w:val="24"/>
                          </w:rPr>
                        </w:pPr>
                        <w:r>
                          <w:rPr>
                            <w:b/>
                            <w:bCs/>
                            <w:szCs w:val="24"/>
                          </w:rPr>
                          <w:t>10.</w:t>
                          <w:tab/>
                        </w:r>
                        <w:r>
                          <w:rPr>
                            <w:rFonts w:ascii="Thorndale" w:eastAsia="Calibri" w:hAnsi="Thorndale" w:cs="Tahoma"/>
                            <w:b/>
                            <w:szCs w:val="24"/>
                            <w:lang w:eastAsia="ar-SA"/>
                          </w:rPr>
                          <w:t>Sprendimo projekto antikorupcinis vertinimas.</w:t>
                        </w:r>
                      </w:p>
                      <w:p>
                        <w:pPr>
                          <w:widowControl w:val="0"/>
                          <w:tabs>
                            <w:tab w:val="left" w:pos="1134"/>
                          </w:tabs>
                          <w:suppressAutoHyphens/>
                          <w:spacing w:line="360" w:lineRule="auto"/>
                          <w:ind w:firstLine="709"/>
                          <w:rPr>
                            <w:rFonts w:ascii="Thorndale" w:eastAsia="Calibri" w:hAnsi="Thorndale" w:cs="Tahoma"/>
                            <w:szCs w:val="24"/>
                          </w:rPr>
                        </w:pPr>
                        <w:r>
                          <w:rPr>
                            <w:rFonts w:ascii="Thorndale" w:eastAsia="Calibri" w:hAnsi="Thorndale" w:cs="Tahoma"/>
                            <w:szCs w:val="24"/>
                          </w:rPr>
                          <w:t>Teisės akto projektas antikorupciniam vertinimui neteikiamas.</w:t>
                        </w:r>
                      </w:p>
                      <w:p>
                        <w:pPr>
                          <w:widowControl w:val="0"/>
                          <w:tabs>
                            <w:tab w:val="left" w:pos="1134"/>
                          </w:tabs>
                          <w:suppressAutoHyphens/>
                          <w:spacing w:line="360" w:lineRule="auto"/>
                          <w:ind w:left="1656" w:hanging="895"/>
                          <w:rPr>
                            <w:rFonts w:ascii="Thorndale" w:eastAsia="Calibri" w:hAnsi="Thorndale" w:cs="Tahoma"/>
                            <w:b/>
                            <w:bCs/>
                            <w:szCs w:val="24"/>
                          </w:rPr>
                        </w:pPr>
                        <w:r>
                          <w:rPr>
                            <w:rFonts w:eastAsia="Calibri"/>
                            <w:b/>
                            <w:bCs/>
                            <w:szCs w:val="24"/>
                          </w:rPr>
                          <w:t>11.</w:t>
                          <w:tab/>
                        </w:r>
                        <w:r>
                          <w:rPr>
                            <w:rFonts w:ascii="Thorndale" w:eastAsia="Calibri" w:hAnsi="Thorndale" w:cs="Tahoma"/>
                            <w:b/>
                            <w:bCs/>
                            <w:szCs w:val="24"/>
                          </w:rPr>
                          <w:t xml:space="preserve">Kiti, iniciatoriaus nuomone, reikalingi pagrindimai ir paaiškinimai. </w:t>
                        </w:r>
                      </w:p>
                      <w:p>
                        <w:pPr>
                          <w:tabs>
                            <w:tab w:val="left" w:pos="1134"/>
                          </w:tabs>
                          <w:spacing w:line="360" w:lineRule="auto"/>
                          <w:ind w:left="709" w:firstLine="52"/>
                          <w:rPr>
                            <w:rFonts w:eastAsia="Calibri"/>
                            <w:szCs w:val="24"/>
                          </w:rPr>
                        </w:pPr>
                        <w:r>
                          <w:rPr>
                            <w:rFonts w:eastAsia="Calibri"/>
                            <w:szCs w:val="24"/>
                          </w:rPr>
                          <w:t xml:space="preserve">Nėra. </w:t>
                        </w:r>
                      </w:p>
                      <w:p>
                        <w:pPr>
                          <w:widowControl w:val="0"/>
                          <w:tabs>
                            <w:tab w:val="left" w:pos="1134"/>
                          </w:tabs>
                          <w:suppressAutoHyphens/>
                          <w:spacing w:line="360" w:lineRule="auto"/>
                          <w:ind w:left="1656" w:hanging="895"/>
                          <w:rPr>
                            <w:rFonts w:ascii="Thorndale" w:eastAsia="Calibri" w:hAnsi="Thorndale" w:cs="Tahoma"/>
                            <w:b/>
                            <w:bCs/>
                            <w:szCs w:val="24"/>
                          </w:rPr>
                        </w:pPr>
                        <w:r>
                          <w:rPr>
                            <w:rFonts w:eastAsia="Calibri"/>
                            <w:b/>
                            <w:bCs/>
                            <w:szCs w:val="24"/>
                          </w:rPr>
                          <w:t>12.</w:t>
                          <w:tab/>
                        </w:r>
                        <w:r>
                          <w:rPr>
                            <w:rFonts w:ascii="Thorndale" w:eastAsia="Calibri" w:hAnsi="Thorndale" w:cs="Tahoma"/>
                            <w:b/>
                            <w:bCs/>
                            <w:szCs w:val="24"/>
                          </w:rPr>
                          <w:t xml:space="preserve">Pridedami dokumentai. </w:t>
                        </w:r>
                      </w:p>
                      <w:p>
                        <w:pPr>
                          <w:widowControl w:val="0"/>
                          <w:suppressAutoHyphens/>
                          <w:spacing w:line="360" w:lineRule="auto"/>
                          <w:ind w:firstLine="761"/>
                          <w:jc w:val="both"/>
                          <w:rPr>
                            <w:rFonts w:ascii="Thorndale" w:hAnsi="Thorndale" w:cs="Tahoma"/>
                            <w:b/>
                            <w:szCs w:val="24"/>
                          </w:rPr>
                        </w:pPr>
                        <w:r>
                          <w:rPr>
                            <w:szCs w:val="24"/>
                          </w:rPr>
                          <w:t>Sprendimo projekto lyginamasis variantas.</w:t>
                        </w:r>
                      </w:p>
                    </w:tc>
                  </w:tr>
                  <w:tr>
                    <w:trPr>
                      <w:gridBefore w:val="1"/>
                      <w:wBefore w:w="12" w:type="dxa"/>
                      <w:cantSplit/>
                    </w:trPr>
                    <w:tc>
                      <w:tcPr>
                        <w:tcW w:w="9781" w:type="dxa"/>
                      </w:tcPr>
                      <w:p>
                        <w:pPr>
                          <w:widowControl w:val="0"/>
                          <w:tabs>
                            <w:tab w:val="left" w:pos="0"/>
                          </w:tabs>
                          <w:suppressAutoHyphens/>
                          <w:jc w:val="both"/>
                          <w:rPr>
                            <w:szCs w:val="24"/>
                          </w:rPr>
                        </w:pPr>
                      </w:p>
                    </w:tc>
                  </w:tr>
                </w:tbl>
                <w:p>
                  <w:pPr>
                    <w:widowControl w:val="0"/>
                    <w:suppressAutoHyphens/>
                    <w:rPr>
                      <w:szCs w:val="24"/>
                    </w:rPr>
                  </w:pPr>
                </w:p>
                <w:p>
                  <w:pPr>
                    <w:widowControl w:val="0"/>
                    <w:suppressAutoHyphens/>
                    <w:rPr>
                      <w:szCs w:val="24"/>
                    </w:rPr>
                  </w:pPr>
                </w:p>
              </w:sdtContent>
            </w:sdt>
            <w:sdt>
              <w:sdtPr>
                <w:alias w:val="pastraipa"/>
                <w:tag w:val="part_534d08bdf7664ad28303dacca2af0bb3"/>
                <w:lock w:val="sdtLocked"/>
                <w:richText/>
              </w:sdtPr>
              <w:sdtContent>
                <w:p>
                  <w:pPr>
                    <w:widowControl w:val="0"/>
                    <w:suppressAutoHyphens/>
                    <w:rPr>
                      <w:szCs w:val="24"/>
                    </w:rPr>
                  </w:pPr>
                  <w:r>
                    <w:rPr>
                      <w:szCs w:val="24"/>
                    </w:rPr>
                    <w:t xml:space="preserve">Žemės ūkio skyriaus vyriausioji specialistė         </w:t>
                    <w:tab/>
                    <w:t xml:space="preserve">                                           Valentina Grinienė</w:t>
                  </w:r>
                </w:p>
                <w:p>
                  <w:pPr>
                    <w:widowControl w:val="0"/>
                    <w:suppressAutoHyphens/>
                    <w:rPr>
                      <w:szCs w:val="24"/>
                    </w:rPr>
                  </w:pPr>
                </w:p>
                <w:p>
                  <w:pPr>
                    <w:jc w:val="both"/>
                    <w:rPr>
                      <w:szCs w:val="24"/>
                      <w:lang w:eastAsia="lt-LT"/>
                    </w:rPr>
                  </w:pPr>
                </w:p>
                <w:p>
                  <w:pPr>
                    <w:jc w:val="both"/>
                    <w:rPr>
                      <w:szCs w:val="24"/>
                      <w:lang w:eastAsia="lt-LT"/>
                    </w:rPr>
                  </w:pPr>
                </w:p>
              </w:sdtContent>
            </w:sdt>
            <w:sdt>
              <w:sdtPr>
                <w:alias w:val="pastraipa"/>
                <w:tag w:val="part_13209d68c24e410d9a4b234cef2a5c8d"/>
                <w:lock w:val="sdtLocked"/>
                <w:richText/>
              </w:sdtPr>
              <w:sdtContent>
                <w:p>
                  <w:pPr>
                    <w:jc w:val="both"/>
                    <w:rPr>
                      <w:szCs w:val="24"/>
                      <w:lang w:eastAsia="lt-LT"/>
                    </w:rPr>
                  </w:pPr>
                  <w:r>
                    <w:rPr>
                      <w:szCs w:val="24"/>
                      <w:lang w:eastAsia="lt-LT"/>
                    </w:rPr>
                    <w:t xml:space="preserve">Tarybos posėdžių sekretorius                                                                                  Kęstutis Dambrauskas</w:t>
                  </w:r>
                </w:p>
                <w:p>
                  <w:pPr>
                    <w:jc w:val="both"/>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jc w:val="right"/>
                    <w:rPr>
                      <w:szCs w:val="24"/>
                      <w:lang w:eastAsia="lt-LT"/>
                    </w:rPr>
                  </w:pPr>
                </w:p>
                <w:p>
                  <w:pPr>
                    <w:rPr>
                      <w:szCs w:val="24"/>
                      <w:lang w:eastAsia="lt-LT"/>
                    </w:rPr>
                  </w:pPr>
                </w:p>
                <w:p>
                  <w:pPr>
                    <w:rPr>
                      <w:szCs w:val="24"/>
                      <w:lang w:eastAsia="lt-LT"/>
                    </w:rPr>
                  </w:pPr>
                </w:p>
              </w:sdtContent>
            </w:sdt>
          </w:sdtContent>
        </w:sdt>
        <w:sdt>
          <w:sdtPr>
            <w:alias w:val="skirsnis"/>
            <w:tag w:val="part_d3c69db6f632492ea5ea9e9b44048314"/>
            <w:lock w:val="sdtLocked"/>
            <w:richText/>
          </w:sdtPr>
          <w:sdtContent>
            <w:p>
              <w:pPr>
                <w:jc w:val="center"/>
                <w:rPr>
                  <w:b/>
                  <w:bCs/>
                  <w:szCs w:val="24"/>
                  <w:lang w:eastAsia="lt-LT"/>
                </w:rPr>
              </w:pPr>
              <w:sdt>
                <w:sdtPr>
                  <w:alias w:val="Pavadinimas"/>
                  <w:tag w:val="title_d3c69db6f632492ea5ea9e9b44048314"/>
                  <w:lock w:val="sdtLocked"/>
                  <w:richText/>
                </w:sdtPr>
                <w:sdtContent>
                  <w:r>
                    <w:rPr>
                      <w:b/>
                      <w:bCs/>
                      <w:szCs w:val="24"/>
                      <w:lang w:eastAsia="lt-LT"/>
                    </w:rPr>
                    <w:t>LYGINAMASIS SPRENDIMO VARIANTAS</w:t>
                  </w:r>
                </w:sdtContent>
              </w:sdt>
            </w:p>
            <w:p>
              <w:pPr>
                <w:tabs>
                  <w:tab w:val="left" w:pos="1304"/>
                  <w:tab w:val="left" w:pos="1457"/>
                  <w:tab w:val="left" w:pos="1604"/>
                  <w:tab w:val="left" w:pos="1757"/>
                </w:tabs>
                <w:ind w:left="5529"/>
                <w:rPr>
                  <w:szCs w:val="24"/>
                </w:rPr>
              </w:pPr>
            </w:p>
            <w:p>
              <w:pPr>
                <w:tabs>
                  <w:tab w:val="left" w:pos="1304"/>
                  <w:tab w:val="left" w:pos="1457"/>
                  <w:tab w:val="left" w:pos="1604"/>
                  <w:tab w:val="left" w:pos="1757"/>
                </w:tabs>
                <w:ind w:left="5529" w:firstLine="124"/>
                <w:rPr>
                  <w:szCs w:val="24"/>
                </w:rPr>
              </w:pPr>
            </w:p>
          </w:sdtContent>
        </w:sdt>
        <w:sdt>
          <w:sdtPr>
            <w:alias w:val="skirsnis"/>
            <w:tag w:val="part_5c3e54f208944bf9904bdc0efe4aa0d6"/>
            <w:lock w:val="sdtLocked"/>
            <w:richText/>
          </w:sdtPr>
          <w:sdtContent>
            <w:p>
              <w:pPr>
                <w:widowControl w:val="0"/>
                <w:suppressAutoHyphens/>
                <w:jc w:val="center"/>
                <w:rPr>
                  <w:szCs w:val="24"/>
                </w:rPr>
              </w:pPr>
              <w:sdt>
                <w:sdtPr>
                  <w:alias w:val="Pavadinimas"/>
                  <w:tag w:val="title_5c3e54f208944bf9904bdc0efe4aa0d6"/>
                  <w:lock w:val="sdtLocked"/>
                  <w:richText/>
                </w:sdtPr>
                <w:sdtContent>
                  <w:r>
                    <w:rPr>
                      <w:b/>
                      <w:szCs w:val="24"/>
                    </w:rPr>
                    <w:t>RADVILIŠKIO RAJONO SAVIVALDYBĖS ADMINISTRACIJA</w:t>
                  </w:r>
                </w:sdtContent>
              </w:sdt>
            </w:p>
            <w:p>
              <w:pPr>
                <w:widowControl w:val="0"/>
                <w:suppressAutoHyphens/>
                <w:rPr>
                  <w:szCs w:val="24"/>
                </w:rPr>
              </w:pPr>
            </w:p>
          </w:sdtContent>
        </w:sdt>
        <w:sdt>
          <w:sdtPr>
            <w:alias w:val="skirsnis"/>
            <w:tag w:val="part_7d82a14ca5a445319ba98c342c9e1ba8"/>
            <w:lock w:val="sdtLocked"/>
            <w:richText/>
          </w:sdtPr>
          <w:sdtContent>
            <w:p>
              <w:pPr>
                <w:widowControl w:val="0"/>
                <w:suppressAutoHyphens/>
                <w:jc w:val="center"/>
                <w:rPr>
                  <w:b/>
                  <w:szCs w:val="24"/>
                </w:rPr>
              </w:pPr>
              <w:sdt>
                <w:sdtPr>
                  <w:alias w:val="Pavadinimas"/>
                  <w:tag w:val="title_7d82a14ca5a445319ba98c342c9e1ba8"/>
                  <w:lock w:val="sdtLocked"/>
                  <w:richText/>
                </w:sdtPr>
                <w:sdtContent>
                  <w:r>
                    <w:rPr>
                      <w:b/>
                      <w:szCs w:val="24"/>
                    </w:rPr>
                    <w:t>RADVILIŠKIO RAJONO SAVIVALDYBĖS APLINKOS APSAUGOS RĖMIMO SPECIALIOSIOS PROGRAMOS _2025_ METŲ SĄMATA</w:t>
                  </w:r>
                </w:sdtContent>
              </w:sdt>
            </w:p>
            <w:p>
              <w:pPr>
                <w:jc w:val="both"/>
                <w:rPr>
                  <w:b/>
                  <w:szCs w:val="24"/>
                </w:rPr>
              </w:pPr>
            </w:p>
            <w:p>
              <w:pPr>
                <w:jc w:val="both"/>
                <w:rPr>
                  <w:b/>
                  <w:szCs w:val="24"/>
                </w:rPr>
              </w:pPr>
            </w:p>
            <w:sdt>
              <w:sdtPr>
                <w:alias w:val="4 p."/>
                <w:tag w:val="part_32a4957ffcc44055896f2d5b6159f112"/>
                <w:lock w:val="sdtLocked"/>
                <w:richText/>
              </w:sdtPr>
              <w:sdtContent>
                <w:p>
                  <w:pPr>
                    <w:jc w:val="both"/>
                    <w:rPr>
                      <w:b/>
                      <w:szCs w:val="24"/>
                    </w:rPr>
                  </w:pPr>
                  <w:sdt>
                    <w:sdtPr>
                      <w:alias w:val="Numeris"/>
                      <w:tag w:val="nr_32a4957ffcc44055896f2d5b6159f112"/>
                      <w:lock w:val="sdtLocked"/>
                      <w:richText/>
                    </w:sdtPr>
                    <w:sdtContent>
                      <w:r>
                        <w:rPr>
                          <w:b/>
                          <w:szCs w:val="24"/>
                        </w:rPr>
                        <w:t>4</w:t>
                      </w:r>
                    </w:sdtContent>
                  </w:sdt>
                  <w:r>
                    <w:rPr>
                      <w:b/>
                      <w:szCs w:val="24"/>
                    </w:rPr>
                    <w:t>. Kitos aplinkosaugos priemonės, kurioms įgyvendinti panaudotos Programos lėšos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2592"/>
                    <w:gridCol w:w="4807"/>
                    <w:gridCol w:w="1360"/>
                  </w:tblGrid>
                  <w:tr>
                    <w:trPr>
                      <w:tblHeader/>
                    </w:trPr>
                    <w:tc>
                      <w:tcPr>
                        <w:tcW w:w="869" w:type="dxa"/>
                      </w:tcPr>
                      <w:p>
                        <w:pPr>
                          <w:widowControl w:val="0"/>
                          <w:suppressAutoHyphens/>
                          <w:jc w:val="both"/>
                          <w:rPr>
                            <w:b/>
                            <w:szCs w:val="24"/>
                          </w:rPr>
                        </w:pPr>
                        <w:r>
                          <w:rPr>
                            <w:b/>
                            <w:szCs w:val="24"/>
                          </w:rPr>
                          <w:t>Eil. Nr.</w:t>
                        </w:r>
                      </w:p>
                    </w:tc>
                    <w:tc>
                      <w:tcPr>
                        <w:tcW w:w="2592" w:type="dxa"/>
                      </w:tcPr>
                      <w:p>
                        <w:pPr>
                          <w:widowControl w:val="0"/>
                          <w:suppressAutoHyphens/>
                          <w:rPr>
                            <w:szCs w:val="24"/>
                          </w:rPr>
                        </w:pPr>
                        <w:r>
                          <w:rPr>
                            <w:b/>
                            <w:szCs w:val="24"/>
                          </w:rPr>
                          <w:t>Priemonės pavadinimas</w:t>
                        </w:r>
                      </w:p>
                    </w:tc>
                    <w:tc>
                      <w:tcPr>
                        <w:tcW w:w="4807" w:type="dxa"/>
                      </w:tcPr>
                      <w:p>
                        <w:pPr>
                          <w:widowControl w:val="0"/>
                          <w:suppressAutoHyphens/>
                          <w:ind w:firstLine="312"/>
                          <w:jc w:val="both"/>
                          <w:rPr>
                            <w:b/>
                            <w:szCs w:val="24"/>
                          </w:rPr>
                        </w:pPr>
                        <w:r>
                          <w:rPr>
                            <w:b/>
                            <w:szCs w:val="24"/>
                          </w:rPr>
                          <w:t>Detalus priemonės vykdymo aprašymas</w:t>
                        </w:r>
                      </w:p>
                    </w:tc>
                    <w:tc>
                      <w:tcPr>
                        <w:tcW w:w="1360" w:type="dxa"/>
                      </w:tcPr>
                      <w:p>
                        <w:pPr>
                          <w:widowControl w:val="0"/>
                          <w:suppressAutoHyphens/>
                          <w:jc w:val="both"/>
                          <w:rPr>
                            <w:b/>
                            <w:szCs w:val="24"/>
                          </w:rPr>
                        </w:pPr>
                        <w:r>
                          <w:rPr>
                            <w:b/>
                            <w:szCs w:val="24"/>
                          </w:rPr>
                          <w:t>Pagal sąmatą lėšų poreikis, Eur</w:t>
                        </w:r>
                      </w:p>
                    </w:tc>
                  </w:tr>
                  <w:tr>
                    <w:tc>
                      <w:tcPr>
                        <w:tcW w:w="869" w:type="dxa"/>
                      </w:tcPr>
                      <w:p>
                        <w:pPr>
                          <w:widowControl w:val="0"/>
                          <w:suppressAutoHyphens/>
                          <w:jc w:val="both"/>
                          <w:rPr>
                            <w:szCs w:val="24"/>
                          </w:rPr>
                        </w:pPr>
                        <w:r>
                          <w:rPr>
                            <w:szCs w:val="24"/>
                          </w:rPr>
                          <w:t>4.1.</w:t>
                        </w:r>
                      </w:p>
                    </w:tc>
                    <w:tc>
                      <w:tcPr>
                        <w:tcW w:w="7399" w:type="dxa"/>
                        <w:gridSpan w:val="2"/>
                      </w:tcPr>
                      <w:p>
                        <w:pPr>
                          <w:widowControl w:val="0"/>
                          <w:suppressAutoHyphens/>
                          <w:ind w:firstLine="13"/>
                          <w:rPr>
                            <w:b/>
                            <w:szCs w:val="24"/>
                          </w:rPr>
                        </w:pPr>
                        <w:r>
                          <w:rPr>
                            <w:b/>
                            <w:szCs w:val="24"/>
                          </w:rPr>
                          <w:t>Aplinkos kokybės gerinimo ir apsaugos priemonės</w:t>
                        </w:r>
                      </w:p>
                    </w:tc>
                    <w:tc>
                      <w:tcPr>
                        <w:tcW w:w="1360" w:type="dxa"/>
                      </w:tcPr>
                      <w:p>
                        <w:pPr>
                          <w:widowControl w:val="0"/>
                          <w:suppressAutoHyphens/>
                          <w:jc w:val="both"/>
                          <w:rPr>
                            <w:szCs w:val="24"/>
                          </w:rPr>
                        </w:pPr>
                      </w:p>
                    </w:tc>
                  </w:tr>
                  <w:tr>
                    <w:tc>
                      <w:tcPr>
                        <w:tcW w:w="869" w:type="dxa"/>
                      </w:tcPr>
                      <w:p>
                        <w:pPr>
                          <w:widowControl w:val="0"/>
                          <w:suppressAutoHyphens/>
                          <w:jc w:val="both"/>
                          <w:rPr>
                            <w:szCs w:val="24"/>
                          </w:rPr>
                        </w:pPr>
                        <w:r>
                          <w:rPr>
                            <w:szCs w:val="24"/>
                          </w:rPr>
                          <w:t>4.1.1.</w:t>
                        </w:r>
                      </w:p>
                    </w:tc>
                    <w:tc>
                      <w:tcPr>
                        <w:tcW w:w="2592" w:type="dxa"/>
                      </w:tcPr>
                      <w:p>
                        <w:pPr>
                          <w:widowControl w:val="0"/>
                          <w:suppressAutoHyphens/>
                          <w:ind w:firstLine="13"/>
                          <w:jc w:val="both"/>
                          <w:rPr>
                            <w:szCs w:val="24"/>
                          </w:rPr>
                        </w:pPr>
                        <w:r>
                          <w:rPr>
                            <w:szCs w:val="24"/>
                          </w:rPr>
                          <w:t xml:space="preserve">Teršalų, išmetamų į atmosferą, vandenį, žemės paviršių ir gilesnius jo sluoksnius, mažinimo įrenginių (pvz., nuotekų ir lietaus surinkimo, valymo, vandens tiekimo sistemos ir jų elementai) įsigijimo, projektavimo, statybos, remonto, rekonstravimo darbų finansavimas </w:t>
                        </w:r>
                        <w:r>
                          <w:rPr>
                            <w:b/>
                            <w:i/>
                            <w:szCs w:val="24"/>
                          </w:rPr>
                          <w:t>(</w:t>
                        </w:r>
                        <w:r>
                          <w:rPr>
                            <w:b/>
                            <w:i/>
                            <w:strike/>
                            <w:szCs w:val="24"/>
                          </w:rPr>
                          <w:t>B</w:t>
                        </w:r>
                        <w:r>
                          <w:rPr>
                            <w:b/>
                            <w:bCs/>
                            <w:i/>
                            <w:strike/>
                            <w:szCs w:val="24"/>
                          </w:rPr>
                          <w:t>aisogalos</w:t>
                        </w:r>
                        <w:r>
                          <w:rPr>
                            <w:b/>
                            <w:i/>
                            <w:strike/>
                            <w:szCs w:val="24"/>
                          </w:rPr>
                          <w:t xml:space="preserve"> – paviršinių vandens nuotekų tinklų atskyrimas nuo buitinių nuotekų tinklų</w:t>
                        </w:r>
                        <w:r>
                          <w:rPr>
                            <w:b/>
                            <w:i/>
                            <w:szCs w:val="24"/>
                          </w:rPr>
                          <w:t>) (Polekėlės k. – buitinių nuotekų tinklų rekonstrukcija ir siurblinės įrengimas)</w:t>
                        </w:r>
                      </w:p>
                    </w:tc>
                    <w:tc>
                      <w:tcPr>
                        <w:tcW w:w="4807" w:type="dxa"/>
                      </w:tcPr>
                      <w:p>
                        <w:pPr>
                          <w:widowControl w:val="0"/>
                          <w:suppressAutoHyphens/>
                          <w:ind w:firstLine="13"/>
                          <w:jc w:val="both"/>
                          <w:rPr>
                            <w:szCs w:val="24"/>
                          </w:rPr>
                        </w:pPr>
                        <w:r>
                          <w:rPr>
                            <w:szCs w:val="24"/>
                          </w:rPr>
                          <w:t>Asignavimų valdytojas – Radviliškio rajono savivaldybės administracija, atsakingas – Investicijų ir turto skyrius. Vykdytojas – Investicijų ir turto skyrius. Vykdymo pradžia 2025 m. I ketv., pabaiga – 2025 m. IV ketv. (Dotacija UAB „Radviliškio vanduo“)</w:t>
                        </w:r>
                      </w:p>
                    </w:tc>
                    <w:tc>
                      <w:tcPr>
                        <w:tcW w:w="1360" w:type="dxa"/>
                      </w:tcPr>
                      <w:p>
                        <w:pPr>
                          <w:widowControl w:val="0"/>
                          <w:suppressAutoHyphens/>
                          <w:jc w:val="center"/>
                          <w:rPr>
                            <w:szCs w:val="24"/>
                          </w:rPr>
                        </w:pPr>
                        <w:r>
                          <w:rPr>
                            <w:szCs w:val="24"/>
                          </w:rPr>
                          <w:t>30 000</w:t>
                        </w:r>
                      </w:p>
                      <w:p>
                        <w:pPr>
                          <w:widowControl w:val="0"/>
                          <w:suppressAutoHyphens/>
                          <w:jc w:val="center"/>
                          <w:rPr>
                            <w:szCs w:val="24"/>
                          </w:rPr>
                        </w:pPr>
                      </w:p>
                    </w:tc>
                  </w:tr>
                </w:tbl>
                <w:p>
                  <w:pPr>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dcf1ed4c85be4949ab36e2af8e6660c1"/>
            <w:lock w:val="sdtLocked"/>
            <w:richText/>
          </w:sdtPr>
          <w:sdtContent>
            <w:p>
              <w:pPr>
                <w:jc w:val="both"/>
                <w:rPr>
                  <w:szCs w:val="24"/>
                  <w:lang w:eastAsia="lt-LT"/>
                </w:rPr>
              </w:pPr>
              <w:r>
                <w:rPr>
                  <w:szCs w:val="24"/>
                  <w:lang w:eastAsia="lt-LT"/>
                </w:rPr>
                <w:t xml:space="preserve">Radviliškio savivaldybės administracijos </w:t>
              </w:r>
            </w:p>
            <w:p>
              <w:pPr>
                <w:jc w:val="both"/>
                <w:rPr>
                  <w:szCs w:val="24"/>
                  <w:lang w:eastAsia="lt-LT"/>
                </w:rPr>
              </w:pPr>
              <w:r>
                <w:rPr>
                  <w:szCs w:val="24"/>
                  <w:lang w:eastAsia="lt-LT"/>
                </w:rPr>
                <w:t xml:space="preserve">Žemės ūkio skyriaus vyriausioji specialistė                                                              Valentina Grinienė                                  </w:t>
              </w:r>
            </w:p>
          </w:sdtContent>
        </w:sdt>
      </w:sdtContent>
    </w:sdt>
    <w:sectPr>
      <w:headerReference w:type="default" r:id="rId7"/>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hAnsi="Thorndale" w:cs="Tahoma"/>
          <w:szCs w:val="24"/>
        </w:rPr>
      </w:pPr>
      <w:r>
        <w:rPr>
          <w:rFonts w:ascii="Thorndale" w:hAnsi="Thorndale" w:cs="Tahoma"/>
          <w:szCs w:val="24"/>
        </w:rPr>
        <w:separator/>
      </w:r>
    </w:p>
  </w:endnote>
  <w:endnote w:type="continuationSeparator" w:id="0">
    <w:p>
      <w:pPr>
        <w:widowControl w:val="0"/>
        <w:suppressAutoHyphens/>
        <w:rPr>
          <w:rFonts w:ascii="Thorndale" w:hAnsi="Thorndale" w:cs="Tahoma"/>
          <w:szCs w:val="24"/>
        </w:rPr>
      </w:pPr>
      <w:r>
        <w:rPr>
          <w:rFonts w:ascii="Thorndale" w:hAnsi="Thorndale" w:cs="Tahoma"/>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auto"/>
    <w:pitch w:val="default"/>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hAnsi="Thorndale" w:cs="Tahoma"/>
          <w:szCs w:val="24"/>
        </w:rPr>
      </w:pPr>
      <w:r>
        <w:rPr>
          <w:rFonts w:ascii="Thorndale" w:hAnsi="Thorndale" w:cs="Tahoma"/>
          <w:szCs w:val="24"/>
        </w:rPr>
        <w:separator/>
      </w:r>
    </w:p>
  </w:footnote>
  <w:footnote w:type="continuationSeparator" w:id="0">
    <w:p>
      <w:pPr>
        <w:widowControl w:val="0"/>
        <w:suppressAutoHyphens/>
        <w:rPr>
          <w:rFonts w:ascii="Thorndale" w:hAnsi="Thorndale" w:cs="Tahoma"/>
          <w:szCs w:val="24"/>
        </w:rPr>
      </w:pPr>
      <w:r>
        <w:rPr>
          <w:rFonts w:ascii="Thorndale" w:hAnsi="Thorndale" w:cs="Tahoma"/>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left" w:pos="3344"/>
        <w:tab w:val="left" w:pos="8291"/>
      </w:tabs>
      <w:suppressAutoHyphens/>
      <w:spacing w:before="120" w:after="60"/>
      <w:ind w:left="-17" w:firstLine="17"/>
      <w:jc w:val="center"/>
      <w:rPr>
        <w:rFonts w:ascii="Thorndale" w:hAnsi="Thorndale" w:cs="Tahoma"/>
        <w:b/>
        <w:bCs/>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0A6F1F64-DD1A-4A20-B1DC-6B63BF1D474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70869825">
      <w:bodyDiv w:val="1"/>
      <w:marLeft w:val="225"/>
      <w:marRight w:val="225"/>
      <w:marTop w:val="0"/>
      <w:marBottom w:val="0"/>
      <w:divBdr>
        <w:top w:val="none" w:sz="0" w:space="0" w:color="auto"/>
        <w:left w:val="none" w:sz="0" w:space="0" w:color="auto"/>
        <w:bottom w:val="none" w:sz="0" w:space="0" w:color="auto"/>
        <w:right w:val="none" w:sz="0" w:space="0" w:color="auto"/>
      </w:divBdr>
      <w:divsChild>
        <w:div w:id="19054062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4dd73dc7d474b40af9fcdc8a2cfad8f" PartId="8a32f0b40a324113a9d1d6c8b674c8cf">
    <Part Type="preambule" DocPartId="2deca1ca982c498b94deebf1a8b44a5b" PartId="9749c6e7e36342b4b8d21e320ba0a4ba"/>
    <Part Type="pastraipa" DocPartId="79a20016c0b24208bb9c20fbe0965e52" PartId="4738153514d044f8bbfef36ac631a405"/>
    <Part Type="punktas" Nr="4" Abbr="4 p." DocPartId="c63fdfd9dfbe4932bfd2251b48b686a7" PartId="63aec682f1f1490d86f357a8b008280d">
      <Part Type="lentele" Title="DĖL RADVILIŠKIO RAJONO SAVIVALDYBĖS TARYBOS 2025 M. VASARIO 13 D. SPRENDIMO NR. T-570 „DĖL RADVILIŠKIO RAJONO SAVIVALDYBĖS APLINKOS APSAUGOS RĖMIMO SPECIALIOSIOS PROGRAMOS 2025 METŲ PRIEMONIŲ VYKDYMO SĄMATOS PATVIRTINIMO“ PAKEITIMO AIŠKINAMASIS RAŠTAS" DocPartId="155549683b1a44bdb9b021a17586819d" PartId="720c458a5f6243c3ae4f25481ba89234"/>
      <Part Type="pastraipa" DocPartId="3503a51dab514a4eaef544d53a26b73a" PartId="534d08bdf7664ad28303dacca2af0bb3"/>
      <Part Type="pastraipa" DocPartId="14db645a0b344232bb5fb8f0027fc5ea" PartId="13209d68c24e410d9a4b234cef2a5c8d"/>
    </Part>
    <Part Type="skirsnis" Title="LYGINAMASIS SPRENDIMO VARIANTAS" DocPartId="aed78ab5de914d9db58732593c6b0012" PartId="d3c69db6f632492ea5ea9e9b44048314"/>
    <Part Type="skirsnis" Title="RADVILIŠKIO RAJONO SAVIVALDYBĖS ADMINISTRACIJA" DocPartId="6f4fcf8ffcab4a9e80dd4d6c76464772" PartId="5c3e54f208944bf9904bdc0efe4aa0d6"/>
    <Part Type="skirsnis" Title="RADVILIŠKIO RAJONO SAVIVALDYBĖS APLINKOS APSAUGOS RĖMIMO SPECIALIOSIOS PROGRAMOS _2025_ METŲ SĄMATA" DocPartId="6a097ee4132744ca809a6a85e08902ca" PartId="7d82a14ca5a445319ba98c342c9e1ba8">
      <Part Type="punktas" Nr="4" Abbr="4 p." Notes="Numeris ne iš eilės. Trūksta dalių? [DocDalys]" DocPartId="7c01ea0363434212ae8b3f4c6320f6f0" PartId="32a4957ffcc44055896f2d5b6159f112"/>
    </Part>
    <Part Type="signatura" DocPartId="2dc3077b782f4efa9eb8098878071c8e" PartId="dcf1ed4c85be4949ab36e2af8e6660c1"/>
  </Part>
</Parts>
</file>

<file path=customXml/itemProps1.xml><?xml version="1.0" encoding="utf-8"?>
<ds:datastoreItem xmlns:ds="http://schemas.openxmlformats.org/officeDocument/2006/customXml" ds:itemID="{98261C07-A1E7-4050-9156-D58F311349FF}">
  <ds:schemaRefs>
    <ds:schemaRef ds:uri="http://schemas.openxmlformats.org/officeDocument/2006/bibliography"/>
  </ds:schemaRefs>
</ds:datastoreItem>
</file>

<file path=customXml/itemProps2.xml><?xml version="1.0" encoding="utf-8"?>
<ds:datastoreItem xmlns:ds="http://schemas.openxmlformats.org/officeDocument/2006/customXml" ds:itemID="{57F254FB-7FD7-495E-9A4B-8B11679428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705</Words>
  <Characters>5118</Characters>
  <Application>Microsoft Office Word</Application>
  <DocSecurity>4</DocSecurity>
  <Lines>222</Lines>
  <Paragraphs>79</Paragraphs>
  <ScaleCrop>false</ScaleCrop>
  <HeadingPairs>
    <vt:vector size="2" baseType="variant">
      <vt:variant>
        <vt:lpstr>Pavadinimas</vt:lpstr>
      </vt:variant>
      <vt:variant>
        <vt:i4>1</vt:i4>
      </vt:variant>
    </vt:vector>
  </HeadingPairs>
  <TitlesOfParts>
    <vt:vector size="1" baseType="lpstr">
      <vt:lpstr>ĮSAKYMAS</vt:lpstr>
    </vt:vector>
  </TitlesOfParts>
  <Company>Hewlett-Packard Company</Company>
  <LinksUpToDate>false</LinksUpToDate>
  <CharactersWithSpaces>5744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2025-10-21T12:56:00Z</dcterms:created>
  <dc:creator>A-Juozapaitis</dc:creator>
  <lastModifiedBy>adlibuser</lastModifiedBy>
  <lastPrinted>2025-09-08T10:27:00Z</lastPrinted>
  <dcterms:modified xsi:type="dcterms:W3CDTF">2025-10-21T12:56:00Z</dcterms:modified>
  <revision>2</revision>
  <dc:title>ĮSAKYMAS</dc:title>
</coreProperties>
</file>