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9faff77386543a097a35c62b8fec585"/>
        <w:lock w:val="sdtLocked"/>
        <w:richText/>
      </w:sdtPr>
      <w:sdtContent>
        <w:p w14:paraId="084DA536" w14:textId="77777777">
          <w:pPr>
            <w:tabs>
              <w:tab w:val="center" w:pos="4819"/>
              <w:tab w:val="right" w:pos="9638"/>
            </w:tabs>
            <w:ind w:right="140"/>
            <w:jc w:val="center"/>
            <w:rPr>
              <w:rFonts w:ascii="Calibri" w:hAnsi="Calibri" w:cs="Calibri"/>
              <w:sz w:val="22"/>
              <w:szCs w:val="22"/>
            </w:rPr>
          </w:pPr>
        </w:p>
        <w:p w14:paraId="4352E10B" w14:textId="382EC587">
          <w:pPr>
            <w:ind w:left="6803" w:firstLine="312"/>
            <w:jc w:val="right"/>
            <w:textAlignment w:val="center"/>
            <w:rPr>
              <w:b/>
              <w:bCs/>
              <w:color w:val="000000"/>
              <w:szCs w:val="24"/>
            </w:rPr>
          </w:pPr>
          <w:r>
            <w:rPr>
              <w:b/>
              <w:bCs/>
              <w:color w:val="000000"/>
              <w:szCs w:val="24"/>
            </w:rPr>
            <w:t>Projektas</w:t>
          </w:r>
        </w:p>
        <w:p w14:paraId="3E1DCD87" w14:textId="77777777">
          <w:pPr>
            <w:ind w:left="6803" w:firstLine="312"/>
            <w:jc w:val="right"/>
            <w:textAlignment w:val="center"/>
            <w:rPr>
              <w:color w:val="000000"/>
              <w:szCs w:val="24"/>
              <w:lang w:val="en-US"/>
            </w:rPr>
          </w:pPr>
        </w:p>
        <w:p w14:paraId="6EDC751E"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6EDC751F" w14:textId="77777777">
          <w:pPr>
            <w:overflowPunct w:val="0"/>
            <w:spacing w:line="276" w:lineRule="auto"/>
            <w:jc w:val="center"/>
            <w:textAlignment w:val="baseline"/>
            <w:rPr>
              <w:b/>
              <w:bCs/>
              <w:szCs w:val="24"/>
              <w:lang w:eastAsia="lt-LT"/>
            </w:rPr>
          </w:pPr>
        </w:p>
        <w:p w14:paraId="6EDC7520" w14:textId="77777777">
          <w:pPr>
            <w:overflowPunct w:val="0"/>
            <w:jc w:val="center"/>
            <w:textAlignment w:val="baseline"/>
            <w:rPr>
              <w:szCs w:val="24"/>
              <w:lang w:eastAsia="lt-LT"/>
            </w:rPr>
          </w:pPr>
          <w:r>
            <w:rPr>
              <w:b/>
              <w:bCs/>
              <w:szCs w:val="24"/>
              <w:lang w:eastAsia="lt-LT"/>
            </w:rPr>
            <w:t>ĮSAKYMAS</w:t>
          </w:r>
        </w:p>
        <w:p w14:paraId="6EDC7521" w14:textId="5FC545DD">
          <w:pPr>
            <w:overflowPunct w:val="0"/>
            <w:jc w:val="center"/>
            <w:textAlignment w:val="baseline"/>
            <w:rPr>
              <w:b/>
              <w:bCs/>
              <w:szCs w:val="24"/>
              <w:lang w:eastAsia="lt-LT"/>
            </w:rPr>
          </w:pPr>
          <w:r>
            <w:rPr>
              <w:b/>
              <w:bCs/>
              <w:szCs w:val="24"/>
              <w:lang w:eastAsia="lt-LT"/>
            </w:rPr>
            <w:t>DĖL LIETUVOS RESPUBLIKOS ENERGETIKOS MINISTRO 2016 M. VASARIO 12 D. ĮSAKYMO NR. 1–33 „DĖL 2014–2020 METŲ EUROPOS SĄJUNGOS FONDŲ INVESTICIJŲ VEIKSMŲ PROGRAMOS 4 PRIORITETO „ENERGIJOS EFEKTYVUMO IR ATSINAUJINANČIŲ IŠTEKLIŲ ENERGIJOS GAMYBOS IR NAUDOJIMO SKATINIMAS“ 04.4.1-LVPA-K-106 PRIEMONĖS „ELEKTROS SKIRSTOMŲJŲ TINKLŲ MODERNIZAVIMAS IR PLĖTRA“ PROJEKTŲ FINANSAVIMO SĄLYGŲ APRAŠO NR. 1 PATVIRTINIMO</w:t>
          </w:r>
          <w:r>
            <w:rPr>
              <w:b/>
              <w:bCs/>
              <w:caps/>
              <w:szCs w:val="24"/>
              <w:lang w:eastAsia="lt-LT"/>
            </w:rPr>
            <w:t>“ PAKEITIMO</w:t>
          </w:r>
        </w:p>
        <w:p w14:paraId="6EDC7522" w14:textId="77777777">
          <w:pPr>
            <w:overflowPunct w:val="0"/>
            <w:spacing w:line="276" w:lineRule="auto"/>
            <w:jc w:val="center"/>
            <w:textAlignment w:val="baseline"/>
            <w:rPr>
              <w:b/>
              <w:bCs/>
              <w:szCs w:val="24"/>
              <w:lang w:eastAsia="lt-LT"/>
            </w:rPr>
          </w:pPr>
        </w:p>
        <w:p w14:paraId="6EDC7523" w14:textId="7DF92251">
          <w:pPr>
            <w:keepNext/>
            <w:overflowPunct w:val="0"/>
            <w:spacing w:line="276" w:lineRule="auto"/>
            <w:jc w:val="center"/>
            <w:textAlignment w:val="baseline"/>
            <w:rPr>
              <w:szCs w:val="24"/>
              <w:lang w:eastAsia="lt-LT"/>
            </w:rPr>
          </w:pPr>
          <w:r>
            <w:rPr>
              <w:szCs w:val="24"/>
              <w:lang w:eastAsia="lt-LT"/>
            </w:rPr>
            <w:t xml:space="preserve">2018 m.                               d. Nr.</w:t>
          </w:r>
        </w:p>
        <w:p w14:paraId="6EDC7524" w14:textId="77777777">
          <w:pPr>
            <w:overflowPunct w:val="0"/>
            <w:spacing w:line="276" w:lineRule="auto"/>
            <w:jc w:val="center"/>
            <w:textAlignment w:val="baseline"/>
            <w:rPr>
              <w:szCs w:val="24"/>
              <w:lang w:eastAsia="lt-LT"/>
            </w:rPr>
          </w:pPr>
          <w:r>
            <w:rPr>
              <w:szCs w:val="24"/>
              <w:lang w:eastAsia="lt-LT"/>
            </w:rPr>
            <w:t>Vilnius</w:t>
          </w:r>
        </w:p>
        <w:p w14:paraId="6EDC7525" w14:textId="77777777">
          <w:pPr>
            <w:overflowPunct w:val="0"/>
            <w:spacing w:line="276" w:lineRule="auto"/>
            <w:jc w:val="center"/>
            <w:textAlignment w:val="baseline"/>
            <w:rPr>
              <w:szCs w:val="24"/>
              <w:lang w:eastAsia="lt-LT"/>
            </w:rPr>
          </w:pPr>
        </w:p>
        <w:sdt>
          <w:sdtPr>
            <w:alias w:val="preambule"/>
            <w:tag w:val="part_4b314f3c831642d586c88ac537f2aa23"/>
            <w:lock w:val="sdtLocked"/>
            <w:richText/>
          </w:sdtPr>
          <w:sdtContent>
            <w:p w14:paraId="7E2CA327" w14:textId="77777777">
              <w:pPr>
                <w:tabs>
                  <w:tab w:val="left" w:pos="1134"/>
                </w:tabs>
                <w:overflowPunct w:val="0"/>
                <w:ind w:firstLine="851"/>
                <w:jc w:val="both"/>
                <w:textAlignment w:val="baseline"/>
                <w:rPr>
                  <w:color w:val="000000"/>
                  <w:szCs w:val="24"/>
                  <w:lang w:eastAsia="lt-LT"/>
                </w:rPr>
              </w:pPr>
              <w:r>
                <w:rPr>
                  <w:color w:val="000000"/>
                  <w:szCs w:val="24"/>
                  <w:lang w:eastAsia="lt-LT"/>
                </w:rPr>
                <w:t>P a k e i č i u 2014–2020 metų Europos Sąjungos fondų investicijų veiksmų programos 4 prioriteto „Energijos efektyvumo ir atsinaujinančių išteklių energijos gamybos ir naudojimo skatinimas“ 04.4.1-LVPA-K-106 priemonės „</w:t>
              </w:r>
              <w:r>
                <w:rPr>
                  <w:bCs/>
                  <w:szCs w:val="24"/>
                  <w:lang w:eastAsia="lt-LT"/>
                </w:rPr>
                <w:t>Elektros skirstomųjų tinklų modernizavimas ir plėtra</w:t>
              </w:r>
              <w:r>
                <w:rPr>
                  <w:color w:val="000000"/>
                  <w:szCs w:val="24"/>
                  <w:lang w:eastAsia="lt-LT"/>
                </w:rPr>
                <w:t xml:space="preserve">“ projektų finansavimo sąlygų aprašą Nr. 1, </w:t>
              </w:r>
              <w:r>
                <w:rPr>
                  <w:szCs w:val="24"/>
                </w:rPr>
                <w:t xml:space="preserve">patvirtintą </w:t>
              </w:r>
              <w:r>
                <w:rPr>
                  <w:color w:val="000000"/>
                  <w:szCs w:val="24"/>
                  <w:lang w:eastAsia="lt-LT"/>
                </w:rPr>
                <w:t xml:space="preserve"> Lietuvos Respublikos energetikos ministro 2016 m. </w:t>
              </w:r>
              <w:r>
                <w:rPr>
                  <w:bCs/>
                  <w:szCs w:val="24"/>
                  <w:lang w:eastAsia="lt-LT"/>
                </w:rPr>
                <w:t>vasario 12</w:t>
              </w:r>
              <w:r>
                <w:rPr>
                  <w:b/>
                  <w:bCs/>
                  <w:szCs w:val="24"/>
                  <w:lang w:eastAsia="lt-LT"/>
                </w:rPr>
                <w:t xml:space="preserve"> </w:t>
              </w:r>
              <w:r>
                <w:rPr>
                  <w:color w:val="000000"/>
                  <w:szCs w:val="24"/>
                  <w:lang w:eastAsia="lt-LT"/>
                </w:rPr>
                <w:t>d. įsakymu Nr. 1-33 „Dėl 2014–2020 metų Europos Sąjungos fondų investicijų veiksmų programos 4 prioriteto „Energijos efektyvumo ir atsinaujinančių išteklių energijos gamybos ir naudojimo skatinimas“ 04.4.1-LVPA-K-106 priemonės „</w:t>
              </w:r>
              <w:r>
                <w:rPr>
                  <w:bCs/>
                  <w:szCs w:val="24"/>
                  <w:lang w:eastAsia="lt-LT"/>
                </w:rPr>
                <w:t>Elektros skirstomųjų tinklų modernizavimas ir plėtra</w:t>
              </w:r>
              <w:r>
                <w:rPr>
                  <w:color w:val="000000"/>
                  <w:szCs w:val="24"/>
                  <w:lang w:eastAsia="lt-LT"/>
                </w:rPr>
                <w:t>“ projektų finansavimo sąlygų aprašo Nr. 1 patvirtinimo“:</w:t>
              </w:r>
            </w:p>
          </w:sdtContent>
        </w:sdt>
        <w:sdt>
          <w:sdtPr>
            <w:alias w:val="1 p."/>
            <w:tag w:val="part_560f2acc716c463ea872d65d1aa0dca5"/>
            <w:lock w:val="sdtLocked"/>
            <w:richText/>
          </w:sdtPr>
          <w:sdtContent>
            <w:p w14:paraId="74C15585" w14:textId="01D4E6DD">
              <w:pPr>
                <w:tabs>
                  <w:tab w:val="left" w:pos="0"/>
                  <w:tab w:val="left" w:pos="567"/>
                  <w:tab w:val="left" w:pos="851"/>
                </w:tabs>
                <w:ind w:left="720" w:hanging="153"/>
                <w:jc w:val="both"/>
                <w:rPr>
                  <w:color w:val="000000"/>
                  <w:szCs w:val="24"/>
                  <w:lang w:eastAsia="lt-LT"/>
                </w:rPr>
              </w:pPr>
              <w:sdt>
                <w:sdtPr>
                  <w:alias w:val="Numeris"/>
                  <w:tag w:val="nr_560f2acc716c463ea872d65d1aa0dca5"/>
                  <w:lock w:val="sdtLocked"/>
                  <w:richText/>
                </w:sdtPr>
                <w:sdtContent>
                  <w:r>
                    <w:rPr>
                      <w:color w:val="000000"/>
                      <w:szCs w:val="24"/>
                      <w:lang w:eastAsia="lt-LT"/>
                    </w:rPr>
                    <w:t>1</w:t>
                  </w:r>
                </w:sdtContent>
              </w:sdt>
              <w:r>
                <w:rPr>
                  <w:color w:val="000000"/>
                  <w:szCs w:val="24"/>
                  <w:lang w:eastAsia="lt-LT"/>
                </w:rPr>
                <w:t>.</w:t>
                <w:tab/>
                <w:t>Pakeičiu 38 punktą ir jį išdėstau taip:</w:t>
              </w:r>
            </w:p>
            <w:sdt>
              <w:sdtPr>
                <w:alias w:val="citata"/>
                <w:tag w:val="part_eadcad29d4ee443c948b15cd968892e1"/>
                <w:lock w:val="sdtLocked"/>
                <w:richText/>
              </w:sdtPr>
              <w:sdtContent>
                <w:sdt>
                  <w:sdtPr>
                    <w:alias w:val="38 p."/>
                    <w:tag w:val="part_16b608e352ab408e87299acefd5b4692"/>
                    <w:lock w:val="sdtLocked"/>
                    <w:richText/>
                  </w:sdtPr>
                  <w:sdtContent>
                    <w:p w14:paraId="352873DC" w14:textId="2FBC06CA">
                      <w:pPr>
                        <w:tabs>
                          <w:tab w:val="left" w:pos="0"/>
                          <w:tab w:val="left" w:pos="567"/>
                          <w:tab w:val="left" w:pos="851"/>
                        </w:tabs>
                        <w:ind w:firstLine="567"/>
                        <w:jc w:val="both"/>
                        <w:rPr>
                          <w:color w:val="000000"/>
                          <w:szCs w:val="24"/>
                          <w:lang w:eastAsia="lt-LT"/>
                        </w:rPr>
                      </w:pPr>
                      <w:r>
                        <w:rPr>
                          <w:color w:val="000000"/>
                          <w:szCs w:val="24"/>
                          <w:lang w:eastAsia="lt-LT"/>
                        </w:rPr>
                        <w:t>„</w:t>
                      </w:r>
                      <w:sdt>
                        <w:sdtPr>
                          <w:alias w:val="Numeris"/>
                          <w:tag w:val="nr_16b608e352ab408e87299acefd5b4692"/>
                          <w:lock w:val="sdtLocked"/>
                          <w:richText/>
                        </w:sdtPr>
                        <w:sdtContent>
                          <w:r>
                            <w:rPr>
                              <w:color w:val="000000"/>
                              <w:szCs w:val="24"/>
                              <w:lang w:eastAsia="lt-LT"/>
                            </w:rPr>
                            <w:t>38</w:t>
                          </w:r>
                        </w:sdtContent>
                      </w:sdt>
                      <w:r>
                        <w:rPr>
                          <w:color w:val="000000"/>
                          <w:szCs w:val="24"/>
                          <w:lang w:eastAsia="lt-LT"/>
                        </w:rPr>
                        <w:t xml:space="preserve">. </w:t>
                      </w:r>
                      <w:r>
                        <w:rPr>
                          <w:szCs w:val="24"/>
                        </w:rPr>
                        <w:t>Mažiausia galima projektui skirti finansavimo lėšų suma yra 300 000 eurų (trys šimtai tūkstančių eurų), vertinama vadovaujantis Aprašo 4 priedu.</w:t>
                      </w:r>
                      <w:r>
                        <w:rPr>
                          <w:color w:val="000000"/>
                          <w:szCs w:val="24"/>
                          <w:lang w:eastAsia="lt-LT"/>
                        </w:rPr>
                        <w:t>“</w:t>
                      </w:r>
                    </w:p>
                  </w:sdtContent>
                </w:sdt>
              </w:sdtContent>
            </w:sdt>
          </w:sdtContent>
        </w:sdt>
        <w:sdt>
          <w:sdtPr>
            <w:alias w:val="2 p."/>
            <w:tag w:val="part_1c1c2a74024d44c6be36b76ed65ada72"/>
            <w:lock w:val="sdtLocked"/>
            <w:richText/>
          </w:sdtPr>
          <w:sdtContent>
            <w:p w14:paraId="1CC96407" w14:textId="29CDB3C3">
              <w:pPr>
                <w:tabs>
                  <w:tab w:val="left" w:pos="0"/>
                  <w:tab w:val="left" w:pos="567"/>
                  <w:tab w:val="left" w:pos="851"/>
                </w:tabs>
                <w:ind w:left="720" w:hanging="153"/>
                <w:jc w:val="both"/>
                <w:rPr>
                  <w:color w:val="000000"/>
                  <w:szCs w:val="24"/>
                  <w:lang w:eastAsia="lt-LT"/>
                </w:rPr>
              </w:pPr>
              <w:sdt>
                <w:sdtPr>
                  <w:alias w:val="Numeris"/>
                  <w:tag w:val="nr_1c1c2a74024d44c6be36b76ed65ada72"/>
                  <w:lock w:val="sdtLocked"/>
                  <w:richText/>
                </w:sdtPr>
                <w:sdtContent>
                  <w:r>
                    <w:rPr>
                      <w:color w:val="000000"/>
                      <w:szCs w:val="24"/>
                      <w:lang w:eastAsia="lt-LT"/>
                    </w:rPr>
                    <w:t>2</w:t>
                  </w:r>
                </w:sdtContent>
              </w:sdt>
              <w:r>
                <w:rPr>
                  <w:color w:val="000000"/>
                  <w:szCs w:val="24"/>
                  <w:lang w:eastAsia="lt-LT"/>
                </w:rPr>
                <w:t>.</w:t>
                <w:tab/>
                <w:t xml:space="preserve">Pakeičiu </w:t>
              </w:r>
              <w:r>
                <w:rPr>
                  <w:szCs w:val="24"/>
                </w:rPr>
                <w:t xml:space="preserve">1 priedo 5.4.2 papunktį </w:t>
              </w:r>
              <w:r>
                <w:rPr>
                  <w:color w:val="000000"/>
                  <w:szCs w:val="24"/>
                  <w:lang w:eastAsia="lt-LT"/>
                </w:rPr>
                <w:t>ir jį išdėstau taip:</w:t>
              </w:r>
            </w:p>
            <w:p w14:paraId="5103B713" w14:textId="5A013437">
              <w:pPr>
                <w:tabs>
                  <w:tab w:val="left" w:pos="0"/>
                  <w:tab w:val="left" w:pos="567"/>
                  <w:tab w:val="left" w:pos="851"/>
                </w:tabs>
                <w:jc w:val="both"/>
                <w:rPr>
                  <w:color w:val="000000"/>
                  <w:szCs w:val="24"/>
                  <w:lang w:eastAsia="lt-LT"/>
                </w:rPr>
              </w:pPr>
              <w:r>
                <w:rPr>
                  <w:color w:val="000000"/>
                  <w:szCs w:val="24"/>
                  <w:lang w:eastAsia="lt-LT"/>
                </w:rPr>
                <w:t>„</w:t>
              </w:r>
            </w:p>
            <w:sdt>
              <w:sdtPr>
                <w:alias w:val="citata"/>
                <w:tag w:val="part_6bf3eaaa19ae47679bf4d45a0fa0680f"/>
                <w:lock w:val="sdtLocked"/>
                <w:richText/>
              </w:sdtPr>
              <w:sdtContent>
                <w:sdt>
                  <w:sdtPr>
                    <w:alias w:val="pastraipa"/>
                    <w:tag w:val="part_df63fd957eaf451b85dad805c172ccab"/>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09A94CC0" w14:textId="77777777">
                        <w:tc>
                          <w:tcPr>
                            <w:tcW w:w="4390" w:type="dxa"/>
                          </w:tcPr>
                          <w:p w14:paraId="1E22BB52" w14:textId="11A1B473">
                            <w:pPr>
                              <w:tabs>
                                <w:tab w:val="left" w:pos="0"/>
                                <w:tab w:val="left" w:pos="567"/>
                                <w:tab w:val="left" w:pos="851"/>
                              </w:tabs>
                              <w:jc w:val="both"/>
                              <w:rPr>
                                <w:color w:val="000000"/>
                                <w:szCs w:val="24"/>
                                <w:lang w:eastAsia="lt-LT"/>
                              </w:rPr>
                            </w:pPr>
                            <w:r>
                              <w:rPr>
                                <w:szCs w:val="24"/>
                              </w:rPr>
                              <w:t>5.4.2. paraiškos pateikimo dieną pareiškėjas ir partneris (-iai) yra įvykdęs (-ę) su mokesčių ir socialinio draudimo įmokų mokėjimu susijusių skolų pagal Lietuvos Respublikos teisės aktus arba pagal kitos valstybės teisės aktus, jei pareiškėjas ir partneris (-iai) yra užsienyje registruotas juridinis asmuo (asmenys) ar fizinis (-iai) asmuo (asmenys) yra užsienio pilietis (-čiai),</w:t>
                            </w:r>
                            <w:r>
                              <w:rPr>
                                <w:rFonts w:cs="Calibri"/>
                                <w:szCs w:val="24"/>
                              </w:rPr>
                              <w:t xml:space="preserve"> arba kiekvienu atveju skola neviršija 50 eurų </w:t>
                            </w:r>
                            <w:r>
                              <w:rPr>
                                <w:rFonts w:cs="Calibri"/>
                                <w:i/>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551" w:type="dxa"/>
                          </w:tcPr>
                          <w:p w14:paraId="3578E932" w14:textId="03946311">
                            <w:pPr>
                              <w:tabs>
                                <w:tab w:val="left" w:pos="0"/>
                                <w:tab w:val="left" w:pos="567"/>
                                <w:tab w:val="left" w:pos="851"/>
                              </w:tabs>
                              <w:jc w:val="both"/>
                              <w:rPr>
                                <w:color w:val="000000"/>
                                <w:szCs w:val="24"/>
                                <w:lang w:eastAsia="lt-LT"/>
                              </w:rPr>
                            </w:pPr>
                            <w:r>
                              <w:rPr>
                                <w:i/>
                                <w:iCs/>
                                <w:szCs w:val="24"/>
                              </w:rPr>
                              <w:t>Informacijos šaltinis: paraiška, Valstybinio socialinio draudimo fondo valdybos prie Lietuvos Respublikos socialinės apsaugos ir darbo ministerijos ir Valstybinės mokesčių inspekcijos prie Lietuvos Respublikos finansų ministerijos pateikta informacija.</w:t>
                            </w:r>
                          </w:p>
                        </w:tc>
                        <w:tc>
                          <w:tcPr>
                            <w:tcW w:w="1418" w:type="dxa"/>
                          </w:tcPr>
                          <w:p w14:paraId="1BDBF729" w14:textId="77777777">
                            <w:pPr>
                              <w:tabs>
                                <w:tab w:val="left" w:pos="0"/>
                                <w:tab w:val="left" w:pos="567"/>
                                <w:tab w:val="left" w:pos="851"/>
                              </w:tabs>
                              <w:jc w:val="both"/>
                              <w:rPr>
                                <w:color w:val="000000"/>
                                <w:szCs w:val="24"/>
                                <w:lang w:eastAsia="lt-LT"/>
                              </w:rPr>
                            </w:pPr>
                          </w:p>
                        </w:tc>
                        <w:tc>
                          <w:tcPr>
                            <w:tcW w:w="1269" w:type="dxa"/>
                          </w:tcPr>
                          <w:p w14:paraId="7A96E3AD" w14:textId="4206D9BD">
                            <w:pPr>
                              <w:tabs>
                                <w:tab w:val="left" w:pos="0"/>
                                <w:tab w:val="left" w:pos="567"/>
                                <w:tab w:val="left" w:pos="851"/>
                              </w:tabs>
                              <w:jc w:val="both"/>
                              <w:rPr>
                                <w:color w:val="000000"/>
                                <w:szCs w:val="24"/>
                                <w:lang w:eastAsia="lt-LT"/>
                              </w:rPr>
                            </w:pPr>
                          </w:p>
                        </w:tc>
                      </w:tr>
                    </w:tbl>
                    <w:p w14:paraId="2FC42F79" w14:textId="2A1B10B1">
                      <w:pPr>
                        <w:tabs>
                          <w:tab w:val="left" w:pos="0"/>
                          <w:tab w:val="left" w:pos="567"/>
                          <w:tab w:val="left" w:pos="851"/>
                        </w:tabs>
                        <w:jc w:val="right"/>
                        <w:rPr>
                          <w:color w:val="000000"/>
                          <w:szCs w:val="24"/>
                          <w:lang w:eastAsia="lt-LT"/>
                        </w:rPr>
                      </w:pPr>
                      <w:r>
                        <w:rPr>
                          <w:color w:val="000000"/>
                          <w:szCs w:val="24"/>
                          <w:lang w:eastAsia="lt-LT"/>
                        </w:rPr>
                        <w:t>“</w:t>
                      </w:r>
                    </w:p>
                  </w:sdtContent>
                </w:sdt>
              </w:sdtContent>
            </w:sdt>
          </w:sdtContent>
        </w:sdt>
        <w:sdt>
          <w:sdtPr>
            <w:alias w:val="3 p."/>
            <w:tag w:val="part_72496e14b81a4e3bae841718053d01ba"/>
            <w:lock w:val="sdtLocked"/>
            <w:richText/>
          </w:sdtPr>
          <w:sdtContent>
            <w:p w14:paraId="66DF5DD5" w14:textId="15BD5978">
              <w:pPr>
                <w:tabs>
                  <w:tab w:val="left" w:pos="0"/>
                  <w:tab w:val="left" w:pos="567"/>
                  <w:tab w:val="left" w:pos="851"/>
                </w:tabs>
                <w:ind w:left="720" w:hanging="153"/>
                <w:jc w:val="both"/>
                <w:rPr>
                  <w:color w:val="000000"/>
                  <w:szCs w:val="24"/>
                  <w:lang w:eastAsia="lt-LT"/>
                </w:rPr>
              </w:pPr>
              <w:sdt>
                <w:sdtPr>
                  <w:alias w:val="Numeris"/>
                  <w:tag w:val="nr_72496e14b81a4e3bae841718053d01ba"/>
                  <w:lock w:val="sdtLocked"/>
                  <w:richText/>
                </w:sdtPr>
                <w:sdtContent>
                  <w:r>
                    <w:rPr>
                      <w:color w:val="000000"/>
                      <w:szCs w:val="24"/>
                      <w:lang w:eastAsia="lt-LT"/>
                    </w:rPr>
                    <w:t>3</w:t>
                  </w:r>
                </w:sdtContent>
              </w:sdt>
              <w:r>
                <w:rPr>
                  <w:color w:val="000000"/>
                  <w:szCs w:val="24"/>
                  <w:lang w:eastAsia="lt-LT"/>
                </w:rPr>
                <w:t>.</w:t>
                <w:tab/>
                <w:t xml:space="preserve">Pakeičiu </w:t>
              </w:r>
              <w:r>
                <w:rPr>
                  <w:szCs w:val="24"/>
                </w:rPr>
                <w:t xml:space="preserve">1 priedo 5.4.3 papunktį </w:t>
              </w:r>
              <w:r>
                <w:rPr>
                  <w:color w:val="000000"/>
                  <w:szCs w:val="24"/>
                  <w:lang w:eastAsia="lt-LT"/>
                </w:rPr>
                <w:t>ir jį išdėstau taip:</w:t>
              </w:r>
            </w:p>
            <w:p w14:paraId="53B5FE74" w14:textId="6DA87A6F">
              <w:pPr>
                <w:tabs>
                  <w:tab w:val="left" w:pos="0"/>
                  <w:tab w:val="left" w:pos="567"/>
                  <w:tab w:val="left" w:pos="851"/>
                </w:tabs>
                <w:jc w:val="both"/>
                <w:rPr>
                  <w:color w:val="000000"/>
                  <w:szCs w:val="24"/>
                  <w:lang w:eastAsia="lt-LT"/>
                </w:rPr>
              </w:pPr>
              <w:r>
                <w:rPr>
                  <w:color w:val="000000"/>
                  <w:szCs w:val="24"/>
                  <w:lang w:eastAsia="lt-LT"/>
                </w:rPr>
                <w:t>„</w:t>
              </w:r>
            </w:p>
            <w:sdt>
              <w:sdtPr>
                <w:alias w:val="citata"/>
                <w:tag w:val="part_a5191d4c8b124ce6814398771fb26972"/>
                <w:lock w:val="sdtLocked"/>
                <w:richText/>
              </w:sdtPr>
              <w:sdtContent>
                <w:sdt>
                  <w:sdtPr>
                    <w:alias w:val="pastraipa"/>
                    <w:tag w:val="part_5832fc659018491787a9622c40c26f3d"/>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18A6C3AC" w14:textId="77777777">
                        <w:tc>
                          <w:tcPr>
                            <w:tcW w:w="4390" w:type="dxa"/>
                          </w:tcPr>
                          <w:p w14:paraId="07EF8D26" w14:textId="6EA93AFF">
                            <w:pPr>
                              <w:tabs>
                                <w:tab w:val="left" w:pos="0"/>
                                <w:tab w:val="left" w:pos="567"/>
                                <w:tab w:val="left" w:pos="851"/>
                              </w:tabs>
                              <w:jc w:val="both"/>
                              <w:rPr>
                                <w:color w:val="000000"/>
                                <w:szCs w:val="24"/>
                                <w:lang w:eastAsia="lt-LT"/>
                              </w:rPr>
                            </w:pPr>
                            <w:r>
                              <w:rPr>
                                <w:szCs w:val="24"/>
                              </w:rPr>
                              <w:t xml:space="preserve">5.4.3. paraiškos vertinimo metu pareiškėjas ir partneris (-iai), kurie yra fiziniai asmenys, arba </w:t>
                            </w:r>
                            <w:r>
                              <w:rPr>
                                <w:color w:val="000000"/>
                                <w:szCs w:val="24"/>
                              </w:rPr>
                              <w:t xml:space="preserve">pareiškėjo ir partnerio (-ių), kurie yra juridiniai asmenys, vadovas, </w:t>
                            </w:r>
                            <w:r>
                              <w:rPr>
                                <w:rFonts w:cs="Calibri"/>
                                <w:szCs w:val="24"/>
                                <w:lang w:eastAsia="lt-LT"/>
                              </w:rPr>
                              <w:t>pagrindinis akcininkas (turintis daugiau nei 50 proc. akcijų) ar savininkas,</w:t>
                            </w:r>
                            <w:r>
                              <w:rPr>
                                <w:color w:val="000000"/>
                                <w:szCs w:val="24"/>
                              </w:rPr>
                              <w:t xml:space="preserve">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rFonts w:cs="Calibri"/>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rFonts w:cs="Calibri"/>
                                <w:szCs w:val="24"/>
                                <w:lang w:eastAsia="lt-LT"/>
                              </w:rPr>
                              <w:t xml:space="preserve"> </w:t>
                            </w:r>
                            <w:r>
                              <w:rPr>
                                <w:i/>
                                <w:iCs/>
                                <w:color w:val="000000"/>
                                <w:szCs w:val="24"/>
                              </w:rPr>
                              <w:t>(</w:t>
                            </w:r>
                            <w:r>
                              <w:rPr>
                                <w:rFonts w:cs="Calibri"/>
                                <w:i/>
                                <w:szCs w:val="24"/>
                              </w:rPr>
                              <w:t xml:space="preserve">šis apribojimas netaikomas, </w:t>
                            </w:r>
                            <w:r>
                              <w:rPr>
                                <w:i/>
                                <w:iCs/>
                                <w:color w:val="000000"/>
                                <w:szCs w:val="24"/>
                              </w:rPr>
                              <w:t>jei pareiškėjo veikla yra finansuojama iš Lietuvos Respublikos valstybės ir (arba) savivaldybių biudžetų ir (arba) valstybės pinigų fondų,</w:t>
                            </w:r>
                            <w:r>
                              <w:rPr>
                                <w:rFonts w:cs="Calibri"/>
                                <w:i/>
                                <w:szCs w:val="24"/>
                                <w:lang w:eastAsia="lt-LT"/>
                              </w:rPr>
                              <w:t xml:space="preserve"> taip pat </w:t>
                            </w:r>
                            <w:r>
                              <w:rPr>
                                <w:rFonts w:cs="Calibri"/>
                                <w:i/>
                                <w:szCs w:val="24"/>
                              </w:rPr>
                              <w:t>Europos investicijų fondui ir Europos investicijų</w:t>
                            </w:r>
                            <w:r>
                              <w:rPr>
                                <w:i/>
                                <w:iCs/>
                                <w:color w:val="000000"/>
                                <w:szCs w:val="24"/>
                              </w:rPr>
                              <w:t>)</w:t>
                            </w:r>
                            <w:r>
                              <w:rPr>
                                <w:color w:val="000000"/>
                                <w:szCs w:val="24"/>
                              </w:rPr>
                              <w:t>;</w:t>
                            </w:r>
                          </w:p>
                        </w:tc>
                        <w:tc>
                          <w:tcPr>
                            <w:tcW w:w="2551" w:type="dxa"/>
                          </w:tcPr>
                          <w:p w14:paraId="0C069897" w14:textId="6D492ED6">
                            <w:pPr>
                              <w:tabs>
                                <w:tab w:val="left" w:pos="0"/>
                                <w:tab w:val="left" w:pos="567"/>
                                <w:tab w:val="left" w:pos="851"/>
                              </w:tabs>
                              <w:jc w:val="both"/>
                              <w:rPr>
                                <w:color w:val="000000"/>
                                <w:szCs w:val="24"/>
                                <w:lang w:eastAsia="lt-LT"/>
                              </w:rPr>
                            </w:pPr>
                            <w:r>
                              <w:rPr>
                                <w:i/>
                                <w:iCs/>
                                <w:szCs w:val="24"/>
                              </w:rPr>
                              <w:t>Informacijos šaltinis: paraiška.</w:t>
                            </w:r>
                          </w:p>
                        </w:tc>
                        <w:tc>
                          <w:tcPr>
                            <w:tcW w:w="1418" w:type="dxa"/>
                          </w:tcPr>
                          <w:p w14:paraId="74188BA7" w14:textId="77777777">
                            <w:pPr>
                              <w:tabs>
                                <w:tab w:val="left" w:pos="0"/>
                                <w:tab w:val="left" w:pos="567"/>
                                <w:tab w:val="left" w:pos="851"/>
                              </w:tabs>
                              <w:jc w:val="both"/>
                              <w:rPr>
                                <w:color w:val="000000"/>
                                <w:szCs w:val="24"/>
                                <w:lang w:eastAsia="lt-LT"/>
                              </w:rPr>
                            </w:pPr>
                          </w:p>
                        </w:tc>
                        <w:tc>
                          <w:tcPr>
                            <w:tcW w:w="1269" w:type="dxa"/>
                          </w:tcPr>
                          <w:p w14:paraId="6CB28BB6" w14:textId="77777777">
                            <w:pPr>
                              <w:tabs>
                                <w:tab w:val="left" w:pos="0"/>
                                <w:tab w:val="left" w:pos="567"/>
                                <w:tab w:val="left" w:pos="851"/>
                              </w:tabs>
                              <w:jc w:val="both"/>
                              <w:rPr>
                                <w:color w:val="000000"/>
                                <w:szCs w:val="24"/>
                                <w:lang w:eastAsia="lt-LT"/>
                              </w:rPr>
                            </w:pPr>
                          </w:p>
                        </w:tc>
                      </w:tr>
                    </w:tbl>
                    <w:p w14:paraId="50AD6F61" w14:textId="0546BFBE">
                      <w:pPr>
                        <w:tabs>
                          <w:tab w:val="left" w:pos="0"/>
                          <w:tab w:val="left" w:pos="567"/>
                          <w:tab w:val="left" w:pos="851"/>
                        </w:tabs>
                        <w:ind w:left="720"/>
                        <w:jc w:val="right"/>
                        <w:rPr>
                          <w:color w:val="000000"/>
                          <w:szCs w:val="24"/>
                          <w:lang w:eastAsia="lt-LT"/>
                        </w:rPr>
                      </w:pPr>
                      <w:r>
                        <w:rPr>
                          <w:color w:val="000000"/>
                          <w:szCs w:val="24"/>
                          <w:lang w:eastAsia="lt-LT"/>
                        </w:rPr>
                        <w:t>“</w:t>
                      </w:r>
                    </w:p>
                    <w:p w14:paraId="08909529" w14:textId="5EC092B7">
                      <w:pPr>
                        <w:tabs>
                          <w:tab w:val="left" w:pos="0"/>
                          <w:tab w:val="left" w:pos="567"/>
                          <w:tab w:val="left" w:pos="851"/>
                        </w:tabs>
                        <w:jc w:val="both"/>
                        <w:rPr>
                          <w:color w:val="000000"/>
                          <w:szCs w:val="24"/>
                          <w:lang w:eastAsia="lt-LT"/>
                        </w:rPr>
                      </w:pPr>
                    </w:p>
                    <w:p w14:paraId="6EDC758A" w14:textId="7332A065">
                      <w:pPr>
                        <w:tabs>
                          <w:tab w:val="left" w:pos="1134"/>
                        </w:tabs>
                        <w:overflowPunct w:val="0"/>
                        <w:ind w:firstLine="913"/>
                        <w:jc w:val="both"/>
                        <w:textAlignment w:val="baseline"/>
                        <w:rPr>
                          <w:color w:val="000000"/>
                          <w:szCs w:val="24"/>
                          <w:lang w:eastAsia="lt-LT"/>
                        </w:rPr>
                      </w:pPr>
                    </w:p>
                  </w:sdtContent>
                </w:sdt>
                <w:sdt>
                  <w:sdtPr>
                    <w:alias w:val="lentele"/>
                    <w:tag w:val="part_1458c09a72b74c2c93fdc9fb279474c2"/>
                    <w:lock w:val="sdtLocked"/>
                    <w:richText/>
                  </w:sdtPr>
                  <w:sdtContent>
                    <w:tbl>
                      <w:tblPr>
                        <w:tblW w:w="0" w:type="auto"/>
                        <w:tblLook w:val="04A0" w:firstRow="1" w:lastRow="0" w:firstColumn="1" w:lastColumn="0" w:noHBand="0" w:noVBand="1"/>
                      </w:tblPr>
                      <w:tblGrid>
                        <w:gridCol w:w="4927"/>
                        <w:gridCol w:w="4927"/>
                      </w:tblGrid>
                      <w:tr w14:paraId="6EDC758D" w14:textId="77777777">
                        <w:tc>
                          <w:tcPr>
                            <w:tcW w:w="4927" w:type="dxa"/>
                          </w:tcPr>
                          <w:p w14:paraId="6EDC758B" w14:textId="77777777">
                            <w:pPr>
                              <w:overflowPunct w:val="0"/>
                              <w:spacing w:line="276" w:lineRule="auto"/>
                              <w:jc w:val="both"/>
                              <w:textAlignment w:val="baseline"/>
                              <w:rPr>
                                <w:color w:val="000000"/>
                                <w:szCs w:val="24"/>
                                <w:lang w:eastAsia="lt-LT"/>
                              </w:rPr>
                            </w:pPr>
                            <w:r>
                              <w:rPr>
                                <w:color w:val="000000"/>
                                <w:szCs w:val="24"/>
                                <w:lang w:eastAsia="lt-LT"/>
                              </w:rPr>
                              <w:t>Energetikos ministras</w:t>
                              <w:tab/>
                              <w:tab/>
                            </w:r>
                          </w:p>
                        </w:tc>
                        <w:tc>
                          <w:tcPr>
                            <w:tcW w:w="4927" w:type="dxa"/>
                          </w:tcPr>
                          <w:p w14:paraId="6EDC758C" w14:textId="7728905B">
                            <w:pPr>
                              <w:overflowPunct w:val="0"/>
                              <w:spacing w:line="276" w:lineRule="auto"/>
                              <w:jc w:val="right"/>
                              <w:textAlignment w:val="baseline"/>
                              <w:rPr>
                                <w:color w:val="000000"/>
                                <w:szCs w:val="24"/>
                                <w:lang w:eastAsia="lt-LT"/>
                              </w:rPr>
                            </w:pPr>
                          </w:p>
                        </w:tc>
                      </w:tr>
                    </w:tbl>
                    <w:p w14:paraId="6EDC758E" w14:textId="5CA5E186">
                      <w:pPr>
                        <w:overflowPunct w:val="0"/>
                        <w:spacing w:line="276" w:lineRule="auto"/>
                        <w:jc w:val="both"/>
                        <w:textAlignment w:val="baseline"/>
                        <w:rPr>
                          <w:szCs w:val="24"/>
                          <w:lang w:eastAsia="lt-LT"/>
                        </w:rPr>
                      </w:pPr>
                    </w:p>
                  </w:sdtContent>
                </w:sdt>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6092C8" w14:textId="77777777">
      <w:pPr>
        <w:rPr>
          <w:rFonts w:ascii="Calibri" w:hAnsi="Calibri" w:cs="Calibri"/>
          <w:sz w:val="22"/>
          <w:szCs w:val="22"/>
        </w:rPr>
      </w:pPr>
      <w:r>
        <w:rPr>
          <w:rFonts w:ascii="Calibri" w:hAnsi="Calibri" w:cs="Calibri"/>
          <w:sz w:val="22"/>
          <w:szCs w:val="22"/>
        </w:rPr>
        <w:separator/>
      </w:r>
    </w:p>
  </w:endnote>
  <w:endnote w:type="continuationSeparator" w:id="0">
    <w:p w14:paraId="04683AF3" w14:textId="77777777">
      <w:pPr>
        <w:rPr>
          <w:rFonts w:ascii="Calibri" w:hAnsi="Calibri" w:cs="Calibri"/>
          <w:sz w:val="22"/>
          <w:szCs w:val="22"/>
        </w:rPr>
      </w:pPr>
      <w:r>
        <w:rPr>
          <w:rFonts w:ascii="Calibri" w:hAnsi="Calibri" w:cs="Calibri"/>
          <w:sz w:val="22"/>
          <w:szCs w:val="22"/>
        </w:rPr>
        <w:continuationSeparator/>
      </w:r>
    </w:p>
  </w:endnote>
  <w:endnote w:type="continuationNotice" w:id="1">
    <w:p w14:paraId="74C3131C" w14:textId="77777777">
      <w:pPr>
        <w:rPr>
          <w:rFonts w:ascii="Calibri" w:hAnsi="Calibri" w:cs="Calibri"/>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99FC83" w14:textId="77777777">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94B355" w14:textId="77777777">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3E08EE" w14:textId="77777777">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2ECDEB" w14:textId="77777777">
      <w:pPr>
        <w:rPr>
          <w:rFonts w:ascii="Calibri" w:hAnsi="Calibri" w:cs="Calibri"/>
          <w:sz w:val="22"/>
          <w:szCs w:val="22"/>
        </w:rPr>
      </w:pPr>
      <w:r>
        <w:rPr>
          <w:rFonts w:ascii="Calibri" w:hAnsi="Calibri" w:cs="Calibri"/>
          <w:sz w:val="22"/>
          <w:szCs w:val="22"/>
        </w:rPr>
        <w:separator/>
      </w:r>
    </w:p>
  </w:footnote>
  <w:footnote w:type="continuationSeparator" w:id="0">
    <w:p w14:paraId="5B98785B" w14:textId="77777777">
      <w:pPr>
        <w:rPr>
          <w:rFonts w:ascii="Calibri" w:hAnsi="Calibri" w:cs="Calibri"/>
          <w:sz w:val="22"/>
          <w:szCs w:val="22"/>
        </w:rPr>
      </w:pPr>
      <w:r>
        <w:rPr>
          <w:rFonts w:ascii="Calibri" w:hAnsi="Calibri" w:cs="Calibri"/>
          <w:sz w:val="22"/>
          <w:szCs w:val="22"/>
        </w:rPr>
        <w:continuationSeparator/>
      </w:r>
    </w:p>
  </w:footnote>
  <w:footnote w:type="continuationNotice" w:id="1">
    <w:p w14:paraId="650EB287" w14:textId="77777777">
      <w:pPr>
        <w:rPr>
          <w:rFonts w:ascii="Calibri" w:hAnsi="Calibri" w:cs="Calibri"/>
          <w:sz w:val="22"/>
          <w:szCs w:val="22"/>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025690"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C7595" w14:textId="4F7F3FF2">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6EDC7596"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C7597"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4:docId w14:val="6EDC75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1481576821">
              <w:marLeft w:val="0"/>
              <w:marRight w:val="0"/>
              <w:marTop w:val="0"/>
              <w:marBottom w:val="0"/>
              <w:divBdr>
                <w:top w:val="none" w:sz="0" w:space="0" w:color="auto"/>
                <w:left w:val="none" w:sz="0" w:space="0" w:color="auto"/>
                <w:bottom w:val="none" w:sz="0" w:space="0" w:color="auto"/>
                <w:right w:val="none" w:sz="0" w:space="0" w:color="auto"/>
              </w:divBdr>
            </w:div>
            <w:div w:id="1369337082">
              <w:marLeft w:val="0"/>
              <w:marRight w:val="0"/>
              <w:marTop w:val="0"/>
              <w:marBottom w:val="0"/>
              <w:divBdr>
                <w:top w:val="none" w:sz="0" w:space="0" w:color="auto"/>
                <w:left w:val="none" w:sz="0" w:space="0" w:color="auto"/>
                <w:bottom w:val="none" w:sz="0" w:space="0" w:color="auto"/>
                <w:right w:val="none" w:sz="0" w:space="0" w:color="auto"/>
              </w:divBdr>
            </w:div>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122114864">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7b5896996f7d40febd625e71d971e256" PartId="09faff77386543a097a35c62b8fec585">
    <Part Type="preambule" DocPartId="1d9ac9782c104e6180d8631aaf8b14a2" PartId="4b314f3c831642d586c88ac537f2aa23"/>
    <Part Type="punktas" Nr="1" Abbr="1 p." DocPartId="979400cf689a4f1fa79f8859eac415b5" PartId="560f2acc716c463ea872d65d1aa0dca5">
      <Part Type="citata" DocPartId="855d4f8a1d374cabafa2a01489d65944" PartId="eadcad29d4ee443c948b15cd968892e1">
        <Part Type="punktas" Nr="38" Abbr="38 p." DocPartId="03f471023d5a478b90e082be4c309b55" PartId="16b608e352ab408e87299acefd5b4692"/>
      </Part>
    </Part>
    <Part Type="punktas" Nr="2" Abbr="2 p." DocPartId="1618a5c7c0754d49b82599d82aa12cfa" PartId="1c1c2a74024d44c6be36b76ed65ada72">
      <Part Type="citata" DocPartId="6e59534c399b4c4b9add0f46533aab92" PartId="6bf3eaaa19ae47679bf4d45a0fa0680f">
        <Part Type="pastraipa" DocPartId="d9aa4249888942d6945c33edcd15021f" PartId="df63fd957eaf451b85dad805c172ccab"/>
      </Part>
    </Part>
    <Part Type="punktas" Nr="3" Abbr="3 p." DocPartId="86d8b2b09bf74d3dbb8fdf112d16ed19" PartId="72496e14b81a4e3bae841718053d01ba">
      <Part Type="citata" DocPartId="cd2b21a67e4149e48eb2b65a1b9f616b" PartId="a5191d4c8b124ce6814398771fb26972">
        <Part Type="pastraipa" DocPartId="1bf5af30c9394f5a8340589cf6665a52" PartId="5832fc659018491787a9622c40c26f3d"/>
        <Part Type="lentele" DocPartId="cd02b61d8dab485b9ddf76850d356047" PartId="1458c09a72b74c2c93fdc9fb279474c2"/>
      </Part>
    </Part>
  </Part>
</Parts>
</file>

<file path=customXml/itemProps1.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3.xml><?xml version="1.0" encoding="utf-8"?>
<ds:datastoreItem xmlns:ds="http://schemas.openxmlformats.org/officeDocument/2006/customXml" ds:itemID="{F7487EF9-2C6A-4E62-905D-86CC9DA6343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EA6B0C7-CA31-43DC-88EA-0F2EDCF55FF2}">
  <ds:schemaRefs>
    <ds:schemaRef ds:uri="http://schemas.openxmlformats.org/officeDocument/2006/bibliography"/>
  </ds:schemaRefs>
</ds:datastoreItem>
</file>

<file path=customXml/itemProps5.xml><?xml version="1.0" encoding="utf-8"?>
<ds:datastoreItem xmlns:ds="http://schemas.openxmlformats.org/officeDocument/2006/customXml" ds:itemID="{97AF9C81-401D-4CAE-B44B-00C0FCB9B1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680</Words>
  <Characters>4792</Characters>
  <Application>Microsoft Office Word</Application>
  <DocSecurity>4</DocSecurity>
  <Lines>149</Lines>
  <Paragraphs>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5450</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2018-02-13T14:56:00Z</dcterms:created>
  <dc:creator>Žana Zimina</dc:creator>
  <lastModifiedBy>adlibuser</lastModifiedBy>
  <lastPrinted>2017-04-03T13:12:00Z</lastPrinted>
  <dcterms:modified xsi:type="dcterms:W3CDTF">2018-02-13T14:56:00Z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