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c8fedcc3aa440498f55a17b2a11c094"/>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2024-12-08 Nr. TR-464</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w:t>
          </w:r>
          <w:r>
            <w:rPr>
              <w:szCs w:val="24"/>
              <w:lang w:eastAsia="lt-LT"/>
            </w:rPr>
            <w:t xml:space="preserve"> </w:t>
          </w:r>
          <w:r>
            <w:rPr>
              <w:rFonts w:ascii="Verdana" w:hAnsi="Verdana"/>
              <w:b/>
              <w:szCs w:val="24"/>
              <w:lang w:eastAsia="lt-LT"/>
            </w:rPr>
            <w:t>VALSTYBINĖS ŽEMĖS NUOMOS MOKESČIO LENGVATŲ</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de1d5fd3cbae45f285a6d3b8ccece7c5"/>
            <w:lock w:val="sdtLocked"/>
            <w:richText/>
          </w:sdtPr>
          <w:sdtContent>
            <w:p>
              <w:pPr>
                <w:ind w:right="-1" w:firstLine="709"/>
                <w:jc w:val="both"/>
                <w:rPr>
                  <w:rFonts w:ascii="Verdana" w:hAnsi="Verdana"/>
                  <w:color w:val="000000"/>
                  <w:spacing w:val="40"/>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15 straipsnio 2 dalies 14 punktu, Lietuvos Respublikos žemės </w:t>
              </w:r>
              <w:r>
                <w:rPr>
                  <w:rFonts w:ascii="Verdana" w:hAnsi="Verdana"/>
                  <w:color w:val="000000"/>
                  <w:szCs w:val="24"/>
                  <w:lang w:eastAsia="lt-LT"/>
                </w:rPr>
                <w:t>įstatymo</w:t>
              </w:r>
              <w:r>
                <w:rPr>
                  <w:rFonts w:ascii="Verdana" w:hAnsi="Verdana"/>
                  <w:szCs w:val="24"/>
                  <w:lang w:eastAsia="lt-LT"/>
                </w:rPr>
                <w:t xml:space="preserve"> 8 straipsnio 3 ir 5 dalimis; Lietuvos Respublikos Vyriausybės 2002 m. lapkričio 19 d. nutarimo Nr. </w:t>
              </w:r>
              <w:hyperlink r:id="rId14" w:history="1">
                <w:r>
                  <w:rPr>
                    <w:rFonts w:ascii="Verdana" w:hAnsi="Verdana"/>
                    <w:szCs w:val="24"/>
                    <w:lang w:eastAsia="lt-LT"/>
                  </w:rPr>
                  <w:t>1798</w:t>
                </w:r>
              </w:hyperlink>
              <w:r>
                <w:rPr>
                  <w:rFonts w:ascii="Verdana" w:hAnsi="Verdana"/>
                  <w:szCs w:val="24"/>
                  <w:lang w:eastAsia="lt-LT"/>
                </w:rPr>
                <w:t xml:space="preserve"> „Dėl nuomos mokesčio už valstybinę žemę“ 1.8 papunkčiu, Lietuvos Respublikos Vyriausybės 2003 m. lapkričio 10 d. nutarimo Nr. </w:t>
              </w:r>
              <w:hyperlink r:id="rId15" w:history="1">
                <w:r>
                  <w:rPr>
                    <w:rFonts w:ascii="Verdana" w:hAnsi="Verdana"/>
                    <w:szCs w:val="24"/>
                    <w:lang w:eastAsia="lt-LT"/>
                  </w:rPr>
                  <w:t>1387</w:t>
                </w:r>
              </w:hyperlink>
              <w:r>
                <w:rPr>
                  <w:rFonts w:ascii="Verdana" w:hAnsi="Verdana"/>
                  <w:szCs w:val="24"/>
                  <w:lang w:eastAsia="lt-LT"/>
                </w:rPr>
                <w:t xml:space="preserve"> „Dėl žemės nuomos mokesčio už valstybinės žemės sklypų naudojimą“ 8 punktu, Valstybinės žemės nuomos mokesčio, žemės mokesčio, nekilnojamojo turto mokesčio lengvatų suteikimo tvarkos aprašu, patvirtintu Marijampolės savivaldybės tarybos 2024 m. birželio 25 d. sprendimu Nr. </w:t>
              </w:r>
              <w:r>
                <w:rPr>
                  <w:rFonts w:ascii="Verdana" w:hAnsi="Verdana"/>
                  <w:color w:val="000000"/>
                  <w:szCs w:val="24"/>
                  <w:lang w:eastAsia="lt-LT"/>
                </w:rPr>
                <w:t>1-232</w:t>
              </w:r>
              <w:r>
                <w:rPr>
                  <w:rFonts w:ascii="Verdana" w:hAnsi="Verdana"/>
                  <w:color w:val="000000"/>
                  <w:szCs w:val="24"/>
                  <w:lang w:eastAsia="lt-LT"/>
                </w:rPr>
                <w:t xml:space="preserve"> </w:t>
              </w:r>
              <w:r>
                <w:rPr>
                  <w:rFonts w:ascii="Verdana" w:hAnsi="Verdana"/>
                  <w:szCs w:val="24"/>
                  <w:lang w:eastAsia="lt-LT"/>
                </w:rPr>
                <w:t>„Dėl Valstybinės žemės nuomos mokesčio, žemės mokesčio, nekilnojamojo turto mokesčio lengvatų suteikimo tvarkos aprašo patvirtinimo“, ir atsižvelgdama į Mokesčių lengvatų svarstymo komisijos 2024 m. lapkričio 22 d. protokolą Nr.</w:t>
              </w:r>
              <w:r>
                <w:rPr>
                  <w:szCs w:val="24"/>
                  <w:lang w:eastAsia="lt-LT"/>
                </w:rPr>
                <w:t xml:space="preserve"> </w:t>
              </w:r>
              <w:r>
                <w:rPr>
                  <w:rFonts w:ascii="Verdana" w:hAnsi="Verdana"/>
                  <w:szCs w:val="24"/>
                  <w:lang w:eastAsia="lt-LT"/>
                </w:rPr>
                <w:t>K-643 (7</w:t>
              </w:r>
              <w:r>
                <w:rPr>
                  <w:rFonts w:ascii="Verdana" w:hAnsi="Verdana"/>
                  <w:color w:val="000000"/>
                  <w:szCs w:val="24"/>
                  <w:lang w:eastAsia="lt-LT"/>
                </w:rPr>
                <w:t xml:space="preserve">.3 E), Marijampolės savivaldybės taryba </w:t>
              </w:r>
              <w:r>
                <w:rPr>
                  <w:rFonts w:ascii="Verdana" w:hAnsi="Verdana"/>
                  <w:color w:val="000000"/>
                  <w:spacing w:val="40"/>
                  <w:szCs w:val="24"/>
                  <w:lang w:eastAsia="lt-LT"/>
                </w:rPr>
                <w:t>nusprendžia:</w:t>
              </w:r>
            </w:p>
          </w:sdtContent>
        </w:sdt>
        <w:sdt>
          <w:sdtPr>
            <w:alias w:val="1 p."/>
            <w:tag w:val="part_d1b3720fca0646ac940b4af47a622777"/>
            <w:lock w:val="sdtLocked"/>
            <w:richText/>
          </w:sdtPr>
          <w:sdtContent>
            <w:p>
              <w:pPr>
                <w:ind w:right="-1" w:firstLine="709"/>
                <w:jc w:val="both"/>
                <w:rPr>
                  <w:rFonts w:ascii="Verdana" w:hAnsi="Verdana"/>
                  <w:color w:val="000000"/>
                  <w:szCs w:val="24"/>
                  <w:lang w:eastAsia="lt-LT"/>
                </w:rPr>
              </w:pPr>
              <w:sdt>
                <w:sdtPr>
                  <w:alias w:val="Numeris"/>
                  <w:tag w:val="nr_d1b3720fca0646ac940b4af47a622777"/>
                  <w:lock w:val="sdtLocked"/>
                  <w:richText/>
                </w:sdtPr>
                <w:sdtContent>
                  <w:r>
                    <w:rPr>
                      <w:rFonts w:ascii="Verdana" w:hAnsi="Verdana"/>
                      <w:color w:val="000000"/>
                      <w:szCs w:val="24"/>
                      <w:lang w:eastAsia="lt-LT"/>
                    </w:rPr>
                    <w:t>1</w:t>
                  </w:r>
                </w:sdtContent>
              </w:sdt>
              <w:r>
                <w:rPr>
                  <w:rFonts w:ascii="Verdana" w:hAnsi="Verdana"/>
                  <w:color w:val="000000"/>
                  <w:szCs w:val="24"/>
                  <w:lang w:eastAsia="lt-LT"/>
                </w:rPr>
                <w:t xml:space="preserve">. Sumažinti 2024 metų valstybinės žemės nuomos mokestį 50 proc. Senovinių automobilių ir motociklų muziejui „Kubilkiemis”, įm. k. 304168614, už nuomojamą žemės sklypą esantį, Marijampolės m. Sporto g. 46 (apmokestintas sklypo plotas – 0,6276 ha). </w:t>
              </w:r>
            </w:p>
          </w:sdtContent>
        </w:sdt>
        <w:sdt>
          <w:sdtPr>
            <w:alias w:val="2 p."/>
            <w:tag w:val="part_be982ddfbdb44945b18a4a6aea2f809f"/>
            <w:lock w:val="sdtLocked"/>
            <w:richText/>
          </w:sdtPr>
          <w:sdtContent>
            <w:p>
              <w:pPr>
                <w:ind w:right="-1" w:firstLine="709"/>
                <w:jc w:val="both"/>
                <w:rPr>
                  <w:rFonts w:ascii="Verdana" w:hAnsi="Verdana"/>
                  <w:color w:val="000000"/>
                  <w:szCs w:val="24"/>
                  <w:lang w:eastAsia="lt-LT"/>
                </w:rPr>
              </w:pPr>
              <w:sdt>
                <w:sdtPr>
                  <w:alias w:val="Numeris"/>
                  <w:tag w:val="nr_be982ddfbdb44945b18a4a6aea2f809f"/>
                  <w:lock w:val="sdtLocked"/>
                  <w:richText/>
                </w:sdtPr>
                <w:sdtContent>
                  <w:r>
                    <w:rPr>
                      <w:rFonts w:ascii="Verdana" w:hAnsi="Verdana"/>
                      <w:color w:val="000000"/>
                      <w:szCs w:val="24"/>
                      <w:lang w:eastAsia="lt-LT"/>
                    </w:rPr>
                    <w:t>2</w:t>
                  </w:r>
                </w:sdtContent>
              </w:sdt>
              <w:r>
                <w:rPr>
                  <w:rFonts w:ascii="Verdana" w:hAnsi="Verdana"/>
                  <w:color w:val="000000"/>
                  <w:szCs w:val="24"/>
                  <w:lang w:eastAsia="lt-LT"/>
                </w:rPr>
                <w:t>.</w:t>
              </w:r>
              <w:r>
                <w:rPr>
                  <w:color w:val="000000"/>
                  <w:szCs w:val="24"/>
                  <w:lang w:eastAsia="lt-LT"/>
                </w:rPr>
                <w:t xml:space="preserve"> </w:t>
              </w:r>
              <w:r>
                <w:rPr>
                  <w:rFonts w:ascii="Verdana" w:hAnsi="Verdana"/>
                  <w:color w:val="000000"/>
                  <w:szCs w:val="24"/>
                  <w:lang w:eastAsia="lt-LT"/>
                </w:rPr>
                <w:t>Neatleisti nuo 2024 metų valstybinės žemės nuomos mokesčio:</w:t>
              </w:r>
            </w:p>
            <w:sdt>
              <w:sdtPr>
                <w:alias w:val="2.1 pp."/>
                <w:tag w:val="part_05412364e0284482aaadec502ceb8633"/>
                <w:lock w:val="sdtLocked"/>
                <w:richText/>
              </w:sdtPr>
              <w:sdtContent>
                <w:p>
                  <w:pPr>
                    <w:ind w:right="-1" w:firstLine="709"/>
                    <w:jc w:val="both"/>
                    <w:rPr>
                      <w:rFonts w:ascii="Verdana" w:hAnsi="Verdana"/>
                      <w:color w:val="000000"/>
                      <w:szCs w:val="24"/>
                      <w:lang w:eastAsia="lt-LT"/>
                    </w:rPr>
                  </w:pPr>
                  <w:sdt>
                    <w:sdtPr>
                      <w:alias w:val="Numeris"/>
                      <w:tag w:val="nr_05412364e0284482aaadec502ceb8633"/>
                      <w:lock w:val="sdtLocked"/>
                      <w:richText/>
                    </w:sdtPr>
                    <w:sdtContent>
                      <w:r>
                        <w:rPr>
                          <w:rFonts w:ascii="Verdana" w:hAnsi="Verdana"/>
                          <w:color w:val="000000"/>
                          <w:szCs w:val="24"/>
                          <w:lang w:eastAsia="lt-LT"/>
                        </w:rPr>
                        <w:t>2.1</w:t>
                      </w:r>
                    </w:sdtContent>
                  </w:sdt>
                  <w:r>
                    <w:rPr>
                      <w:rFonts w:ascii="Verdana" w:hAnsi="Verdana"/>
                      <w:color w:val="000000"/>
                      <w:szCs w:val="24"/>
                      <w:lang w:eastAsia="lt-LT"/>
                    </w:rPr>
                    <w:t>. UAB „Trys stogai”, įm. k. 305005082, už nuomojamą žemės sklypą esantį, Marijampolės m. Sasnavos g. 74 (apmokestintas sklypo plotas – 0,1987 ha);</w:t>
                  </w:r>
                </w:p>
              </w:sdtContent>
            </w:sdt>
            <w:sdt>
              <w:sdtPr>
                <w:alias w:val="2.2 pp."/>
                <w:tag w:val="part_c113e260028b4b8a97eaf26ee207301e"/>
                <w:lock w:val="sdtLocked"/>
                <w:richText/>
              </w:sdtPr>
              <w:sdtContent>
                <w:p>
                  <w:pPr>
                    <w:ind w:right="-1" w:firstLine="709"/>
                    <w:jc w:val="both"/>
                    <w:rPr>
                      <w:rFonts w:ascii="Verdana" w:hAnsi="Verdana"/>
                      <w:color w:val="000000"/>
                      <w:szCs w:val="24"/>
                      <w:lang w:eastAsia="lt-LT"/>
                    </w:rPr>
                  </w:pPr>
                  <w:sdt>
                    <w:sdtPr>
                      <w:alias w:val="Numeris"/>
                      <w:tag w:val="nr_c113e260028b4b8a97eaf26ee207301e"/>
                      <w:lock w:val="sdtLocked"/>
                      <w:richText/>
                    </w:sdtPr>
                    <w:sdtContent>
                      <w:r>
                        <w:rPr>
                          <w:rFonts w:ascii="Verdana" w:hAnsi="Verdana"/>
                          <w:color w:val="000000"/>
                          <w:szCs w:val="24"/>
                          <w:lang w:eastAsia="lt-LT"/>
                        </w:rPr>
                        <w:t>2.2</w:t>
                      </w:r>
                    </w:sdtContent>
                  </w:sdt>
                  <w:r>
                    <w:rPr>
                      <w:rFonts w:ascii="Verdana" w:hAnsi="Verdana"/>
                      <w:color w:val="000000"/>
                      <w:szCs w:val="24"/>
                      <w:lang w:eastAsia="lt-LT"/>
                    </w:rPr>
                    <w:t xml:space="preserve">. </w:t>
                  </w:r>
                  <w:r>
                    <w:rPr>
                      <w:rFonts w:ascii="Verdana" w:hAnsi="Verdana"/>
                      <w:i/>
                      <w:color w:val="000000"/>
                      <w:szCs w:val="24"/>
                      <w:lang w:eastAsia="lt-LT"/>
                    </w:rPr>
                    <w:t>(duomenys neskelbtini)</w:t>
                  </w:r>
                  <w:r>
                    <w:rPr>
                      <w:rFonts w:ascii="Verdana" w:hAnsi="Verdana"/>
                      <w:color w:val="000000"/>
                      <w:szCs w:val="24"/>
                      <w:lang w:eastAsia="lt-LT"/>
                    </w:rPr>
                    <w:t xml:space="preserve">, gim. </w:t>
                  </w:r>
                  <w:r>
                    <w:rPr>
                      <w:rFonts w:ascii="Verdana" w:hAnsi="Verdana"/>
                      <w:i/>
                      <w:color w:val="000000"/>
                      <w:szCs w:val="24"/>
                      <w:lang w:eastAsia="lt-LT"/>
                    </w:rPr>
                    <w:t>(duomenys neskelbtini)</w:t>
                  </w:r>
                  <w:r>
                    <w:rPr>
                      <w:rFonts w:ascii="Verdana" w:hAnsi="Verdana"/>
                      <w:color w:val="000000"/>
                      <w:szCs w:val="24"/>
                      <w:lang w:eastAsia="lt-LT"/>
                    </w:rPr>
                    <w:t xml:space="preserve">, už sklypą, esantį Marijampolėje, </w:t>
                  </w:r>
                  <w:r>
                    <w:rPr>
                      <w:rFonts w:ascii="Verdana" w:hAnsi="Verdana"/>
                      <w:i/>
                      <w:color w:val="000000"/>
                      <w:szCs w:val="24"/>
                      <w:lang w:eastAsia="lt-LT"/>
                    </w:rPr>
                    <w:t>(duomenys neskelbtini)</w:t>
                  </w:r>
                  <w:r>
                    <w:rPr>
                      <w:rFonts w:ascii="Verdana" w:hAnsi="Verdana"/>
                      <w:color w:val="000000"/>
                      <w:szCs w:val="24"/>
                      <w:lang w:eastAsia="lt-LT"/>
                    </w:rPr>
                    <w:t>(apmokestintas sklypo plotas – 2,6850 ha).</w:t>
                  </w:r>
                </w:p>
              </w:sdtContent>
            </w:sdt>
          </w:sdtContent>
        </w:sdt>
        <w:sdt>
          <w:sdtPr>
            <w:alias w:val="3 p."/>
            <w:tag w:val="part_f277c41652ac4ca696cd79d94d7843ea"/>
            <w:lock w:val="sdtLocked"/>
            <w:richText/>
          </w:sdtPr>
          <w:sdtContent>
            <w:p>
              <w:pPr>
                <w:ind w:firstLine="709"/>
                <w:jc w:val="both"/>
                <w:rPr>
                  <w:rFonts w:ascii="Verdana" w:hAnsi="Verdana"/>
                  <w:szCs w:val="24"/>
                  <w:lang w:eastAsia="lt-LT"/>
                </w:rPr>
              </w:pPr>
              <w:sdt>
                <w:sdtPr>
                  <w:alias w:val="Numeris"/>
                  <w:tag w:val="nr_f277c41652ac4ca696cd79d94d7843ea"/>
                  <w:lock w:val="sdtLocked"/>
                  <w:richText/>
                </w:sdtPr>
                <w:sdtContent>
                  <w:r>
                    <w:rPr>
                      <w:rFonts w:ascii="Verdana" w:hAnsi="Verdana"/>
                      <w:color w:val="000000"/>
                      <w:szCs w:val="24"/>
                      <w:lang w:eastAsia="lt-LT"/>
                    </w:rPr>
                    <w:t>3</w:t>
                  </w:r>
                </w:sdtContent>
              </w:sdt>
              <w:r>
                <w:rPr>
                  <w:rFonts w:ascii="Verdana" w:hAnsi="Verdana"/>
                  <w:color w:val="000000"/>
                  <w:szCs w:val="24"/>
                  <w:lang w:eastAsia="lt-LT"/>
                </w:rPr>
                <w:t xml:space="preserve">. Nurodyti, kad šis sprendimas per vieną mėnesį nuo paskelbimo (įteikimo) dienos, jeigu įstatymai </w:t>
              </w:r>
              <w:r>
                <w:rPr>
                  <w:rFonts w:ascii="Verdana" w:hAnsi="Verdana"/>
                  <w:szCs w:val="24"/>
                  <w:lang w:eastAsia="lt-LT"/>
                </w:rPr>
                <w:t>nenustato kitaip, 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jc w:val="both"/>
                <w:rPr>
                  <w:rFonts w:ascii="Verdana" w:hAnsi="Verdana"/>
                  <w:szCs w:val="24"/>
                  <w:lang w:eastAsia="lt-LT"/>
                </w:rPr>
              </w:pPr>
            </w:p>
            <w:p>
              <w:pPr>
                <w:jc w:val="both"/>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jc w:val="both"/>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r>
                <w:rPr>
                  <w:rFonts w:ascii="Verdana" w:hAnsi="Verdana"/>
                  <w:szCs w:val="24"/>
                  <w:lang w:eastAsia="lt-LT"/>
                </w:rPr>
                <w:t>Jolita Pėtelė</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pPr>
            </w:p>
          </w:sdtContent>
        </w:sdt>
        <w:sdt>
          <w:sdtPr>
            <w:alias w:val="skirsnis"/>
            <w:tag w:val="part_3a5fc0294c374265b55201bc56e466b8"/>
            <w:lock w:val="sdtLocked"/>
            <w:richText/>
          </w:sdtPr>
          <w:sdtContent>
            <w:p>
              <w:pPr>
                <w:jc w:val="center"/>
                <w:rPr>
                  <w:rFonts w:ascii="Verdana" w:hAnsi="Verdana"/>
                  <w:b/>
                  <w:szCs w:val="24"/>
                  <w:lang w:eastAsia="lt-LT"/>
                </w:rPr>
              </w:pPr>
              <w:sdt>
                <w:sdtPr>
                  <w:alias w:val="Pavadinimas"/>
                  <w:tag w:val="title_3a5fc0294c374265b55201bc56e466b8"/>
                  <w:lock w:val="sdtLocked"/>
                  <w:richText/>
                </w:sdtPr>
                <w:sdtContent>
                  <w:r>
                    <w:rPr>
                      <w:rFonts w:ascii="Verdana" w:hAnsi="Verdana"/>
                      <w:b/>
                      <w:szCs w:val="24"/>
                      <w:lang w:eastAsia="lt-LT"/>
                    </w:rPr>
                    <w:t>MARIJAMPOLĖS SAVIVALDYBĖS ADMINISTRACIJOS</w:t>
                  </w:r>
                </w:sdtContent>
              </w:sdt>
            </w:p>
          </w:sdtContent>
        </w:sdt>
        <w:sdt>
          <w:sdtPr>
            <w:alias w:val="skyrius"/>
            <w:tag w:val="part_d90e2333a492452fbe33c09202a741a8"/>
            <w:lock w:val="sdtLocked"/>
            <w:richText/>
          </w:sdtPr>
          <w:sdtContent>
            <w:p>
              <w:pPr>
                <w:jc w:val="center"/>
                <w:rPr>
                  <w:rFonts w:ascii="Verdana" w:hAnsi="Verdana"/>
                  <w:szCs w:val="24"/>
                  <w:lang w:eastAsia="lt-LT"/>
                </w:rPr>
              </w:pPr>
              <w:r>
                <w:rPr>
                  <w:rFonts w:ascii="Verdana" w:hAnsi="Verdana"/>
                  <w:b/>
                  <w:szCs w:val="24"/>
                  <w:lang w:eastAsia="lt-LT"/>
                </w:rPr>
                <w:t>FINANSŲ IR STRATEGINIO PLANAVIMO SKYRIUS</w:t>
              </w:r>
            </w:p>
            <w:p>
              <w:pPr>
                <w:jc w:val="center"/>
                <w:rPr>
                  <w:rFonts w:ascii="Verdana" w:hAnsi="Verdana"/>
                  <w:szCs w:val="24"/>
                  <w:lang w:eastAsia="lt-LT"/>
                </w:rPr>
              </w:pPr>
            </w:p>
            <w:p>
              <w:pPr>
                <w:jc w:val="center"/>
                <w:rPr>
                  <w:rFonts w:ascii="Verdana" w:hAnsi="Verdana"/>
                  <w:szCs w:val="24"/>
                  <w:lang w:eastAsia="lt-LT"/>
                </w:rPr>
              </w:pPr>
            </w:p>
            <w:sdt>
              <w:sdtPr>
                <w:alias w:val="Pavadinimas"/>
                <w:tag w:val="title_d90e2333a492452fbe33c09202a741a8"/>
                <w:lock w:val="sdtLocked"/>
                <w:richText/>
              </w:sdtPr>
              <w:sdtContent>
                <w:p>
                  <w:pPr>
                    <w:jc w:val="center"/>
                    <w:rPr>
                      <w:rFonts w:ascii="Verdana" w:hAnsi="Verdana"/>
                      <w:b/>
                      <w:szCs w:val="24"/>
                      <w:lang w:eastAsia="lt-LT"/>
                    </w:rPr>
                  </w:pPr>
                  <w:r>
                    <w:rPr>
                      <w:rFonts w:ascii="Verdana" w:hAnsi="Verdana"/>
                      <w:b/>
                      <w:szCs w:val="24"/>
                      <w:lang w:eastAsia="lt-LT"/>
                    </w:rPr>
                    <w:t>AIŠKINAMASIS RAŠTAS</w:t>
                  </w:r>
                </w:p>
                <w:p>
                  <w:pPr>
                    <w:jc w:val="center"/>
                    <w:rPr>
                      <w:rFonts w:ascii="Verdana" w:hAnsi="Verdana"/>
                      <w:b/>
                      <w:szCs w:val="24"/>
                      <w:lang w:eastAsia="lt-LT"/>
                    </w:rPr>
                  </w:pPr>
                  <w:r>
                    <w:rPr>
                      <w:rFonts w:ascii="Verdana" w:hAnsi="Verdana"/>
                      <w:b/>
                      <w:szCs w:val="24"/>
                      <w:lang w:eastAsia="lt-LT"/>
                    </w:rPr>
                    <w:t>DĖL VALSTYBINĖS ŽEMĖS NUOMOS MOKESČIO LENGVATŲ</w:t>
                  </w:r>
                </w:p>
              </w:sdtContent>
            </w:sdt>
            <w:p>
              <w:pPr>
                <w:rPr>
                  <w:rFonts w:ascii="Verdana" w:hAnsi="Verdana"/>
                  <w:b/>
                  <w:szCs w:val="24"/>
                  <w:lang w:eastAsia="lt-LT"/>
                </w:rPr>
              </w:pPr>
            </w:p>
            <w:p>
              <w:pPr>
                <w:rPr>
                  <w:rFonts w:ascii="Verdana" w:hAnsi="Verdana"/>
                  <w:b/>
                  <w:szCs w:val="24"/>
                  <w:lang w:eastAsia="lt-LT"/>
                </w:rPr>
              </w:pPr>
            </w:p>
            <w:p>
              <w:pPr>
                <w:rPr>
                  <w:rFonts w:ascii="Verdana" w:hAnsi="Verdana"/>
                  <w:szCs w:val="24"/>
                  <w:lang w:eastAsia="lt-LT"/>
                </w:rPr>
              </w:pPr>
            </w:p>
            <w:p>
              <w:pPr>
                <w:rPr>
                  <w:rFonts w:ascii="Verdana" w:hAnsi="Verdana"/>
                  <w:szCs w:val="24"/>
                  <w:lang w:eastAsia="lt-LT"/>
                </w:rPr>
                <w:sectPr>
                  <w:type w:val="continuous"/>
                  <w:pgSz w:w="11906" w:h="16838"/>
                  <w:pgMar w:top="1134" w:right="567" w:bottom="1134" w:left="1701" w:header="567" w:footer="567" w:gutter="0"/>
                  <w:pgNumType w:chapStyle="1"/>
                  <w:cols w:space="1296"/>
                </w:sect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2"/>
                <w:gridCol w:w="6318"/>
              </w:tblGrid>
              <w:tr>
                <w:trPr>
                  <w:trHeight w:val="365"/>
                </w:trPr>
                <w:tc>
                  <w:tcPr>
                    <w:tcW w:w="3202" w:type="dxa"/>
                    <w:tcBorders>
                      <w:top w:val="single" w:sz="4" w:space="0" w:color="auto"/>
                      <w:left w:val="single" w:sz="4" w:space="0" w:color="auto"/>
                      <w:bottom w:val="single" w:sz="4" w:space="0" w:color="auto"/>
                      <w:right w:val="single" w:sz="4" w:space="0" w:color="auto"/>
                    </w:tcBorders>
                    <w:hideMark/>
                  </w:tcPr>
                  <w:p>
                    <w:pPr>
                      <w:tabs>
                        <w:tab w:val="center" w:pos="4819"/>
                        <w:tab w:val="right" w:pos="9638"/>
                      </w:tabs>
                      <w:ind w:right="1134"/>
                      <w:jc w:val="right"/>
                      <w:rPr>
                        <w:rFonts w:ascii="Verdana" w:hAnsi="Verdana"/>
                        <w:sz w:val="20"/>
                        <w:lang w:eastAsia="lt-LT"/>
                      </w:rPr>
                    </w:pPr>
                  </w:p>
                  <w:p>
                    <w:pPr>
                      <w:rPr>
                        <w:rFonts w:ascii="Verdana" w:hAnsi="Verdana"/>
                        <w:szCs w:val="24"/>
                        <w:lang w:eastAsia="lt-LT"/>
                      </w:rPr>
                    </w:pPr>
                    <w:r>
                      <w:rPr>
                        <w:rFonts w:ascii="Verdana" w:hAnsi="Verdana"/>
                        <w:szCs w:val="24"/>
                        <w:lang w:eastAsia="lt-LT"/>
                      </w:rPr>
                      <w:t>Projekto pavadinimas</w:t>
                    </w:r>
                  </w:p>
                </w:tc>
                <w:tc>
                  <w:tcPr>
                    <w:tcW w:w="6318"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bCs/>
                        <w:szCs w:val="24"/>
                        <w:lang w:eastAsia="lt-LT"/>
                      </w:rPr>
                      <w:t>Dėl valstybinės žemės nuomos mokesčio lengvatų</w:t>
                    </w:r>
                  </w:p>
                </w:tc>
              </w:tr>
              <w:tr>
                <w:tc>
                  <w:tcPr>
                    <w:tcW w:w="3202"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Parengto sprendimo projekto tikslai ir uždaviniai</w:t>
                    </w:r>
                  </w:p>
                </w:tc>
                <w:tc>
                  <w:tcPr>
                    <w:tcW w:w="6318"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Teikti valstybinės žemės nuomos mokesčio lengvatas vadovaujantis:</w:t>
                    </w:r>
                  </w:p>
                  <w:p>
                    <w:pPr>
                      <w:jc w:val="both"/>
                      <w:rPr>
                        <w:rFonts w:ascii="Verdana" w:hAnsi="Verdana"/>
                        <w:szCs w:val="24"/>
                        <w:lang w:eastAsia="lt-LT"/>
                      </w:rPr>
                    </w:pPr>
                    <w:r>
                      <w:rPr>
                        <w:rFonts w:ascii="Verdana" w:hAnsi="Verdana"/>
                        <w:szCs w:val="24"/>
                        <w:lang w:eastAsia="lt-LT"/>
                      </w:rPr>
                      <w:t xml:space="preserve">1. Valstybinės žemės nuomos mokesčio, žemės mokesčio, nekilnojamojo turto mokesčio lengvatų suteikimo tvarkos aprašu (toliau-Aprašas), patvirtintu Marijampolės savivaldybės tarybos 2024 m. birželio 25 d. sprendimu Nr. </w:t>
                    </w:r>
                    <w:r>
                      <w:rPr>
                        <w:rFonts w:ascii="Verdana" w:hAnsi="Verdana"/>
                        <w:color w:val="000000"/>
                        <w:szCs w:val="24"/>
                        <w:lang w:eastAsia="lt-LT"/>
                      </w:rPr>
                      <w:t>1-232</w:t>
                    </w:r>
                    <w:r>
                      <w:rPr>
                        <w:rFonts w:ascii="Verdana" w:hAnsi="Verdana"/>
                        <w:szCs w:val="24"/>
                        <w:lang w:eastAsia="lt-LT"/>
                      </w:rPr>
                      <w:t xml:space="preserve"> „Dėl Valstybinės žemės nuomos mokesčio, žemės mokesčio, nekilnojamojo turto mokesčio lengvatų suteikimo tvarkos aprašo patvirtinimo“.</w:t>
                    </w:r>
                  </w:p>
                </w:tc>
              </w:tr>
              <w:tr>
                <w:trPr>
                  <w:trHeight w:val="619"/>
                </w:trPr>
                <w:tc>
                  <w:tcPr>
                    <w:tcW w:w="3202"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Numatomos naujos teisinio reglamentavimo nuostatos, priėmus sprendimą laukiami rezultatai</w:t>
                    </w:r>
                  </w:p>
                </w:tc>
                <w:tc>
                  <w:tcPr>
                    <w:tcW w:w="6318"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Sprendimo projektas atitinka teisės aktų nuostatas.</w:t>
                    </w:r>
                  </w:p>
                  <w:p>
                    <w:pPr>
                      <w:jc w:val="both"/>
                      <w:rPr>
                        <w:rFonts w:ascii="Verdana" w:hAnsi="Verdana"/>
                        <w:szCs w:val="24"/>
                        <w:lang w:eastAsia="lt-LT"/>
                      </w:rPr>
                    </w:pPr>
                    <w:r>
                      <w:rPr>
                        <w:rFonts w:ascii="Verdana" w:hAnsi="Verdana"/>
                        <w:szCs w:val="24"/>
                        <w:lang w:eastAsia="lt-LT"/>
                      </w:rPr>
                      <w:t>Suteikta parama ne pelno siekiančiai organizacijai, vykdančiai veiklą kultūros srityje.</w:t>
                    </w:r>
                  </w:p>
                </w:tc>
              </w:tr>
              <w:tr>
                <w:tc>
                  <w:tcPr>
                    <w:tcW w:w="3202"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Savivaldybės biudžeto lėšų poreikis ir šaltiniai</w:t>
                    </w:r>
                  </w:p>
                </w:tc>
                <w:tc>
                  <w:tcPr>
                    <w:tcW w:w="6318"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Įgyvendinus projektą Marijampolės savivaldybės biudžetas neteks – 570,76 Eur.</w:t>
                    </w:r>
                  </w:p>
                </w:tc>
              </w:tr>
              <w:tr>
                <w:tc>
                  <w:tcPr>
                    <w:tcW w:w="3202"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Kiti sprendimui priimti ar rengėjo nuomone reikalingi pagrindimai, skaičiavimai ar paaiškinimai</w:t>
                    </w:r>
                  </w:p>
                </w:tc>
                <w:tc>
                  <w:tcPr>
                    <w:tcW w:w="6318"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1. Valstybinės žemės nuomos mokesčio lengvata taikoma - jeigu atitinka tvarkos Aprašo nuostatus. Remiantis Aprašo II skyriaus 3.5. punktu - ne pelno siekianti organizacija, vykdo veiklą kultūros srityje.</w:t>
                    </w:r>
                    <w:r>
                      <w:rPr>
                        <w:szCs w:val="24"/>
                        <w:lang w:eastAsia="lt-LT"/>
                      </w:rPr>
                      <w:t xml:space="preserve"> </w:t>
                    </w:r>
                    <w:r>
                      <w:rPr>
                        <w:rFonts w:ascii="Verdana" w:hAnsi="Verdana"/>
                        <w:szCs w:val="24"/>
                        <w:lang w:eastAsia="lt-LT"/>
                      </w:rPr>
                      <w:t>Valstybinės žemės nuomos mokesčiui taikoma (50 proc.)</w:t>
                    </w:r>
                    <w:r>
                      <w:rPr>
                        <w:szCs w:val="24"/>
                        <w:lang w:eastAsia="lt-LT"/>
                      </w:rPr>
                      <w:t xml:space="preserve"> </w:t>
                    </w:r>
                    <w:r>
                      <w:rPr>
                        <w:rFonts w:ascii="Verdana" w:hAnsi="Verdana"/>
                        <w:szCs w:val="24"/>
                        <w:lang w:eastAsia="lt-LT"/>
                      </w:rPr>
                      <w:t>lengvata, Senovinių automobilių ir motociklų muziejui „Kubilkiemis“, įm. k. 304168614, už sklypą, esantį Marijampolėje, Sporto g. 46. Metinė mokesčio suma – 1141,53 Eur. Lengvata – 570,76 Eur.</w:t>
                    </w:r>
                  </w:p>
                  <w:p>
                    <w:pPr>
                      <w:jc w:val="both"/>
                      <w:rPr>
                        <w:rFonts w:ascii="Verdana" w:hAnsi="Verdana"/>
                        <w:szCs w:val="24"/>
                        <w:lang w:eastAsia="lt-LT"/>
                      </w:rPr>
                    </w:pPr>
                    <w:r>
                      <w:rPr>
                        <w:rFonts w:ascii="Verdana" w:hAnsi="Verdana"/>
                        <w:szCs w:val="24"/>
                        <w:lang w:eastAsia="lt-LT"/>
                      </w:rPr>
                      <w:t>2. Valstybinės žemės nuomos mokesčio lengvata netaikoma - jeigu neatitinka tvarkos Aprašo nuostatų arba atitinka Aprašo punktus kuriais remiantis mokesčių lengvatos neteikiamos.</w:t>
                    </w:r>
                  </w:p>
                  <w:p>
                    <w:pPr>
                      <w:jc w:val="both"/>
                      <w:rPr>
                        <w:rFonts w:ascii="Verdana" w:hAnsi="Verdana"/>
                        <w:szCs w:val="24"/>
                        <w:lang w:eastAsia="lt-LT"/>
                      </w:rPr>
                    </w:pPr>
                    <w:r>
                      <w:rPr>
                        <w:rFonts w:ascii="Verdana" w:hAnsi="Verdana"/>
                        <w:szCs w:val="24"/>
                        <w:lang w:eastAsia="lt-LT"/>
                      </w:rPr>
                      <w:t>2.1. UAB „Trys stogai“, įm. k. 305008082, neatitiko tvarkos Apraše nustatytų juridiniams asmenims mokesčių lengvatų teikimo sąlygų, todėl už sklypą, esantį Marijampolėje, Sasnavos g. 74, (sklypo plotas – 0,1987 ha), žemės nuomos mokesčio lengvata netaikoma;</w:t>
                    </w:r>
                  </w:p>
                  <w:p>
                    <w:pPr>
                      <w:jc w:val="both"/>
                      <w:rPr>
                        <w:rFonts w:ascii="Verdana" w:hAnsi="Verdana"/>
                        <w:szCs w:val="24"/>
                        <w:lang w:eastAsia="lt-LT"/>
                      </w:rPr>
                    </w:pPr>
                    <w:r>
                      <w:rPr>
                        <w:rFonts w:ascii="Verdana" w:hAnsi="Verdana"/>
                        <w:szCs w:val="24"/>
                        <w:lang w:eastAsia="lt-LT"/>
                      </w:rPr>
                      <w:t xml:space="preserve">2.2. </w:t>
                    </w:r>
                    <w:r>
                      <w:rPr>
                        <w:rFonts w:ascii="Verdana" w:hAnsi="Verdana"/>
                        <w:i/>
                        <w:szCs w:val="24"/>
                        <w:lang w:eastAsia="lt-LT"/>
                      </w:rPr>
                      <w:t>(duomenys neskelbtini)</w:t>
                    </w:r>
                    <w:r>
                      <w:rPr>
                        <w:rFonts w:ascii="Verdana" w:hAnsi="Verdana"/>
                        <w:szCs w:val="24"/>
                        <w:lang w:eastAsia="lt-LT"/>
                      </w:rPr>
                      <w:t xml:space="preserve">, gim. </w:t>
                    </w:r>
                    <w:r>
                      <w:rPr>
                        <w:rFonts w:ascii="Verdana" w:hAnsi="Verdana"/>
                        <w:i/>
                        <w:szCs w:val="24"/>
                        <w:lang w:eastAsia="lt-LT"/>
                      </w:rPr>
                      <w:t>(duomenys neskelbtini)</w:t>
                    </w:r>
                    <w:r>
                      <w:rPr>
                        <w:rFonts w:ascii="Verdana" w:hAnsi="Verdana"/>
                        <w:szCs w:val="24"/>
                        <w:lang w:eastAsia="lt-LT"/>
                      </w:rPr>
                      <w:t xml:space="preserve">, prašymas atitiko tvarkos Aprašo III skyriaus 4.2.2. punktą- mokesčio mokėtojui lengvata nesuteikiama, nes buvo suteikta 2023 m., todėl už sklypą, esantį Marijampolėje, </w:t>
                    </w:r>
                    <w:r>
                      <w:rPr>
                        <w:rFonts w:ascii="Verdana" w:hAnsi="Verdana"/>
                        <w:i/>
                        <w:szCs w:val="24"/>
                        <w:lang w:eastAsia="lt-LT"/>
                      </w:rPr>
                      <w:t>(duomenys neskelbtini)</w:t>
                    </w:r>
                    <w:r>
                      <w:rPr>
                        <w:rFonts w:ascii="Verdana" w:hAnsi="Verdana"/>
                        <w:szCs w:val="24"/>
                        <w:lang w:eastAsia="lt-LT"/>
                      </w:rPr>
                      <w:t xml:space="preserve"> (apmokestintas sklypo plotas – 2,6850 ha), žemės nuomos mokesčio lengvata 2024 m. netaikoma.</w:t>
                    </w:r>
                  </w:p>
                </w:tc>
              </w:tr>
              <w:tr>
                <w:tc>
                  <w:tcPr>
                    <w:tcW w:w="3202"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18"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Finansų ir strateginio planavimo skyrius.</w:t>
                    </w:r>
                  </w:p>
                  <w:p>
                    <w:pPr>
                      <w:jc w:val="both"/>
                      <w:rPr>
                        <w:rFonts w:ascii="Verdana" w:hAnsi="Verdana"/>
                        <w:szCs w:val="24"/>
                        <w:lang w:eastAsia="lt-LT"/>
                      </w:rPr>
                    </w:pPr>
                    <w:r>
                      <w:rPr>
                        <w:rFonts w:ascii="Verdana" w:hAnsi="Verdana"/>
                        <w:szCs w:val="24"/>
                        <w:lang w:eastAsia="lt-LT"/>
                      </w:rPr>
                      <w:t>Vyriausioji specialistė Jolita Pėtelė.</w:t>
                    </w:r>
                  </w:p>
                </w:tc>
              </w:tr>
              <w:tr>
                <w:tc>
                  <w:tcPr>
                    <w:tcW w:w="3202"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18" w:type="dxa"/>
                    <w:tcBorders>
                      <w:top w:val="single" w:sz="4" w:space="0" w:color="auto"/>
                      <w:left w:val="single" w:sz="4" w:space="0" w:color="auto"/>
                      <w:bottom w:val="single" w:sz="4" w:space="0" w:color="auto"/>
                      <w:right w:val="single" w:sz="4" w:space="0" w:color="auto"/>
                    </w:tcBorders>
                  </w:tcPr>
                  <w:p>
                    <w:pPr>
                      <w:jc w:val="cente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w:t>
                    </w:r>
                  </w:p>
                </w:tc>
              </w:tr>
              <w:tr>
                <w:tc>
                  <w:tcPr>
                    <w:tcW w:w="3202"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Projektas turi būti suderintas</w:t>
                    </w:r>
                  </w:p>
                </w:tc>
                <w:tc>
                  <w:tcPr>
                    <w:tcW w:w="6318"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Finansų ir strateginio planavimo skyriumi, Teisės ir civilinės metrikacijos skyriumi, Administracijos direktoriumi.</w:t>
                    </w:r>
                  </w:p>
                </w:tc>
              </w:tr>
              <w:tr>
                <w:tc>
                  <w:tcPr>
                    <w:tcW w:w="3202"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Pranešėjas</w:t>
                    </w:r>
                  </w:p>
                </w:tc>
                <w:tc>
                  <w:tcPr>
                    <w:tcW w:w="6318"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Finansų ir strateginio planavimo skyriaus vedėja Laima Malinauskienė</w:t>
                    </w:r>
                  </w:p>
                </w:tc>
              </w:tr>
              <w:tr>
                <w:tc>
                  <w:tcPr>
                    <w:tcW w:w="3202" w:type="dxa"/>
                    <w:tcBorders>
                      <w:top w:val="single" w:sz="4" w:space="0" w:color="auto"/>
                      <w:left w:val="single" w:sz="4" w:space="0" w:color="auto"/>
                      <w:bottom w:val="single" w:sz="4" w:space="0" w:color="auto"/>
                      <w:right w:val="single" w:sz="4" w:space="0" w:color="auto"/>
                    </w:tcBorders>
                    <w:hideMark/>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18"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Finansų ir strateginio planavimo skyriui</w:t>
                    </w:r>
                  </w:p>
                </w:tc>
              </w:tr>
            </w:tbl>
            <w:p>
              <w:pPr>
                <w:rPr>
                  <w:rFonts w:ascii="Verdana" w:hAnsi="Verdana"/>
                  <w:szCs w:val="24"/>
                  <w:u w:val="single"/>
                  <w:lang w:eastAsia="lt-LT"/>
                </w:rPr>
              </w:pPr>
            </w:p>
          </w:sdtContent>
        </w:sdt>
        <w:sdt>
          <w:sdtPr>
            <w:alias w:val="signatura"/>
            <w:tag w:val="part_7c99c0a1cca84a7eb8044965e2781d43"/>
            <w:lock w:val="sdtLocked"/>
            <w:richText/>
          </w:sdtPr>
          <w:sdtContent>
            <w:p>
              <w:pPr>
                <w:jc w:val="center"/>
                <w:rPr>
                  <w:rFonts w:ascii="Verdana" w:hAnsi="Verdana"/>
                  <w:szCs w:val="24"/>
                  <w:u w:val="single"/>
                  <w:lang w:eastAsia="lt-LT"/>
                </w:rPr>
              </w:pPr>
              <w:r>
                <w:rPr>
                  <w:rFonts w:ascii="Verdana" w:hAnsi="Verdana"/>
                  <w:szCs w:val="24"/>
                  <w:u w:val="single"/>
                  <w:lang w:eastAsia="lt-LT"/>
                </w:rPr>
                <w:t>_________________________</w:t>
              </w:r>
            </w:p>
          </w:sdtContent>
        </w:sdt>
      </w:sdtContent>
    </w:sdt>
    <w:sectPr>
      <w:headerReference w:type="first" r:id="rId18"/>
      <w:type w:val="continuous"/>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7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B1740CA2-8502-46F5-9EE4-DAC8B844F1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203F697EF00C/asr"/>
  <Relationship Id="rId15" Type="http://schemas.openxmlformats.org/officeDocument/2006/relationships/hyperlink" TargetMode="External" Target="https://www.e-tar.lt/portal/lt/legalAct/TAR.F2BECA531C11/asr"/>
  <Relationship Id="rId18" Type="http://schemas.openxmlformats.org/officeDocument/2006/relationships/header" Target="header4.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05e39ed66be4de6b2fba15bb26e9a03" PartId="1c8fedcc3aa440498f55a17b2a11c094">
    <Part Type="preambule" DocPartId="1d2c8c5320294c2dbe6d43dfd8af5d8d" PartId="de1d5fd3cbae45f285a6d3b8ccece7c5"/>
    <Part Type="punktas" Nr="1" Abbr="1 p." DocPartId="a3d1b7059f9b4611ae0bdcc9e050a6e7" PartId="d1b3720fca0646ac940b4af47a622777"/>
    <Part Type="punktas" Nr="2" Abbr="2 p." DocPartId="72515187190b4e1fad4dc8ba39f53a3c" PartId="be982ddfbdb44945b18a4a6aea2f809f">
      <Part Type="papunktis" Nr="2.1" Abbr="2.1 pp." DocPartId="38069e93e53e46cfa82e258fda540def" PartId="05412364e0284482aaadec502ceb8633"/>
      <Part Type="papunktis" Nr="2.2" Abbr="2.2 pp." DocPartId="2852177717564b3c85c3e04a152ee99e" PartId="c113e260028b4b8a97eaf26ee207301e"/>
    </Part>
    <Part Type="punktas" Nr="3" Abbr="3 p." DocPartId="4e8b2671cf354e0392e03679bf787922" PartId="f277c41652ac4ca696cd79d94d7843ea"/>
    <Part Type="skirsnis" Title="MARIJAMPOLĖS SAVIVALDYBĖS ADMINISTRACIJOS" DocPartId="b1a415836816489495bb026d9e573f3f" PartId="3a5fc0294c374265b55201bc56e466b8"/>
    <Part Type="skyrius" Nr="999" Title="AIŠKINAMASIS RAŠTAS DĖL VALSTYBINĖS ŽEMĖS NUOMOS MOKESČIO LENGVATŲ" DocPartId="fb7bb390a91f4ed4b4449546cb2f2fa3" PartId="d90e2333a492452fbe33c09202a741a8"/>
    <Part Type="signatura" DocPartId="9c55982de057483280f3465dfe8aac07" PartId="7c99c0a1cca84a7eb8044965e2781d43"/>
  </Part>
</Parts>
</file>

<file path=customXml/itemProps1.xml><?xml version="1.0" encoding="utf-8"?>
<ds:datastoreItem xmlns:ds="http://schemas.openxmlformats.org/officeDocument/2006/customXml" ds:itemID="{87B70D69-99E3-4075-A9F2-EF619B35A6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727</Words>
  <Characters>5177</Characters>
  <Application>Microsoft Office Word</Application>
  <DocSecurity>4</DocSecurity>
  <Lines>172</Lines>
  <Paragraphs>55</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5849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2024-12-09T07:50:00Z</dcterms:created>
  <dc:creator>Jolita Pėtelė</dc:creator>
  <lastModifiedBy>adlibuser</lastModifiedBy>
  <lastPrinted>1899-12-31T22:00:00Z</lastPrinted>
  <dcterms:modified xsi:type="dcterms:W3CDTF">2024-12-09T07:50:00Z</dcterms:modified>
  <revision>2</revision>
  <dc:title/>
</coreProperties>
</file>