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305df2af5a4f40a1bec8f38a3e0a41"/>
        <w:lock w:val="sdtLocked"/>
        <w:richText/>
      </w:sdtPr>
      <w:sdtContent>
        <w:p w14:paraId="746BA701" w14:textId="77777777">
          <w:pPr>
            <w:suppressAutoHyphens/>
            <w:ind w:left="6480"/>
            <w:jc w:val="center"/>
            <w:rPr>
              <w:b/>
              <w:lang w:eastAsia="lt-LT"/>
            </w:rPr>
          </w:pPr>
        </w:p>
        <w:p w14:paraId="60F2CFEA" w14:textId="77777777">
          <w:pPr>
            <w:suppressAutoHyphens/>
            <w:ind w:left="6480"/>
            <w:jc w:val="center"/>
            <w:rPr>
              <w:b/>
              <w:lang w:eastAsia="lt-LT"/>
            </w:rPr>
          </w:pPr>
        </w:p>
        <w:p w14:paraId="5E1F3C44" w14:textId="77777777">
          <w:pPr>
            <w:suppressAutoHyphens/>
            <w:ind w:left="6480"/>
            <w:jc w:val="center"/>
            <w:rPr>
              <w:b/>
              <w:lang w:eastAsia="lt-LT"/>
            </w:rPr>
          </w:pPr>
          <w:r>
            <w:rPr>
              <w:b/>
              <w:lang w:eastAsia="lt-LT"/>
            </w:rPr>
            <w:t>Projektas</w:t>
          </w:r>
        </w:p>
        <w:p w14:paraId="6F57EAFF" w14:textId="77777777">
          <w:pPr>
            <w:tabs>
              <w:tab w:val="center" w:pos="4819"/>
              <w:tab w:val="right" w:pos="9638"/>
            </w:tabs>
            <w:suppressAutoHyphens/>
            <w:rPr>
              <w:lang w:eastAsia="lt-LT"/>
            </w:rPr>
          </w:pPr>
        </w:p>
        <w:p w14:paraId="4327D787" w14:textId="56D63A51">
          <w:pPr>
            <w:suppressAutoHyphens/>
            <w:jc w:val="center"/>
            <w:rPr>
              <w:b/>
              <w:lang w:eastAsia="lt-LT"/>
            </w:rPr>
          </w:pPr>
        </w:p>
        <w:p w14:paraId="73881388" w14:textId="77777777">
          <w:pPr>
            <w:suppressAutoHyphens/>
            <w:jc w:val="center"/>
            <w:rPr>
              <w:b/>
              <w:lang w:eastAsia="lt-LT"/>
            </w:rPr>
          </w:pPr>
        </w:p>
        <w:p w14:paraId="4327D788" w14:textId="77777777">
          <w:pPr>
            <w:suppressAutoHyphens/>
            <w:jc w:val="center"/>
            <w:rPr>
              <w:b/>
              <w:lang w:eastAsia="lt-LT"/>
            </w:rPr>
          </w:pPr>
          <w:r>
            <w:rPr>
              <w:b/>
              <w:lang w:eastAsia="lt-LT"/>
            </w:rPr>
            <w:t>ŠIAULIŲ MIESTO SAVIVALDYBĖS TARYBA</w:t>
          </w:r>
        </w:p>
        <w:p w14:paraId="4327D789" w14:textId="77777777">
          <w:pPr>
            <w:suppressAutoHyphens/>
            <w:jc w:val="center"/>
            <w:rPr>
              <w:b/>
              <w:lang w:eastAsia="lt-LT"/>
            </w:rPr>
          </w:pPr>
        </w:p>
        <w:p w14:paraId="4327D78A" w14:textId="77777777">
          <w:pPr>
            <w:jc w:val="center"/>
            <w:rPr>
              <w:b/>
              <w:szCs w:val="24"/>
              <w:lang w:eastAsia="lt-LT"/>
            </w:rPr>
          </w:pPr>
          <w:r>
            <w:rPr>
              <w:b/>
              <w:szCs w:val="24"/>
              <w:lang w:eastAsia="lt-LT"/>
            </w:rPr>
            <w:t>SPRENDIMAS</w:t>
          </w:r>
        </w:p>
        <w:p w14:paraId="4327D78B" w14:textId="1D37944A">
          <w:pPr>
            <w:widowControl w:val="0"/>
            <w:suppressAutoHyphens/>
            <w:jc w:val="center"/>
            <w:rPr>
              <w:rFonts w:eastAsia="HG Mincho Light J"/>
              <w:b/>
              <w:color w:val="000000"/>
              <w:szCs w:val="24"/>
              <w:lang w:eastAsia="lt-LT"/>
            </w:rPr>
          </w:pPr>
          <w:r>
            <w:rPr>
              <w:rFonts w:cs="Calibri"/>
              <w:b/>
              <w:bCs/>
              <w:szCs w:val="24"/>
              <w:lang w:eastAsia="ar-SA"/>
            </w:rPr>
            <w:t xml:space="preserve">DĖL ŠIAULIŲ MIESTO SAVIVALDYBĖS TARYBOS 2024 M. LAPKRIČIO 7 D. SPRENDIMO NR. </w:t>
          </w:r>
          <w:r>
            <w:rPr>
              <w:rFonts w:eastAsia="HG Mincho Light J"/>
              <w:b/>
              <w:bCs/>
              <w:color w:val="000000"/>
              <w:szCs w:val="24"/>
              <w:lang w:eastAsia="lt-LT"/>
            </w:rPr>
            <w:t>T-427</w:t>
          </w:r>
          <w:r>
            <w:rPr>
              <w:rFonts w:cs="Calibri"/>
              <w:b/>
              <w:bCs/>
              <w:szCs w:val="24"/>
              <w:lang w:eastAsia="ar-SA"/>
            </w:rPr>
            <w:t xml:space="preserve"> „DĖL </w:t>
          </w:r>
          <w:r>
            <w:rPr>
              <w:rFonts w:eastAsia="HG Mincho Light J"/>
              <w:b/>
              <w:color w:val="000000"/>
              <w:szCs w:val="24"/>
              <w:lang w:eastAsia="lt-LT"/>
            </w:rPr>
            <w:t>VIETINĖS RINKLIAVOS UŽ LEIDIMO PREKIAUTI AR TEIKTI PASLAUGAS ŠIAULIŲ MIESTO SAVIVALDYBĖS VIEŠOSIOSE VIETOSE IŠDAVIMĄ NUOSTATŲ PATVIRTINIMO</w:t>
          </w:r>
          <w:r>
            <w:rPr>
              <w:rFonts w:cs="Calibri"/>
              <w:b/>
              <w:bCs/>
              <w:szCs w:val="24"/>
              <w:lang w:eastAsia="ar-SA"/>
            </w:rPr>
            <w:t xml:space="preserve">“ PAKEITIMO </w:t>
          </w:r>
        </w:p>
        <w:p w14:paraId="4327D78C" w14:textId="77777777">
          <w:pPr>
            <w:suppressAutoHyphens/>
            <w:rPr>
              <w:szCs w:val="24"/>
              <w:lang w:eastAsia="lt-LT"/>
            </w:rPr>
          </w:pPr>
        </w:p>
        <w:p w14:paraId="4327D78D" w14:textId="7100A01A">
          <w:pPr>
            <w:jc w:val="center"/>
            <w:rPr>
              <w:szCs w:val="24"/>
              <w:lang w:eastAsia="lt-LT"/>
            </w:rPr>
          </w:pPr>
          <w:r>
            <w:rPr>
              <w:szCs w:val="24"/>
              <w:lang w:eastAsia="lt-LT"/>
            </w:rPr>
            <w:t xml:space="preserve">2025 m.                   d. Nr. T- </w:t>
          </w:r>
        </w:p>
        <w:p w14:paraId="4327D78E" w14:textId="77777777">
          <w:pPr>
            <w:suppressAutoHyphens/>
            <w:jc w:val="center"/>
            <w:rPr>
              <w:lang w:eastAsia="lt-LT"/>
            </w:rPr>
          </w:pPr>
          <w:r>
            <w:rPr>
              <w:lang w:eastAsia="lt-LT"/>
            </w:rPr>
            <w:t>Šiauliai</w:t>
          </w:r>
        </w:p>
        <w:p w14:paraId="4534D049" w14:textId="77777777">
          <w:pPr>
            <w:suppressAutoHyphens/>
            <w:jc w:val="both"/>
            <w:rPr>
              <w:lang w:eastAsia="lt-LT"/>
            </w:rPr>
          </w:pPr>
        </w:p>
        <w:sdt>
          <w:sdtPr>
            <w:alias w:val="preambule"/>
            <w:tag w:val="part_78727368809944e4997cebf6ff5bce07"/>
            <w:lock w:val="sdtLocked"/>
            <w:richText/>
          </w:sdtPr>
          <w:sdtContent>
            <w:p w14:paraId="4327D791" w14:textId="1AFF77EA">
              <w:pPr>
                <w:suppressAutoHyphens/>
                <w:ind w:firstLine="851"/>
                <w:jc w:val="both"/>
                <w:rPr>
                  <w:lang w:eastAsia="lt-LT"/>
                </w:rPr>
              </w:pPr>
              <w:r>
                <w:rPr>
                  <w:rFonts w:eastAsia="HG Mincho Light J" w:cs="Calibri"/>
                  <w:shd w:val="clear" w:color="auto" w:fill="FFFFFF"/>
                  <w:lang w:eastAsia="ar-SA"/>
                </w:rPr>
                <w:t>Vadovaudamasi</w:t>
              </w:r>
              <w:r>
                <w:rPr>
                  <w:rFonts w:cs="Calibri"/>
                  <w:lang w:eastAsia="ar-SA"/>
                </w:rPr>
                <w:t xml:space="preserve"> Lietuvos Respublikos vietos savivaldos įstatymo 6 straipsnio 2 punktu, </w:t>
              </w:r>
              <w:r>
                <w:rPr>
                  <w:szCs w:val="24"/>
                  <w:lang w:eastAsia="lt-LT"/>
                </w:rPr>
                <w:t xml:space="preserve">15 straipsnio 2 dalies 29 punktu, </w:t>
              </w:r>
              <w:r>
                <w:rPr>
                  <w:rFonts w:cs="Calibri"/>
                  <w:lang w:eastAsia="ar-SA"/>
                </w:rPr>
                <w:t>Lietuvos Respublikos r</w:t>
              </w:r>
              <w:r>
                <w:rPr>
                  <w:szCs w:val="24"/>
                  <w:lang w:eastAsia="lt-LT"/>
                </w:rPr>
                <w:t xml:space="preserve">inkliavų įstatymo 12 straipsnio 1 dalies 4 punktu, 13 straipsnio 2, 3 dalimis, </w:t>
              </w:r>
              <w:r>
                <w:rPr>
                  <w:lang w:eastAsia="lt-LT"/>
                </w:rPr>
                <w:t xml:space="preserve">Šiaulių miesto savivaldybės taryba </w:t>
              </w:r>
              <w:r>
                <w:rPr>
                  <w:spacing w:val="40"/>
                  <w:lang w:eastAsia="lt-LT"/>
                </w:rPr>
                <w:t>nusprendžia</w:t>
              </w:r>
              <w:r>
                <w:rPr>
                  <w:lang w:eastAsia="lt-LT"/>
                </w:rPr>
                <w:t>:</w:t>
              </w:r>
            </w:p>
          </w:sdtContent>
        </w:sdt>
        <w:sdt>
          <w:sdtPr>
            <w:alias w:val="pastraipa"/>
            <w:tag w:val="part_c51048f01d1b4b599706859c2694cca9"/>
            <w:lock w:val="sdtLocked"/>
            <w:richText/>
          </w:sdtPr>
          <w:sdtContent>
            <w:p w14:paraId="7BCE780A" w14:textId="55A81031">
              <w:pPr>
                <w:suppressAutoHyphens/>
                <w:ind w:firstLine="851"/>
                <w:jc w:val="both"/>
                <w:rPr>
                  <w:rFonts w:cs="Calibri"/>
                  <w:lang w:eastAsia="ar-SA"/>
                </w:rPr>
              </w:pPr>
              <w:r>
                <w:rPr>
                  <w:rFonts w:cs="Calibri"/>
                  <w:bCs/>
                  <w:szCs w:val="24"/>
                  <w:lang w:eastAsia="ar-SA"/>
                </w:rPr>
                <w:t xml:space="preserve">Pakeisti </w:t>
              </w:r>
              <w:r>
                <w:rPr>
                  <w:rFonts w:cs="Calibri"/>
                  <w:lang w:eastAsia="ar-SA"/>
                </w:rPr>
                <w:t>Vietinės rinkliavos už leidimo prekiauti ar teikti paslaugas Šiaulių miesto viešosiose vietose išdavimą nuostatus,</w:t>
              </w:r>
              <w:r>
                <w:rPr>
                  <w:rFonts w:cs="Calibri"/>
                  <w:bCs/>
                  <w:szCs w:val="27"/>
                  <w:lang w:eastAsia="ar-SA"/>
                </w:rPr>
                <w:t xml:space="preserve"> patvirtintus </w:t>
              </w:r>
              <w:r>
                <w:rPr>
                  <w:rFonts w:cs="Calibri"/>
                  <w:bCs/>
                  <w:szCs w:val="24"/>
                  <w:lang w:eastAsia="ar-SA"/>
                </w:rPr>
                <w:t xml:space="preserve">Šiaulių miesto savivaldybės tarybos 2024 m. lapkričio 7 d. sprendimo Nr. T-427 „Dėl Vietinės rinkliavos už leidimo prekiauti ar teikti paslaugas Šiaulių miesto savivaldybės viešosiose vietose išdavimą nuostatų patvirtinimo“ (toliau </w:t>
              </w:r>
              <w:r>
                <w:rPr>
                  <w:color w:val="000000"/>
                  <w:szCs w:val="24"/>
                  <w:lang w:eastAsia="lt-LT"/>
                </w:rPr>
                <w:t xml:space="preserve">– Nuostatai) </w:t>
              </w:r>
              <w:r>
                <w:rPr>
                  <w:rFonts w:cs="Calibri"/>
                  <w:bCs/>
                  <w:szCs w:val="24"/>
                  <w:lang w:eastAsia="ar-SA"/>
                </w:rPr>
                <w:t>1 punktu:</w:t>
              </w:r>
            </w:p>
          </w:sdtContent>
        </w:sdt>
        <w:sdt>
          <w:sdtPr>
            <w:alias w:val="1 p."/>
            <w:tag w:val="part_59992f652a6a4d9db99feaa7e30fd2e6"/>
            <w:lock w:val="sdtLocked"/>
            <w:richText/>
          </w:sdtPr>
          <w:sdtContent>
            <w:p w14:paraId="2DC312E4" w14:textId="328AD31B">
              <w:pPr>
                <w:suppressAutoHyphens/>
                <w:ind w:left="1211" w:hanging="360"/>
                <w:jc w:val="both"/>
                <w:rPr>
                  <w:lang w:eastAsia="lt-LT"/>
                </w:rPr>
              </w:pPr>
              <w:sdt>
                <w:sdtPr>
                  <w:alias w:val="Numeris"/>
                  <w:tag w:val="nr_59992f652a6a4d9db99feaa7e30fd2e6"/>
                  <w:lock w:val="sdtLocked"/>
                  <w:richText/>
                </w:sdtPr>
                <w:sdtContent>
                  <w:r>
                    <w:rPr>
                      <w:lang w:eastAsia="lt-LT"/>
                    </w:rPr>
                    <w:t>1</w:t>
                  </w:r>
                </w:sdtContent>
              </w:sdt>
              <w:r>
                <w:rPr>
                  <w:lang w:eastAsia="lt-LT"/>
                </w:rPr>
                <w:t>.</w:t>
                <w:tab/>
                <w:t>Pakeisti 3 punktą ir jį išdėstyti taip:</w:t>
              </w:r>
            </w:p>
            <w:sdt>
              <w:sdtPr>
                <w:alias w:val="citata"/>
                <w:tag w:val="part_537cb45bdcf14c889e7ad5ee1d941451"/>
                <w:lock w:val="sdtLocked"/>
                <w:richText/>
              </w:sdtPr>
              <w:sdtContent>
                <w:sdt>
                  <w:sdtPr>
                    <w:alias w:val="3 p."/>
                    <w:tag w:val="part_88b5998e1bdc46978426e742f263b0ab"/>
                    <w:lock w:val="sdtLocked"/>
                    <w:richText/>
                  </w:sdtPr>
                  <w:sdtContent>
                    <w:p w14:paraId="5A1C62B6" w14:textId="5D7BCD41">
                      <w:pPr>
                        <w:suppressAutoHyphens/>
                        <w:ind w:firstLine="851"/>
                        <w:jc w:val="both"/>
                        <w:rPr>
                          <w:szCs w:val="24"/>
                          <w:lang w:eastAsia="ar-SA"/>
                        </w:rPr>
                      </w:pPr>
                      <w:r>
                        <w:rPr>
                          <w:lang w:eastAsia="ar-SA"/>
                        </w:rPr>
                        <w:t>„</w:t>
                      </w:r>
                      <w:sdt>
                        <w:sdtPr>
                          <w:alias w:val="Numeris"/>
                          <w:tag w:val="nr_88b5998e1bdc46978426e742f263b0ab"/>
                          <w:lock w:val="sdtLocked"/>
                          <w:richText/>
                        </w:sdtPr>
                        <w:sdtContent>
                          <w:r>
                            <w:rPr>
                              <w:lang w:eastAsia="ar-SA"/>
                            </w:rPr>
                            <w:t>3</w:t>
                          </w:r>
                        </w:sdtContent>
                      </w:sdt>
                      <w:r>
                        <w:rPr>
                          <w:lang w:eastAsia="ar-SA"/>
                        </w:rPr>
                        <w:t xml:space="preserve">. Vietinė rinkliava už leidimo prekiauti ar teikti paslaugas Šiaulių miesto savivaldybės viešosiose vietose išdavimą (toliau – vietinė rinkliava) – tai Šiaulių miesto savivaldybės (toliau – Savivaldybė) tarybos sprendimu nustatyta privaloma įmoka vietinės </w:t>
                      </w:r>
                      <w:r>
                        <w:rPr>
                          <w:szCs w:val="24"/>
                          <w:lang w:eastAsia="ar-SA"/>
                        </w:rPr>
                        <w:t xml:space="preserve">rinkliavos mokėtojams, prekiaujantiems ar teikiantiems paslaugas savivaldybės teritorijos viešosiose vietose: aikštėse, skveruose, parkuose, ant pėsčiųjų takų, paplūdimiuose, automobilių stovėjimo vietose, poilsio aikštelėse, vandens telkiniuose ir prie jų bei kitose žmonių susibūrimo vietose, kuriose teikiamos paslaugos, taip pat vykdoma prekyba nuo (iš) laikinųjų prekybos įrenginių, kioskų, paviljonų, prekybai pritaikytų automobilių ar priekabų, lauko kavinių, taip pat </w:t>
                      </w:r>
                      <w:r>
                        <w:rPr>
                          <w:rFonts w:eastAsia="HG Mincho Light J"/>
                          <w:color w:val="000000"/>
                          <w:lang w:eastAsia="ar-SA"/>
                        </w:rPr>
                        <w:t>mugių ir masinių renginių metu.</w:t>
                      </w:r>
                      <w:r>
                        <w:rPr>
                          <w:lang w:eastAsia="ar-SA"/>
                        </w:rPr>
                        <w:t xml:space="preserve"> Vietinė rinkliava įskaitoma į savivaldybės biudžetą ir sumokama prieš išduodant leidimą </w:t>
                      </w:r>
                      <w:r>
                        <w:rPr>
                          <w:lang w:eastAsia="lt-LT"/>
                        </w:rPr>
                        <w:t xml:space="preserve">prekiauti ar teikti paslaugas </w:t>
                      </w:r>
                      <w:r>
                        <w:rPr>
                          <w:lang w:eastAsia="ar-SA"/>
                        </w:rPr>
                        <w:t>Šiaulių miesto savivaldybės viešosiose vietose (toliau – Leidimas).“</w:t>
                      </w:r>
                    </w:p>
                  </w:sdtContent>
                </w:sdt>
              </w:sdtContent>
            </w:sdt>
          </w:sdtContent>
        </w:sdt>
        <w:sdt>
          <w:sdtPr>
            <w:alias w:val="2 p."/>
            <w:tag w:val="part_d18079fcaf404614ad16a77153e2e828"/>
            <w:lock w:val="sdtLocked"/>
            <w:richText/>
          </w:sdtPr>
          <w:sdtContent>
            <w:p w14:paraId="75E36B45" w14:textId="14AEA93A">
              <w:pPr>
                <w:suppressAutoHyphens/>
                <w:ind w:left="1211" w:hanging="360"/>
                <w:jc w:val="both"/>
                <w:rPr>
                  <w:lang w:eastAsia="lt-LT"/>
                </w:rPr>
              </w:pPr>
              <w:sdt>
                <w:sdtPr>
                  <w:alias w:val="Numeris"/>
                  <w:tag w:val="nr_d18079fcaf404614ad16a77153e2e828"/>
                  <w:lock w:val="sdtLocked"/>
                  <w:richText/>
                </w:sdtPr>
                <w:sdtContent>
                  <w:r>
                    <w:rPr>
                      <w:lang w:eastAsia="lt-LT"/>
                    </w:rPr>
                    <w:t>2</w:t>
                  </w:r>
                </w:sdtContent>
              </w:sdt>
              <w:r>
                <w:rPr>
                  <w:lang w:eastAsia="lt-LT"/>
                </w:rPr>
                <w:t>.</w:t>
                <w:tab/>
                <w:t>Pakeisti 9 punktą ir jį išdėstyti taip:</w:t>
              </w:r>
            </w:p>
            <w:sdt>
              <w:sdtPr>
                <w:alias w:val="citata"/>
                <w:tag w:val="part_0eb40f0ac34a412a8b7599b796029ac1"/>
                <w:lock w:val="sdtLocked"/>
                <w:richText/>
              </w:sdtPr>
              <w:sdtContent>
                <w:sdt>
                  <w:sdtPr>
                    <w:alias w:val="9 p."/>
                    <w:tag w:val="part_3701f4532a3a43588ce6c736cc7d758b"/>
                    <w:lock w:val="sdtLocked"/>
                    <w:richText/>
                  </w:sdtPr>
                  <w:sdtContent>
                    <w:p w14:paraId="1B03F163" w14:textId="39E26238">
                      <w:pPr>
                        <w:suppressAutoHyphens/>
                        <w:ind w:firstLine="851"/>
                        <w:jc w:val="both"/>
                        <w:rPr>
                          <w:szCs w:val="24"/>
                          <w:lang w:eastAsia="lt-LT"/>
                        </w:rPr>
                      </w:pPr>
                      <w:r>
                        <w:rPr>
                          <w:rFonts w:eastAsia="MS Mincho"/>
                          <w:iCs/>
                          <w:szCs w:val="24"/>
                          <w:lang w:eastAsia="lt-LT"/>
                        </w:rPr>
                        <w:t>„</w:t>
                      </w:r>
                      <w:sdt>
                        <w:sdtPr>
                          <w:alias w:val="Numeris"/>
                          <w:tag w:val="nr_3701f4532a3a43588ce6c736cc7d758b"/>
                          <w:lock w:val="sdtLocked"/>
                          <w:richText/>
                        </w:sdtPr>
                        <w:sdtContent>
                          <w:r>
                            <w:rPr>
                              <w:rFonts w:eastAsia="MS Mincho"/>
                              <w:iCs/>
                              <w:szCs w:val="24"/>
                              <w:lang w:eastAsia="lt-LT"/>
                            </w:rPr>
                            <w:t>9</w:t>
                          </w:r>
                        </w:sdtContent>
                      </w:sdt>
                      <w:r>
                        <w:rPr>
                          <w:rFonts w:eastAsia="MS Mincho"/>
                          <w:iCs/>
                          <w:szCs w:val="24"/>
                          <w:lang w:eastAsia="lt-LT"/>
                        </w:rPr>
                        <w:t>. J</w:t>
                      </w:r>
                      <w:r>
                        <w:rPr>
                          <w:szCs w:val="24"/>
                          <w:lang w:eastAsia="lt-LT"/>
                        </w:rPr>
                        <w:t>eigu metinis vartotojų kainų indeksas yra didesnis kaip 110, v</w:t>
                      </w:r>
                      <w:r>
                        <w:rPr>
                          <w:rFonts w:eastAsia="MS Mincho"/>
                          <w:iCs/>
                          <w:szCs w:val="24"/>
                          <w:lang w:eastAsia="lt-LT"/>
                        </w:rPr>
                        <w:t xml:space="preserve">ietinės rinkliavos dydžiai, nurodyti Nuostatų 1, 2 prieduose, ir </w:t>
                      </w:r>
                      <w:r>
                        <w:rPr>
                          <w:szCs w:val="24"/>
                          <w:lang w:eastAsia="lt-LT"/>
                        </w:rPr>
                        <w:t xml:space="preserve">Konkurso laimėtojo pasiūlyta mokėti mėnesio </w:t>
                      </w:r>
                      <w:r>
                        <w:rPr>
                          <w:rFonts w:eastAsia="Lucida Sans Unicode"/>
                          <w:szCs w:val="24"/>
                          <w:lang w:eastAsia="ar-SA"/>
                        </w:rPr>
                        <w:t>v</w:t>
                      </w:r>
                      <w:r>
                        <w:rPr>
                          <w:rFonts w:eastAsia="MS Mincho"/>
                          <w:iCs/>
                          <w:szCs w:val="24"/>
                          <w:lang w:eastAsia="lt-LT"/>
                        </w:rPr>
                        <w:t>ietinė rinkliava pagal konkretų Konkurso objektą (dalyką)</w:t>
                      </w:r>
                      <w:r>
                        <w:rPr>
                          <w:rFonts w:eastAsia="MS Mincho"/>
                          <w:bCs/>
                          <w:iCs/>
                          <w:szCs w:val="24"/>
                          <w:lang w:eastAsia="lt-LT"/>
                        </w:rPr>
                        <w:t xml:space="preserve"> </w:t>
                      </w:r>
                      <w:r>
                        <w:rPr>
                          <w:rFonts w:eastAsia="MS Mincho"/>
                          <w:szCs w:val="24"/>
                          <w:lang w:eastAsia="lt-LT"/>
                        </w:rPr>
                        <w:t>indeksuojami</w:t>
                      </w:r>
                      <w:r>
                        <w:rPr>
                          <w:szCs w:val="24"/>
                          <w:lang w:eastAsia="lt-LT"/>
                        </w:rPr>
                        <w:t xml:space="preserve"> </w:t>
                      </w:r>
                      <w:r>
                        <w:rPr>
                          <w:rFonts w:eastAsia="MS Mincho"/>
                          <w:szCs w:val="24"/>
                          <w:lang w:eastAsia="lt-LT"/>
                        </w:rPr>
                        <w:t xml:space="preserve">vieną kartą per metus atskiru </w:t>
                      </w:r>
                      <w:r>
                        <w:rPr>
                          <w:szCs w:val="24"/>
                          <w:lang w:eastAsia="lt-LT"/>
                        </w:rPr>
                        <w:t>Savivaldybės tarybos sprendimu. Tokiu atveju:</w:t>
                      </w:r>
                    </w:p>
                    <w:sdt>
                      <w:sdtPr>
                        <w:alias w:val="9.1 pp."/>
                        <w:tag w:val="part_51920889a9e541d0b22a33aa221bcdf8"/>
                        <w:lock w:val="sdtLocked"/>
                        <w:richText/>
                      </w:sdtPr>
                      <w:sdtContent>
                        <w:p w14:paraId="234188DD" w14:textId="4B4F1DCC">
                          <w:pPr>
                            <w:suppressAutoHyphens/>
                            <w:ind w:firstLine="851"/>
                            <w:jc w:val="both"/>
                            <w:rPr>
                              <w:rFonts w:cs="Calibri"/>
                              <w:bCs/>
                              <w:szCs w:val="24"/>
                              <w:lang w:eastAsia="ar-SA"/>
                            </w:rPr>
                          </w:pPr>
                          <w:sdt>
                            <w:sdtPr>
                              <w:alias w:val="Numeris"/>
                              <w:tag w:val="nr_51920889a9e541d0b22a33aa221bcdf8"/>
                              <w:lock w:val="sdtLocked"/>
                              <w:richText/>
                            </w:sdtPr>
                            <w:sdtContent>
                              <w:r>
                                <w:rPr>
                                  <w:rFonts w:cs="Calibri"/>
                                  <w:szCs w:val="24"/>
                                  <w:lang w:eastAsia="ar-SA"/>
                                </w:rPr>
                                <w:t>9.1</w:t>
                              </w:r>
                            </w:sdtContent>
                          </w:sdt>
                          <w:r>
                            <w:rPr>
                              <w:rFonts w:cs="Calibri"/>
                              <w:szCs w:val="24"/>
                              <w:lang w:eastAsia="ar-SA"/>
                            </w:rPr>
                            <w:t xml:space="preserve">. </w:t>
                          </w:r>
                          <w:r>
                            <w:rPr>
                              <w:szCs w:val="24"/>
                              <w:lang w:eastAsia="lt-LT"/>
                            </w:rPr>
                            <w:t xml:space="preserve">einamaisiais metais atliekant vietinės rinkliavos perskaičiavimą, </w:t>
                          </w:r>
                          <w:r>
                            <w:rPr>
                              <w:lang w:eastAsia="lt-LT"/>
                            </w:rPr>
                            <w:t xml:space="preserve">atsižvelgiama į praėjusių metų gruodžio mėnesio, palyginti su ankstesnių metų gruodžio mėnesiu, vartotojų kainų indeksą, apskaičiuojamą pagal Vartotojų kainų indekso sudarymo metodiką (skelbiama Valstybės duomenų agentūros oficialiosios statistikos portale </w:t>
                          </w:r>
                          <w:r>
                            <w:rPr>
                              <w:i/>
                              <w:iCs/>
                              <w:lang w:eastAsia="lt-LT"/>
                            </w:rPr>
                            <w:t>https://osp.stat.gov.lt/</w:t>
                          </w:r>
                          <w:r>
                            <w:rPr>
                              <w:lang w:eastAsia="lt-LT"/>
                            </w:rPr>
                            <w:t>);</w:t>
                          </w:r>
                        </w:p>
                      </w:sdtContent>
                    </w:sdt>
                    <w:sdt>
                      <w:sdtPr>
                        <w:alias w:val="9.2 pp."/>
                        <w:tag w:val="part_33c6cda9e85e4563be0f17812d227414"/>
                        <w:lock w:val="sdtLocked"/>
                        <w:richText/>
                      </w:sdtPr>
                      <w:sdtContent>
                        <w:p w14:paraId="1189890B" w14:textId="3537086E">
                          <w:pPr>
                            <w:suppressAutoHyphens/>
                            <w:ind w:firstLine="851"/>
                            <w:jc w:val="both"/>
                            <w:rPr>
                              <w:rFonts w:cs="Calibri"/>
                              <w:bCs/>
                              <w:szCs w:val="24"/>
                              <w:lang w:eastAsia="ar-SA"/>
                            </w:rPr>
                          </w:pPr>
                          <w:sdt>
                            <w:sdtPr>
                              <w:alias w:val="Numeris"/>
                              <w:tag w:val="nr_33c6cda9e85e4563be0f17812d227414"/>
                              <w:lock w:val="sdtLocked"/>
                              <w:richText/>
                            </w:sdtPr>
                            <w:sdtContent>
                              <w:r>
                                <w:rPr>
                                  <w:rFonts w:cs="Calibri"/>
                                  <w:szCs w:val="24"/>
                                  <w:lang w:eastAsia="ar-SA"/>
                                </w:rPr>
                                <w:t>9.2</w:t>
                              </w:r>
                            </w:sdtContent>
                          </w:sdt>
                          <w:r>
                            <w:rPr>
                              <w:rFonts w:cs="Calibri"/>
                              <w:szCs w:val="24"/>
                              <w:lang w:eastAsia="ar-SA"/>
                            </w:rPr>
                            <w:t xml:space="preserve">. </w:t>
                          </w:r>
                          <w:r>
                            <w:rPr>
                              <w:rFonts w:eastAsia="MS Mincho"/>
                              <w:iCs/>
                              <w:szCs w:val="24"/>
                              <w:lang w:eastAsia="lt-LT"/>
                            </w:rPr>
                            <w:t xml:space="preserve">vietinė rinkliava, įskaitant ir </w:t>
                          </w:r>
                          <w:r>
                            <w:rPr>
                              <w:szCs w:val="24"/>
                              <w:lang w:eastAsia="lt-LT"/>
                            </w:rPr>
                            <w:t xml:space="preserve">Konkurso laimėtojo pasiūlytą mokėti mėnesio </w:t>
                          </w:r>
                          <w:r>
                            <w:rPr>
                              <w:rFonts w:eastAsia="Lucida Sans Unicode"/>
                              <w:szCs w:val="24"/>
                              <w:lang w:eastAsia="ar-SA"/>
                            </w:rPr>
                            <w:t>v</w:t>
                          </w:r>
                          <w:r>
                            <w:rPr>
                              <w:rFonts w:eastAsia="MS Mincho"/>
                              <w:iCs/>
                              <w:szCs w:val="24"/>
                              <w:lang w:eastAsia="lt-LT"/>
                            </w:rPr>
                            <w:t xml:space="preserve">ietinę rinkliavą pagal konkretų Konkurso objektą (dalyką), indeksuojama taikant praėjusių metų </w:t>
                          </w:r>
                          <w:r>
                            <w:rPr>
                              <w:szCs w:val="24"/>
                              <w:lang w:eastAsia="lt-LT"/>
                            </w:rPr>
                            <w:t xml:space="preserve">gruodžio mėn. vartotojų kainų indeksą, nurodytą Nuostatų </w:t>
                          </w:r>
                          <w:r>
                            <w:rPr>
                              <w:lang w:eastAsia="ar-SA"/>
                            </w:rPr>
                            <w:t>9</w:t>
                          </w:r>
                          <w:r>
                            <w:rPr>
                              <w:rFonts w:eastAsia="MS Mincho"/>
                              <w:iCs/>
                              <w:szCs w:val="24"/>
                              <w:lang w:eastAsia="lt-LT"/>
                            </w:rPr>
                            <w:t xml:space="preserve">.1 papunktyje (toliau </w:t>
                          </w:r>
                          <w:r>
                            <w:rPr>
                              <w:szCs w:val="24"/>
                              <w:lang w:eastAsia="ar-SA"/>
                            </w:rPr>
                            <w:t>– VKI),</w:t>
                          </w:r>
                          <w:r>
                            <w:rPr>
                              <w:rFonts w:eastAsia="MS Mincho"/>
                              <w:iCs/>
                              <w:szCs w:val="24"/>
                              <w:lang w:eastAsia="lt-LT"/>
                            </w:rPr>
                            <w:t xml:space="preserve"> ir perskaičiuojama taip, kaip nustatyta Nuostatų 12 punkte.</w:t>
                          </w:r>
                          <w:r>
                            <w:rPr>
                              <w:lang w:eastAsia="lt-LT"/>
                            </w:rPr>
                            <w:t>“</w:t>
                          </w:r>
                        </w:p>
                      </w:sdtContent>
                    </w:sdt>
                  </w:sdtContent>
                </w:sdt>
              </w:sdtContent>
            </w:sdt>
          </w:sdtContent>
        </w:sdt>
        <w:sdt>
          <w:sdtPr>
            <w:alias w:val="3 p."/>
            <w:tag w:val="part_303083f1988e44f08b246780779f4403"/>
            <w:lock w:val="sdtLocked"/>
            <w:richText/>
          </w:sdtPr>
          <w:sdtContent>
            <w:p w14:paraId="2B4E2F47" w14:textId="30A2D23E">
              <w:pPr>
                <w:suppressAutoHyphens/>
                <w:ind w:firstLine="851"/>
                <w:jc w:val="both"/>
                <w:rPr>
                  <w:color w:val="000000"/>
                  <w:sz w:val="22"/>
                  <w:szCs w:val="24"/>
                  <w:shd w:val="clear" w:color="auto" w:fill="FFFFFF"/>
                  <w:lang w:eastAsia="lt-LT"/>
                </w:rPr>
              </w:pPr>
              <w:sdt>
                <w:sdtPr>
                  <w:alias w:val="Numeris"/>
                  <w:tag w:val="nr_303083f1988e44f08b246780779f4403"/>
                  <w:lock w:val="sdtLocked"/>
                  <w:richText/>
                </w:sdtPr>
                <w:sdtContent>
                  <w:r>
                    <w:rPr>
                      <w:color w:val="000000"/>
                      <w:sz w:val="22"/>
                      <w:szCs w:val="24"/>
                      <w:shd w:val="clear" w:color="auto" w:fill="FFFFFF"/>
                      <w:lang w:eastAsia="lt-LT"/>
                    </w:rPr>
                    <w:t>3</w:t>
                  </w:r>
                </w:sdtContent>
              </w:sdt>
              <w:r>
                <w:rPr>
                  <w:color w:val="000000"/>
                  <w:sz w:val="22"/>
                  <w:szCs w:val="24"/>
                  <w:shd w:val="clear" w:color="auto" w:fill="FFFFFF"/>
                  <w:lang w:eastAsia="lt-LT"/>
                </w:rPr>
                <w:t xml:space="preserve">. </w:t>
              </w:r>
              <w:r>
                <w:rPr>
                  <w:lang w:eastAsia="lt-LT"/>
                </w:rPr>
                <w:t>Papildyti 10.1.5 papunkčiu:</w:t>
              </w:r>
            </w:p>
            <w:sdt>
              <w:sdtPr>
                <w:alias w:val="citata"/>
                <w:tag w:val="part_1f013f7cd66f4de4a5d58b9ed670810a"/>
                <w:lock w:val="sdtLocked"/>
                <w:richText/>
              </w:sdtPr>
              <w:sdtContent>
                <w:sdt>
                  <w:sdtPr>
                    <w:alias w:val="10.1.5 pp."/>
                    <w:tag w:val="part_037b9717e02446d5b1cc4eeae571fc25"/>
                    <w:lock w:val="sdtLocked"/>
                    <w:richText/>
                  </w:sdtPr>
                  <w:sdtContent>
                    <w:p w14:paraId="7D586025" w14:textId="63A9AC76">
                      <w:pPr>
                        <w:suppressAutoHyphens/>
                        <w:ind w:firstLine="851"/>
                        <w:jc w:val="both"/>
                        <w:rPr>
                          <w:color w:val="000000"/>
                          <w:sz w:val="22"/>
                          <w:szCs w:val="24"/>
                          <w:shd w:val="clear" w:color="auto" w:fill="FFFFFF"/>
                          <w:lang w:eastAsia="lt-LT"/>
                        </w:rPr>
                      </w:pPr>
                      <w:r>
                        <w:rPr>
                          <w:color w:val="000000"/>
                          <w:sz w:val="22"/>
                          <w:szCs w:val="24"/>
                          <w:shd w:val="clear" w:color="auto" w:fill="FFFFFF"/>
                          <w:lang w:eastAsia="lt-LT"/>
                        </w:rPr>
                        <w:t>„</w:t>
                      </w:r>
                      <w:sdt>
                        <w:sdtPr>
                          <w:alias w:val="Numeris"/>
                          <w:tag w:val="nr_037b9717e02446d5b1cc4eeae571fc25"/>
                          <w:lock w:val="sdtLocked"/>
                          <w:richText/>
                        </w:sdtPr>
                        <w:sdtContent>
                          <w:r>
                            <w:rPr>
                              <w:color w:val="000000"/>
                              <w:szCs w:val="24"/>
                              <w:lang w:eastAsia="lt-LT"/>
                            </w:rPr>
                            <w:t>10.1.5</w:t>
                          </w:r>
                        </w:sdtContent>
                      </w:sdt>
                      <w:r>
                        <w:rPr>
                          <w:color w:val="000000"/>
                          <w:szCs w:val="24"/>
                          <w:lang w:eastAsia="lt-LT"/>
                        </w:rPr>
                        <w:t>. asmenys, teikiantys dviračių, paspirtukų ir kitų nemotorinių transporto priemonių nuomos (įskaitant ir per mobiliąsias valdymo (mainų / dalijimosi) sistemas) paslaugas;“.</w:t>
                      </w:r>
                    </w:p>
                  </w:sdtContent>
                </w:sdt>
              </w:sdtContent>
            </w:sdt>
          </w:sdtContent>
        </w:sdt>
        <w:sdt>
          <w:sdtPr>
            <w:alias w:val="4 p."/>
            <w:tag w:val="part_d57d22efb0e24fde987f76aca3e13974"/>
            <w:lock w:val="sdtLocked"/>
            <w:richText/>
          </w:sdtPr>
          <w:sdtContent>
            <w:p w14:paraId="6FE18D8A" w14:textId="49FACA06">
              <w:pPr>
                <w:suppressAutoHyphens/>
                <w:ind w:firstLine="851"/>
                <w:jc w:val="both"/>
                <w:rPr>
                  <w:rFonts w:cs="Calibri"/>
                  <w:bCs/>
                  <w:szCs w:val="24"/>
                  <w:lang w:eastAsia="ar-SA"/>
                </w:rPr>
              </w:pPr>
              <w:sdt>
                <w:sdtPr>
                  <w:alias w:val="Numeris"/>
                  <w:tag w:val="nr_d57d22efb0e24fde987f76aca3e13974"/>
                  <w:lock w:val="sdtLocked"/>
                  <w:richText/>
                </w:sdtPr>
                <w:sdtContent>
                  <w:r>
                    <w:rPr>
                      <w:lang w:eastAsia="lt-LT"/>
                    </w:rPr>
                    <w:t>4</w:t>
                  </w:r>
                </w:sdtContent>
              </w:sdt>
              <w:r>
                <w:rPr>
                  <w:lang w:eastAsia="lt-LT"/>
                </w:rPr>
                <w:t xml:space="preserve">. Pakeisti </w:t>
              </w:r>
              <w:r>
                <w:rPr>
                  <w:rFonts w:eastAsia="MS Mincho"/>
                  <w:bCs/>
                  <w:iCs/>
                  <w:szCs w:val="24"/>
                  <w:lang w:eastAsia="lt-LT"/>
                </w:rPr>
                <w:t>12</w:t>
              </w:r>
              <w:r>
                <w:rPr>
                  <w:rFonts w:cs="Calibri"/>
                  <w:bCs/>
                  <w:szCs w:val="24"/>
                  <w:lang w:eastAsia="ar-SA"/>
                </w:rPr>
                <w:t xml:space="preserve"> punktą </w:t>
              </w:r>
              <w:r>
                <w:rPr>
                  <w:color w:val="000000"/>
                  <w:lang w:eastAsia="lt-LT"/>
                </w:rPr>
                <w:t>ir jį išdėstyti taip:</w:t>
              </w:r>
            </w:p>
            <w:sdt>
              <w:sdtPr>
                <w:alias w:val="citata"/>
                <w:tag w:val="part_6b5c5fd605e0438a81a7396b73686fa2"/>
                <w:lock w:val="sdtLocked"/>
                <w:richText/>
              </w:sdtPr>
              <w:sdtContent>
                <w:sdt>
                  <w:sdtPr>
                    <w:alias w:val="12 p."/>
                    <w:tag w:val="part_5f39b49ba7b54816bf6170017a51cc59"/>
                    <w:lock w:val="sdtLocked"/>
                    <w:richText/>
                  </w:sdtPr>
                  <w:sdtContent>
                    <w:p w14:paraId="1C5B218A" w14:textId="724D1342">
                      <w:pPr>
                        <w:suppressAutoHyphens/>
                        <w:ind w:firstLine="851"/>
                        <w:jc w:val="both"/>
                        <w:rPr>
                          <w:rFonts w:cs="Calibri"/>
                          <w:bCs/>
                          <w:szCs w:val="24"/>
                          <w:lang w:eastAsia="ar-SA"/>
                        </w:rPr>
                      </w:pPr>
                      <w:r>
                        <w:rPr>
                          <w:rFonts w:cs="Calibri"/>
                          <w:bCs/>
                          <w:szCs w:val="24"/>
                          <w:lang w:eastAsia="ar-SA"/>
                        </w:rPr>
                        <w:t>„</w:t>
                      </w:r>
                      <w:sdt>
                        <w:sdtPr>
                          <w:alias w:val="Numeris"/>
                          <w:tag w:val="nr_5f39b49ba7b54816bf6170017a51cc59"/>
                          <w:lock w:val="sdtLocked"/>
                          <w:richText/>
                        </w:sdtPr>
                        <w:sdtContent>
                          <w:r>
                            <w:rPr>
                              <w:bCs/>
                              <w:szCs w:val="24"/>
                              <w:lang w:eastAsia="ar-SA"/>
                            </w:rPr>
                            <w:t>12</w:t>
                          </w:r>
                        </w:sdtContent>
                      </w:sdt>
                      <w:r>
                        <w:rPr>
                          <w:bCs/>
                          <w:szCs w:val="24"/>
                          <w:lang w:eastAsia="ar-SA"/>
                        </w:rPr>
                        <w:t xml:space="preserve">. </w:t>
                      </w:r>
                      <w:r>
                        <w:rPr>
                          <w:bCs/>
                          <w:lang w:eastAsia="lt-LT"/>
                        </w:rPr>
                        <w:t xml:space="preserve">Kai praėjusių metų gruodžio </w:t>
                      </w:r>
                      <w:r>
                        <w:rPr>
                          <w:bCs/>
                          <w:szCs w:val="24"/>
                          <w:lang w:eastAsia="lt-LT"/>
                        </w:rPr>
                        <w:t>mėn. VKI yra didesnis kaip 110,</w:t>
                      </w:r>
                      <w:r>
                        <w:rPr>
                          <w:bCs/>
                          <w:lang w:eastAsia="lt-LT"/>
                        </w:rPr>
                        <w:t xml:space="preserve"> vietinė rinkliava perskaičiuojama (indeksuojama) taip:</w:t>
                      </w:r>
                    </w:p>
                    <w:p w14:paraId="62BC20D3" w14:textId="3A0EA39D">
                      <w:pPr>
                        <w:suppressAutoHyphens/>
                        <w:ind w:firstLine="851"/>
                        <w:jc w:val="both"/>
                        <w:rPr>
                          <w:rFonts w:cs="Calibri"/>
                          <w:bCs/>
                          <w:szCs w:val="24"/>
                          <w:lang w:eastAsia="ar-SA"/>
                        </w:rPr>
                      </w:pPr>
                      <w:r>
                        <w:rPr>
                          <w:color w:val="000000"/>
                          <w:szCs w:val="24"/>
                          <w:lang w:eastAsia="lt-LT"/>
                        </w:rPr>
                        <w:t>R</w:t>
                      </w:r>
                      <w:r>
                        <w:rPr>
                          <w:color w:val="000000"/>
                          <w:szCs w:val="24"/>
                          <w:vertAlign w:val="subscript"/>
                          <w:lang w:eastAsia="lt-LT"/>
                        </w:rPr>
                        <w:t>1</w:t>
                      </w:r>
                      <w:r>
                        <w:rPr>
                          <w:color w:val="000000"/>
                          <w:szCs w:val="24"/>
                          <w:lang w:eastAsia="lt-LT"/>
                        </w:rPr>
                        <w:t xml:space="preserve"> </w:t>
                      </w:r>
                      <w:r>
                        <w:rPr>
                          <w:szCs w:val="24"/>
                          <w:lang w:eastAsia="ar-SA" w:bidi="he-IL"/>
                        </w:rPr>
                        <w:t>=</w:t>
                      </w:r>
                      <w:r>
                        <w:rPr>
                          <w:color w:val="000000"/>
                          <w:szCs w:val="24"/>
                          <w:lang w:eastAsia="lt-LT"/>
                        </w:rPr>
                        <w:t xml:space="preserve"> </w:t>
                      </w:r>
                      <w:r>
                        <w:rPr>
                          <w:szCs w:val="24"/>
                          <w:lang w:eastAsia="ar-SA"/>
                        </w:rPr>
                        <w:t>D</w:t>
                      </w:r>
                      <w:r>
                        <w:rPr>
                          <w:szCs w:val="24"/>
                          <w:vertAlign w:val="subscript"/>
                          <w:lang w:eastAsia="ar-SA"/>
                        </w:rPr>
                        <w:t>n/k</w:t>
                      </w:r>
                      <w:r>
                        <w:rPr>
                          <w:color w:val="000000"/>
                          <w:szCs w:val="24"/>
                          <w:lang w:eastAsia="lt-LT"/>
                        </w:rPr>
                        <w:t xml:space="preserve"> </w:t>
                      </w:r>
                      <w:r>
                        <w:rPr>
                          <w:szCs w:val="24"/>
                          <w:lang w:eastAsia="lt-LT"/>
                        </w:rPr>
                        <w:t>x</w:t>
                      </w:r>
                      <w:r>
                        <w:rPr>
                          <w:color w:val="000000"/>
                          <w:szCs w:val="24"/>
                          <w:lang w:eastAsia="lt-LT"/>
                        </w:rPr>
                        <w:t xml:space="preserve"> VKI : 100, kur:</w:t>
                      </w:r>
                    </w:p>
                    <w:p w14:paraId="59BBC58E" w14:textId="77777777">
                      <w:pPr>
                        <w:suppressAutoHyphens/>
                        <w:ind w:firstLine="851"/>
                        <w:jc w:val="both"/>
                        <w:rPr>
                          <w:rFonts w:cs="Calibri"/>
                          <w:bCs/>
                          <w:szCs w:val="24"/>
                          <w:lang w:eastAsia="ar-SA"/>
                        </w:rPr>
                      </w:pPr>
                      <w:r>
                        <w:rPr>
                          <w:color w:val="000000"/>
                          <w:szCs w:val="24"/>
                          <w:lang w:eastAsia="lt-LT"/>
                        </w:rPr>
                        <w:t>R</w:t>
                      </w:r>
                      <w:r>
                        <w:rPr>
                          <w:color w:val="000000"/>
                          <w:szCs w:val="24"/>
                          <w:vertAlign w:val="subscript"/>
                          <w:lang w:eastAsia="lt-LT"/>
                        </w:rPr>
                        <w:t>1</w:t>
                      </w:r>
                      <w:r>
                        <w:rPr>
                          <w:color w:val="000000"/>
                          <w:szCs w:val="24"/>
                          <w:lang w:eastAsia="lt-LT"/>
                        </w:rPr>
                        <w:t xml:space="preserve"> – perskaičiuota (indeksuota) vietinė rinkliava (eurais);</w:t>
                      </w:r>
                    </w:p>
                    <w:p w14:paraId="5FB46AA6" w14:textId="77777777">
                      <w:pPr>
                        <w:suppressAutoHyphens/>
                        <w:ind w:firstLine="851"/>
                        <w:jc w:val="both"/>
                        <w:rPr>
                          <w:rFonts w:cs="Calibri"/>
                          <w:bCs/>
                          <w:szCs w:val="24"/>
                          <w:lang w:eastAsia="ar-SA"/>
                        </w:rPr>
                      </w:pPr>
                      <w:r>
                        <w:rPr>
                          <w:szCs w:val="24"/>
                          <w:lang w:eastAsia="ar-SA"/>
                        </w:rPr>
                        <w:t>D</w:t>
                      </w:r>
                      <w:r>
                        <w:rPr>
                          <w:szCs w:val="24"/>
                          <w:vertAlign w:val="subscript"/>
                          <w:lang w:eastAsia="ar-SA"/>
                        </w:rPr>
                        <w:t>n/k</w:t>
                      </w:r>
                      <w:r>
                        <w:rPr>
                          <w:color w:val="000000"/>
                          <w:szCs w:val="24"/>
                          <w:vertAlign w:val="subscript"/>
                          <w:lang w:eastAsia="lt-LT"/>
                        </w:rPr>
                        <w:t xml:space="preserve"> </w:t>
                      </w:r>
                      <w:r>
                        <w:rPr>
                          <w:color w:val="000000"/>
                          <w:szCs w:val="24"/>
                          <w:lang w:eastAsia="lt-LT"/>
                        </w:rPr>
                        <w:t xml:space="preserve">– </w:t>
                      </w:r>
                      <w:r>
                        <w:rPr>
                          <w:bCs/>
                          <w:lang w:eastAsia="lt-LT"/>
                        </w:rPr>
                        <w:t>Nuostatų 1, 2 prieduose nustatytas kiekvieno</w:t>
                      </w:r>
                      <w:r>
                        <w:rPr>
                          <w:lang w:eastAsia="lt-LT"/>
                        </w:rPr>
                        <w:t xml:space="preserve"> </w:t>
                      </w:r>
                      <w:r>
                        <w:rPr>
                          <w:bCs/>
                          <w:lang w:eastAsia="lt-LT"/>
                        </w:rPr>
                        <w:t xml:space="preserve">vietinės rinkliavos objekto dydis arba </w:t>
                      </w:r>
                      <w:r>
                        <w:rPr>
                          <w:rFonts w:eastAsia="MS Mincho"/>
                          <w:bCs/>
                          <w:iCs/>
                          <w:szCs w:val="24"/>
                          <w:lang w:eastAsia="lt-LT"/>
                        </w:rPr>
                        <w:t>Konkurso laimėtojo (pagal konkretų Konkurso objektą) pasiūlytos mokėti vietinės rinkliavos</w:t>
                      </w:r>
                      <w:r>
                        <w:rPr>
                          <w:color w:val="000000"/>
                          <w:szCs w:val="24"/>
                          <w:lang w:eastAsia="lt-LT"/>
                        </w:rPr>
                        <w:t xml:space="preserve"> dydis</w:t>
                      </w:r>
                      <w:r>
                        <w:rPr>
                          <w:b/>
                          <w:bCs/>
                          <w:color w:val="000000"/>
                          <w:szCs w:val="24"/>
                          <w:lang w:eastAsia="lt-LT"/>
                        </w:rPr>
                        <w:t>,</w:t>
                      </w:r>
                      <w:r>
                        <w:rPr>
                          <w:color w:val="000000"/>
                          <w:szCs w:val="24"/>
                          <w:lang w:eastAsia="lt-LT"/>
                        </w:rPr>
                        <w:t xml:space="preserve"> arba pakartotinio indeksavimo atveju – </w:t>
                      </w:r>
                      <w:r>
                        <w:rPr>
                          <w:lang w:eastAsia="lt-LT"/>
                        </w:rPr>
                        <w:t>paskutinio (ankstesnio) peržiūros laikotarpio indeksuotos vietinės rinkliavos dydis</w:t>
                      </w:r>
                      <w:r>
                        <w:rPr>
                          <w:color w:val="000000"/>
                          <w:szCs w:val="24"/>
                          <w:lang w:eastAsia="lt-LT"/>
                        </w:rPr>
                        <w:t>;</w:t>
                      </w:r>
                    </w:p>
                    <w:p w14:paraId="1F65150F" w14:textId="198E3B83">
                      <w:pPr>
                        <w:suppressAutoHyphens/>
                        <w:ind w:firstLine="851"/>
                        <w:jc w:val="both"/>
                        <w:rPr>
                          <w:rFonts w:cs="Calibri"/>
                          <w:bCs/>
                          <w:szCs w:val="24"/>
                          <w:lang w:eastAsia="ar-SA"/>
                        </w:rPr>
                      </w:pPr>
                      <w:r>
                        <w:rPr>
                          <w:color w:val="000000"/>
                          <w:szCs w:val="24"/>
                          <w:lang w:eastAsia="lt-LT"/>
                        </w:rPr>
                        <w:t>VKI –</w:t>
                      </w:r>
                      <w:r>
                        <w:rPr>
                          <w:rFonts w:eastAsia="MS Mincho"/>
                          <w:iCs/>
                          <w:szCs w:val="24"/>
                          <w:lang w:eastAsia="lt-LT"/>
                        </w:rPr>
                        <w:t xml:space="preserve"> praėjusių metų </w:t>
                      </w:r>
                      <w:r>
                        <w:rPr>
                          <w:szCs w:val="24"/>
                          <w:lang w:eastAsia="lt-LT"/>
                        </w:rPr>
                        <w:t xml:space="preserve">gruodžio mėn. vartotojų kainų indeksas.“ </w:t>
                      </w:r>
                    </w:p>
                  </w:sdtContent>
                </w:sdt>
              </w:sdtContent>
            </w:sdt>
          </w:sdtContent>
        </w:sdt>
        <w:sdt>
          <w:sdtPr>
            <w:alias w:val="5 p."/>
            <w:tag w:val="part_2bcf9e699e4540a9961ec7ab29bbea50"/>
            <w:lock w:val="sdtLocked"/>
            <w:richText/>
          </w:sdtPr>
          <w:sdtContent>
            <w:p w14:paraId="7464633E" w14:textId="6C8B6C01">
              <w:pPr>
                <w:suppressAutoHyphens/>
                <w:ind w:firstLine="851"/>
                <w:jc w:val="both"/>
                <w:rPr>
                  <w:rFonts w:cs="Calibri"/>
                  <w:bCs/>
                  <w:szCs w:val="24"/>
                  <w:lang w:eastAsia="ar-SA"/>
                </w:rPr>
              </w:pPr>
              <w:sdt>
                <w:sdtPr>
                  <w:alias w:val="Numeris"/>
                  <w:tag w:val="nr_2bcf9e699e4540a9961ec7ab29bbea50"/>
                  <w:lock w:val="sdtLocked"/>
                  <w:richText/>
                </w:sdtPr>
                <w:sdtContent>
                  <w:r>
                    <w:rPr>
                      <w:rFonts w:cs="Calibri"/>
                      <w:bCs/>
                      <w:szCs w:val="24"/>
                      <w:lang w:eastAsia="ar-SA"/>
                    </w:rPr>
                    <w:t>5</w:t>
                  </w:r>
                </w:sdtContent>
              </w:sdt>
              <w:r>
                <w:rPr>
                  <w:rFonts w:cs="Calibri"/>
                  <w:bCs/>
                  <w:szCs w:val="24"/>
                  <w:lang w:eastAsia="ar-SA"/>
                </w:rPr>
                <w:t xml:space="preserve">. Pakeisti 18 punktą </w:t>
              </w:r>
              <w:r>
                <w:rPr>
                  <w:color w:val="000000"/>
                  <w:lang w:eastAsia="lt-LT"/>
                </w:rPr>
                <w:t>ir jį išdėstyti taip:</w:t>
              </w:r>
            </w:p>
            <w:sdt>
              <w:sdtPr>
                <w:alias w:val="citata"/>
                <w:tag w:val="part_1986fc00c8214f1185905c943b90d4c6"/>
                <w:lock w:val="sdtLocked"/>
                <w:richText/>
              </w:sdtPr>
              <w:sdtContent>
                <w:sdt>
                  <w:sdtPr>
                    <w:alias w:val="18 p."/>
                    <w:tag w:val="part_65c0e51a141f4aac8afcdc75ae24b44e"/>
                    <w:lock w:val="sdtLocked"/>
                    <w:richText/>
                  </w:sdtPr>
                  <w:sdtContent>
                    <w:p w14:paraId="52A108D8" w14:textId="44D4D947">
                      <w:pPr>
                        <w:suppressAutoHyphens/>
                        <w:ind w:firstLine="851"/>
                        <w:jc w:val="both"/>
                        <w:rPr>
                          <w:lang w:eastAsia="lt-LT"/>
                        </w:rPr>
                      </w:pPr>
                      <w:r>
                        <w:rPr>
                          <w:rFonts w:cs="Calibri"/>
                          <w:bCs/>
                          <w:szCs w:val="24"/>
                          <w:lang w:eastAsia="ar-SA"/>
                        </w:rPr>
                        <w:t>„</w:t>
                      </w:r>
                      <w:sdt>
                        <w:sdtPr>
                          <w:alias w:val="Numeris"/>
                          <w:tag w:val="nr_65c0e51a141f4aac8afcdc75ae24b44e"/>
                          <w:lock w:val="sdtLocked"/>
                          <w:richText/>
                        </w:sdtPr>
                        <w:sdtContent>
                          <w:r>
                            <w:rPr>
                              <w:lang w:eastAsia="ar-SA"/>
                            </w:rPr>
                            <w:t>18</w:t>
                          </w:r>
                        </w:sdtContent>
                      </w:sdt>
                      <w:r>
                        <w:rPr>
                          <w:lang w:eastAsia="ar-SA"/>
                        </w:rPr>
                        <w:t>.</w:t>
                      </w:r>
                      <w:r>
                        <w:rPr>
                          <w:lang w:eastAsia="lt-LT"/>
                        </w:rPr>
                        <w:t xml:space="preserve"> Vietinė rinkliava ar jos dalis grąžinama ne vėliau kaip per 30 kalendorinių dienų po vietinės </w:t>
                      </w:r>
                      <w:r>
                        <w:rPr>
                          <w:lang w:eastAsia="ar-SA"/>
                        </w:rPr>
                        <w:t>rinkliavos mokėtojo Savivaldybės administracijai pateikto rašytinio prašymo, jame nurodžius grąžinimo priežastį,</w:t>
                      </w:r>
                      <w:r>
                        <w:rPr>
                          <w:lang w:eastAsia="lt-LT"/>
                        </w:rPr>
                        <w:t xml:space="preserve"> gavimo dienos. Vietinė rinkliava Nuostatų 17 punkte nurodytais atvejais</w:t>
                      </w:r>
                      <w:r>
                        <w:rPr>
                          <w:strike/>
                          <w:lang w:eastAsia="lt-LT"/>
                        </w:rPr>
                        <w:t xml:space="preserve"> </w:t>
                      </w:r>
                      <w:r>
                        <w:rPr>
                          <w:lang w:eastAsia="lt-LT"/>
                        </w:rPr>
                        <w:t>grąžinama, jeigu ji susidarė ne anksčiau kaip per einamuosius ir praėjusius vienus kalendorinius metus.“</w:t>
                      </w:r>
                    </w:p>
                  </w:sdtContent>
                </w:sdt>
              </w:sdtContent>
            </w:sdt>
          </w:sdtContent>
        </w:sdt>
        <w:sdt>
          <w:sdtPr>
            <w:alias w:val="6 p."/>
            <w:tag w:val="part_db4ebd2ab3eb4dcf9baf719d6f2045d7"/>
            <w:lock w:val="sdtLocked"/>
            <w:richText/>
          </w:sdtPr>
          <w:sdtContent>
            <w:p w14:paraId="44500B95" w14:textId="1B688CF7">
              <w:pPr>
                <w:suppressAutoHyphens/>
                <w:ind w:firstLine="851"/>
                <w:jc w:val="both"/>
                <w:rPr>
                  <w:rFonts w:cs="Calibri"/>
                  <w:bCs/>
                  <w:szCs w:val="24"/>
                  <w:lang w:eastAsia="ar-SA"/>
                </w:rPr>
              </w:pPr>
              <w:sdt>
                <w:sdtPr>
                  <w:alias w:val="Numeris"/>
                  <w:tag w:val="nr_db4ebd2ab3eb4dcf9baf719d6f2045d7"/>
                  <w:lock w:val="sdtLocked"/>
                  <w:richText/>
                </w:sdtPr>
                <w:sdtContent>
                  <w:r>
                    <w:rPr>
                      <w:lang w:eastAsia="lt-LT"/>
                    </w:rPr>
                    <w:t>6</w:t>
                  </w:r>
                </w:sdtContent>
              </w:sdt>
              <w:r>
                <w:rPr>
                  <w:lang w:eastAsia="lt-LT"/>
                </w:rPr>
                <w:t>. Pakeisti Nuostatų 1 priedą ir jį išdėstyti nauja redakcija (pridedama).</w:t>
              </w:r>
            </w:p>
            <w:p w14:paraId="5D7A1639" w14:textId="4D9E8D23">
              <w:pPr>
                <w:suppressAutoHyphens/>
                <w:ind w:firstLine="851"/>
                <w:jc w:val="both"/>
                <w:rPr>
                  <w:b/>
                  <w:lang w:eastAsia="lt-LT"/>
                </w:rPr>
              </w:pPr>
            </w:p>
            <w:p w14:paraId="00BC84B4" w14:textId="78F65383">
              <w:pPr>
                <w:suppressAutoHyphens/>
                <w:ind w:firstLine="851"/>
                <w:jc w:val="both"/>
                <w:rPr>
                  <w:rFonts w:eastAsia="MS Mincho"/>
                  <w:iCs/>
                  <w:szCs w:val="24"/>
                  <w:lang w:eastAsia="lt-LT"/>
                </w:rPr>
              </w:pPr>
            </w:p>
            <w:p w14:paraId="0AEBB1FA" w14:textId="77777777">
              <w:pPr>
                <w:suppressAutoHyphens/>
                <w:jc w:val="both"/>
                <w:rPr>
                  <w:rFonts w:eastAsia="MS Mincho"/>
                  <w:iCs/>
                  <w:szCs w:val="24"/>
                  <w:lang w:eastAsia="lt-LT"/>
                </w:rPr>
              </w:pPr>
            </w:p>
          </w:sdtContent>
        </w:sdt>
        <w:sdt>
          <w:sdtPr>
            <w:alias w:val="signatura"/>
            <w:tag w:val="part_be3a4797255f4140ac749646d7f02a34"/>
            <w:lock w:val="sdtLocked"/>
            <w:richText/>
          </w:sdtPr>
          <w:sdtContent>
            <w:p w14:paraId="362B88DA" w14:textId="77777777">
              <w:pPr>
                <w:widowControl w:val="0"/>
                <w:suppressAutoHyphens/>
                <w:jc w:val="both"/>
                <w:rPr>
                  <w:rFonts w:eastAsia="Lucida Sans Unicode"/>
                  <w:szCs w:val="24"/>
                  <w:lang w:eastAsia="lt-LT"/>
                </w:rPr>
              </w:pPr>
              <w:r>
                <w:rPr>
                  <w:rFonts w:eastAsia="Lucida Sans Unicode"/>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code="9"/>
      <w:pgMar w:top="1134" w:right="567" w:bottom="1418" w:left="1701" w:header="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6C8B2" w14:textId="77777777">
      <w:pPr>
        <w:suppressAutoHyphens/>
        <w:rPr>
          <w:lang w:eastAsia="lt-LT"/>
        </w:rPr>
      </w:pPr>
      <w:r>
        <w:rPr>
          <w:lang w:eastAsia="lt-LT"/>
        </w:rPr>
        <w:separator/>
      </w:r>
    </w:p>
  </w:endnote>
  <w:endnote w:type="continuationSeparator" w:id="0">
    <w:p w14:paraId="4E51C08B"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charset w:val="00"/>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Microsoft Uighur">
    <w:panose1 w:val="02000000000000000000"/>
    <w:charset w:val="00"/>
    <w:family w:val="auto"/>
    <w:pitch w:val="variable"/>
    <w:sig w:usb0="80002023" w:usb1="80000002" w:usb2="00000008" w:usb3="00000000" w:csb0="0000004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CE518" w14:textId="77777777">
    <w:pPr>
      <w:tabs>
        <w:tab w:val="center" w:pos="4819"/>
        <w:tab w:val="right" w:pos="9638"/>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F2ADF" w14:textId="77777777">
    <w:pPr>
      <w:tabs>
        <w:tab w:val="center" w:pos="4819"/>
        <w:tab w:val="right" w:pos="9638"/>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7937A" w14:textId="77777777">
    <w:pPr>
      <w:tabs>
        <w:tab w:val="center" w:pos="4819"/>
        <w:tab w:val="right" w:pos="9638"/>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E083A" w14:textId="77777777">
      <w:pPr>
        <w:suppressAutoHyphens/>
        <w:rPr>
          <w:lang w:eastAsia="lt-LT"/>
        </w:rPr>
      </w:pPr>
      <w:r>
        <w:rPr>
          <w:lang w:eastAsia="lt-LT"/>
        </w:rPr>
        <w:separator/>
      </w:r>
    </w:p>
  </w:footnote>
  <w:footnote w:type="continuationSeparator" w:id="0">
    <w:p w14:paraId="2AC06388"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0BA78" w14:textId="77777777">
    <w:pPr>
      <w:tabs>
        <w:tab w:val="center" w:pos="4819"/>
        <w:tab w:val="right" w:pos="9638"/>
      </w:tabs>
      <w:suppressAutoHyphen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7D7B5" w14:textId="77777777">
    <w:pPr>
      <w:tabs>
        <w:tab w:val="center" w:pos="4819"/>
        <w:tab w:val="right" w:pos="9638"/>
      </w:tabs>
      <w:suppressAutoHyphens/>
      <w:jc w:val="center"/>
      <w:rPr>
        <w:lang w:eastAsia="lt-LT"/>
      </w:rPr>
    </w:pPr>
  </w:p>
  <w:p w14:paraId="7C848EE5" w14:textId="77777777">
    <w:pPr>
      <w:tabs>
        <w:tab w:val="center" w:pos="4819"/>
        <w:tab w:val="right" w:pos="9638"/>
      </w:tabs>
      <w:suppressAutoHyphens/>
      <w:jc w:val="center"/>
      <w:rPr>
        <w:lang w:eastAsia="lt-LT"/>
      </w:rPr>
    </w:pPr>
  </w:p>
  <w:p w14:paraId="4327D7B6" w14:textId="141B75D8">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14:paraId="4327D7B7" w14:textId="77777777">
    <w:pPr>
      <w:tabs>
        <w:tab w:val="center" w:pos="4819"/>
        <w:tab w:val="right" w:pos="9638"/>
      </w:tabs>
      <w:suppressAutoHyphen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7D7BA" w14:textId="77777777">
    <w:pPr>
      <w:tabs>
        <w:tab w:val="center" w:pos="4819"/>
        <w:tab w:val="right" w:pos="9638"/>
      </w:tabs>
      <w:suppressAutoHyphen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E40"/>
  </w:rsids>
  <m:mathPr>
    <m:mathFont m:val="Cambria Math"/>
    <m:brkBin m:val="before"/>
    <m:brkBinSub m:val="--"/>
    <m:smallFrac m:val="0"/>
    <m:dispDef/>
    <m:lMargin m:val="0"/>
    <m:rMargin m:val="0"/>
    <m:defJc m:val="centerGroup"/>
    <m:wrapIndent m:val="1440"/>
    <m:intLim m:val="subSup"/>
    <m:naryLim m:val="undOvr"/>
  </m:mathPr>
  <w:themeFontLang w:val="lt-LT" w:bidi="ug-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27D787"/>
  <w15:docId w15:val="{FDF0EA9D-27D7-47E7-B314-F07BD66521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9475803">
      <w:bodyDiv w:val="1"/>
      <w:marLeft w:val="0"/>
      <w:marRight w:val="0"/>
      <w:marTop w:val="0"/>
      <w:marBottom w:val="0"/>
      <w:divBdr>
        <w:top w:val="none" w:sz="0" w:space="0" w:color="auto"/>
        <w:left w:val="none" w:sz="0" w:space="0" w:color="auto"/>
        <w:bottom w:val="none" w:sz="0" w:space="0" w:color="auto"/>
        <w:right w:val="none" w:sz="0" w:space="0" w:color="auto"/>
      </w:divBdr>
    </w:div>
    <w:div w:id="885407151">
      <w:bodyDiv w:val="1"/>
      <w:marLeft w:val="0"/>
      <w:marRight w:val="0"/>
      <w:marTop w:val="0"/>
      <w:marBottom w:val="0"/>
      <w:divBdr>
        <w:top w:val="none" w:sz="0" w:space="0" w:color="auto"/>
        <w:left w:val="none" w:sz="0" w:space="0" w:color="auto"/>
        <w:bottom w:val="none" w:sz="0" w:space="0" w:color="auto"/>
        <w:right w:val="none" w:sz="0" w:space="0" w:color="auto"/>
      </w:divBdr>
    </w:div>
    <w:div w:id="1026515912">
      <w:bodyDiv w:val="1"/>
      <w:marLeft w:val="0"/>
      <w:marRight w:val="0"/>
      <w:marTop w:val="0"/>
      <w:marBottom w:val="0"/>
      <w:divBdr>
        <w:top w:val="none" w:sz="0" w:space="0" w:color="auto"/>
        <w:left w:val="none" w:sz="0" w:space="0" w:color="auto"/>
        <w:bottom w:val="none" w:sz="0" w:space="0" w:color="auto"/>
        <w:right w:val="none" w:sz="0" w:space="0" w:color="auto"/>
      </w:divBdr>
    </w:div>
    <w:div w:id="105284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5b34b7c9704cbaaf986aa3ff1cc17e" PartId="3c305df2af5a4f40a1bec8f38a3e0a41">
    <Part Type="preambule" DocPartId="4b898e71230a4d43b39a1185ab85acbf" PartId="78727368809944e4997cebf6ff5bce07"/>
    <Part Type="pastraipa" DocPartId="754c5e0987014e4e92a6fa20bcd9c023" PartId="c51048f01d1b4b599706859c2694cca9"/>
    <Part Type="punktas" Nr="1" Abbr="1 p." DocPartId="c07431b7ff6341dbbbbefc6b40e9566e" PartId="59992f652a6a4d9db99feaa7e30fd2e6">
      <Part Type="citata" DocPartId="0c4e080af28949ffaa26106326656157" PartId="537cb45bdcf14c889e7ad5ee1d941451">
        <Part Type="punktas" Nr="3" Abbr="3 p." DocPartId="177a401bcbb845348b9ff713e689b331" PartId="88b5998e1bdc46978426e742f263b0ab"/>
      </Part>
    </Part>
    <Part Type="punktas" Nr="2" Abbr="2 p." DocPartId="3f763294d7c847dbba027817fb367cdb" PartId="d18079fcaf404614ad16a77153e2e828">
      <Part Type="citata" DocPartId="18daf46d7ca14d3caadbb0233f54f74e" PartId="0eb40f0ac34a412a8b7599b796029ac1">
        <Part Type="punktas" Nr="9" Abbr="9 p." DocPartId="08ee6b4358304d8b81ded0af94197e85" PartId="3701f4532a3a43588ce6c736cc7d758b">
          <Part Type="papunktis" Nr="9.1" Abbr="9.1 pp." DocPartId="d9c816ff482343c9ac29ed48dfb7f790" PartId="51920889a9e541d0b22a33aa221bcdf8"/>
          <Part Type="papunktis" Nr="9.2" Abbr="9.2 pp." DocPartId="dceb74b18cc345db8f18e928e12f5dc5" PartId="33c6cda9e85e4563be0f17812d227414"/>
        </Part>
      </Part>
    </Part>
    <Part Type="punktas" Nr="3" Abbr="3 p." DocPartId="99165fbec230484283a73b8b5dd2caf0" PartId="303083f1988e44f08b246780779f4403">
      <Part Type="citata" DocPartId="99410dbd6ed94797832108939cc015ab" PartId="1f013f7cd66f4de4a5d58b9ed670810a">
        <Part Type="papunktis" Nr="10.1.5" Abbr="10.1.5 pp." DocPartId="ea4a25dfbb0a4f909472a05cc2645186" PartId="037b9717e02446d5b1cc4eeae571fc25"/>
      </Part>
    </Part>
    <Part Type="punktas" Nr="4" Abbr="4 p." DocPartId="2564d848bcfb47c682ae0fe072222a58" PartId="d57d22efb0e24fde987f76aca3e13974">
      <Part Type="citata" DocPartId="3b7985106efb453eb0e6081030f75b50" PartId="6b5c5fd605e0438a81a7396b73686fa2">
        <Part Type="punktas" Nr="12" Abbr="12 p." DocPartId="5b0543fb6a1e48ab9b4dcb6b2e95ddbd" PartId="5f39b49ba7b54816bf6170017a51cc59"/>
      </Part>
    </Part>
    <Part Type="punktas" Nr="5" Abbr="5 p." DocPartId="6a65896476de4d6992c2f8b03e1eba9a" PartId="2bcf9e699e4540a9961ec7ab29bbea50">
      <Part Type="citata" DocPartId="40137e6a0fa04a9c8e3fe17ecc037c39" PartId="1986fc00c8214f1185905c943b90d4c6">
        <Part Type="punktas" Nr="18" Abbr="18 p." DocPartId="347780a433b14b5a97e44fdc614391af" PartId="65c0e51a141f4aac8afcdc75ae24b44e"/>
      </Part>
    </Part>
    <Part Type="punktas" Nr="6" Abbr="6 p." DocPartId="11e5ec58be154e169cb3d75942134cef" PartId="db4ebd2ab3eb4dcf9baf719d6f2045d7"/>
    <Part Type="signatura" DocPartId="ba5336bb55f64d33b0a5e45174f716d8" PartId="be3a4797255f4140ac749646d7f02a34"/>
  </Part>
</Parts>
</file>

<file path=customXml/itemProps1.xml><?xml version="1.0" encoding="utf-8"?>
<ds:datastoreItem xmlns:ds="http://schemas.openxmlformats.org/officeDocument/2006/customXml" ds:itemID="{6E214FD5-C56C-47DC-9CA9-285793F465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562</Words>
  <Characters>3901</Characters>
  <Application>Microsoft Office Word</Application>
  <DocSecurity>4</DocSecurity>
  <Lines>69</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
  <LinksUpToDate>false</LinksUpToDate>
  <CharactersWithSpaces>4434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2025-03-25T06:14:00Z</dcterms:created>
  <dc:creator>Simona Virbukienė</dc:creator>
  <lastModifiedBy>adlibuser</lastModifiedBy>
  <lastPrinted>2024-04-10T07:03:00Z</lastPrinted>
  <dcterms:modified xsi:type="dcterms:W3CDTF">2025-03-25T06:14:00Z</dcterms:modified>
  <revision>2</revision>
  <dc:title>Tarifu skaicčiavimas 2009 - 2013m.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A44B3CA8-49D4-4DE2-86B7-9FD2EB07C5BA</vt:lpwstr>
  </property>
</Properties>
</file>