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7136e3c08449449e3a713583515b8e"/>
        <w:lock w:val="sdtLocked"/>
        <w:richText/>
      </w:sdtPr>
      <w:sdtContent>
        <w:p>
          <w:pPr>
            <w:ind w:firstLine="7371"/>
            <w:rPr>
              <w:b/>
              <w:szCs w:val="24"/>
            </w:rPr>
          </w:pPr>
          <w:r>
            <w:rPr>
              <w:b/>
              <w:szCs w:val="24"/>
            </w:rPr>
            <w:t>Projektas</w:t>
          </w:r>
        </w:p>
        <w:p>
          <w:pPr>
            <w:jc w:val="center"/>
            <w:rPr>
              <w:b/>
              <w:szCs w:val="24"/>
            </w:rPr>
          </w:pPr>
        </w:p>
        <w:p>
          <w:pPr>
            <w:jc w:val="center"/>
            <w:rPr>
              <w:b/>
              <w:szCs w:val="24"/>
            </w:rPr>
          </w:pPr>
          <w:r>
            <w:rPr>
              <w:b/>
              <w:szCs w:val="24"/>
            </w:rPr>
            <w:t>LIETUVOS RESPUBLIKOS</w:t>
          </w:r>
        </w:p>
        <w:p>
          <w:pPr>
            <w:jc w:val="center"/>
            <w:rPr>
              <w:b/>
              <w:szCs w:val="24"/>
            </w:rPr>
          </w:pPr>
          <w:r>
            <w:rPr>
              <w:b/>
              <w:szCs w:val="24"/>
            </w:rPr>
            <w:t xml:space="preserve">LAIKINOJO SOLIDARUMO ĮNAŠO </w:t>
          </w:r>
        </w:p>
        <w:p>
          <w:pPr>
            <w:jc w:val="center"/>
            <w:rPr>
              <w:b/>
              <w:szCs w:val="24"/>
            </w:rPr>
          </w:pPr>
          <w:r>
            <w:rPr>
              <w:b/>
              <w:szCs w:val="24"/>
            </w:rPr>
            <w:t>ĮSTATYMAS</w:t>
          </w:r>
        </w:p>
        <w:p>
          <w:pPr>
            <w:rPr>
              <w:sz w:val="22"/>
              <w:szCs w:val="22"/>
            </w:rPr>
          </w:pPr>
        </w:p>
        <w:p>
          <w:pPr>
            <w:jc w:val="center"/>
            <w:rPr>
              <w:szCs w:val="24"/>
              <w:lang w:val="en-GB"/>
            </w:rPr>
          </w:pPr>
          <w:r>
            <w:rPr>
              <w:szCs w:val="24"/>
              <w:lang w:val="en-GB"/>
            </w:rPr>
            <w:t xml:space="preserve">2023 m.             d. Nr.</w:t>
          </w:r>
        </w:p>
        <w:p>
          <w:pPr>
            <w:jc w:val="center"/>
            <w:rPr>
              <w:szCs w:val="24"/>
              <w:lang w:val="en-GB"/>
            </w:rPr>
          </w:pPr>
          <w:r>
            <w:rPr>
              <w:szCs w:val="24"/>
              <w:lang w:val="en-GB"/>
            </w:rPr>
            <w:t>Vilnius</w:t>
          </w:r>
        </w:p>
        <w:p>
          <w:pPr>
            <w:ind w:left="454"/>
            <w:jc w:val="center"/>
            <w:rPr>
              <w:b/>
              <w:bCs/>
            </w:rPr>
          </w:pPr>
        </w:p>
        <w:p>
          <w:pPr>
            <w:ind w:left="454"/>
            <w:jc w:val="center"/>
            <w:rPr>
              <w:b/>
              <w:bCs/>
            </w:rPr>
          </w:pPr>
          <w:r>
            <w:rPr>
              <w:b/>
              <w:bCs/>
            </w:rPr>
            <w:t>PREAMBULĖ</w:t>
          </w:r>
        </w:p>
        <w:p>
          <w:pPr>
            <w:ind w:left="454"/>
            <w:jc w:val="center"/>
            <w:rPr>
              <w:b/>
              <w:bCs/>
            </w:rPr>
          </w:pPr>
        </w:p>
        <w:sdt>
          <w:sdtPr>
            <w:alias w:val="preambule"/>
            <w:tag w:val="part_b04411eec50e46fdbdcce9b3473e528b"/>
            <w:lock w:val="sdtLocked"/>
            <w:richText/>
          </w:sdtPr>
          <w:sdtContent>
            <w:p>
              <w:pPr>
                <w:ind w:firstLine="709"/>
                <w:jc w:val="both"/>
                <w:rPr>
                  <w:rFonts w:eastAsia="Calibri"/>
                  <w:color w:val="000000"/>
                  <w:szCs w:val="24"/>
                </w:rPr>
              </w:pPr>
              <w:r>
                <w:rPr>
                  <w:rFonts w:eastAsia="Calibri"/>
                  <w:color w:val="000000"/>
                  <w:szCs w:val="24"/>
                </w:rPr>
                <w:t>Lietuvos Respublikos Seimas,</w:t>
              </w:r>
            </w:p>
          </w:sdtContent>
        </w:sdt>
        <w:sdt>
          <w:sdtPr>
            <w:alias w:val="pastraipa"/>
            <w:tag w:val="part_4a0942dafc8d4636801d77cdc1a4217c"/>
            <w:lock w:val="sdtLocked"/>
            <w:richText/>
          </w:sdtPr>
          <w:sdtContent>
            <w:p>
              <w:pPr>
                <w:ind w:firstLine="709"/>
                <w:jc w:val="both"/>
                <w:rPr>
                  <w:rFonts w:eastAsia="Calibri"/>
                  <w:color w:val="000000"/>
                  <w:szCs w:val="24"/>
                </w:rPr>
              </w:pPr>
              <w:r>
                <w:rPr>
                  <w:rFonts w:eastAsia="Calibri"/>
                  <w:color w:val="000000"/>
                  <w:szCs w:val="24"/>
                </w:rPr>
                <w:t>atsižvelgdamas į Rusijos Federacijos karinės agresijos prieš Ukrainą poveikį euro zonos ekonomikai, lėmusį valstybės paramos ekonomikai skatinti priemonių taikymą, infliaciją,</w:t>
              </w:r>
              <w:r>
                <w:rPr>
                  <w:rFonts w:eastAsia="Calibri"/>
                  <w:b/>
                  <w:bCs/>
                  <w:color w:val="000000"/>
                  <w:szCs w:val="24"/>
                </w:rPr>
                <w:t xml:space="preserve"> </w:t>
              </w:r>
              <w:r>
                <w:rPr>
                  <w:rFonts w:eastAsia="Calibri"/>
                  <w:color w:val="000000"/>
                  <w:szCs w:val="24"/>
                </w:rPr>
                <w:t>pinigų politikos pokyčius ir reikšmingą kredito įstaigų grynųjų palūkanų pajamų augimą;</w:t>
              </w:r>
            </w:p>
            <w:p>
              <w:pPr>
                <w:ind w:firstLine="709"/>
                <w:jc w:val="both"/>
                <w:rPr>
                  <w:rFonts w:eastAsia="Calibri"/>
                  <w:bCs/>
                  <w:szCs w:val="24"/>
                </w:rPr>
              </w:pPr>
              <w:r>
                <w:rPr>
                  <w:rFonts w:eastAsia="Calibri"/>
                  <w:color w:val="000000"/>
                  <w:szCs w:val="24"/>
                </w:rPr>
                <w:t xml:space="preserve">atsižvelgdamas į šiuo laikotarpiu padidėjusį poreikį imtis priemonių </w:t>
              </w:r>
              <w:r>
                <w:rPr>
                  <w:rFonts w:eastAsia="Calibri"/>
                  <w:bCs/>
                  <w:szCs w:val="24"/>
                </w:rPr>
                <w:t>Lietuvos Respublikos gynybai ir saugumui stiprinti, užtikrinant karinės infrastruktūros projektų, kuriais siekiama operatyviai užtikrinti NATO sąjungininkų pajėgų priėmimą Lietuvoje, įgyvendinimą;</w:t>
              </w:r>
            </w:p>
            <w:p>
              <w:pPr>
                <w:ind w:firstLine="709"/>
                <w:rPr>
                  <w:rFonts w:eastAsia="Calibri"/>
                  <w:bCs/>
                  <w:szCs w:val="24"/>
                </w:rPr>
              </w:pPr>
              <w:r>
                <w:rPr>
                  <w:rFonts w:eastAsia="Calibri"/>
                  <w:bCs/>
                  <w:szCs w:val="24"/>
                </w:rPr>
                <w:t>p r i i m a šį įstatymą.</w:t>
              </w:r>
            </w:p>
            <w:p>
              <w:pPr>
                <w:rPr>
                  <w:szCs w:val="24"/>
                  <w:lang w:val="en-GB"/>
                </w:rPr>
              </w:pPr>
            </w:p>
          </w:sdtContent>
        </w:sdt>
        <w:sdt>
          <w:sdtPr>
            <w:alias w:val="skyrius"/>
            <w:tag w:val="part_5f7ecb7169ee4d50b05b7569297c4748"/>
            <w:lock w:val="sdtLocked"/>
            <w:richText/>
          </w:sdtPr>
          <w:sdtContent>
            <w:p>
              <w:pPr>
                <w:jc w:val="center"/>
                <w:rPr>
                  <w:b/>
                  <w:bCs/>
                </w:rPr>
              </w:pPr>
              <w:sdt>
                <w:sdtPr>
                  <w:alias w:val="Numeris"/>
                  <w:tag w:val="nr_5f7ecb7169ee4d50b05b7569297c4748"/>
                  <w:lock w:val="sdtLocked"/>
                  <w:richText/>
                </w:sdtPr>
                <w:sdtContent>
                  <w:r>
                    <w:rPr>
                      <w:b/>
                      <w:bCs/>
                    </w:rPr>
                    <w:t>I</w:t>
                  </w:r>
                </w:sdtContent>
              </w:sdt>
              <w:r>
                <w:rPr>
                  <w:b/>
                  <w:bCs/>
                </w:rPr>
                <w:t xml:space="preserve"> SKYRIUS</w:t>
              </w:r>
            </w:p>
            <w:p>
              <w:pPr>
                <w:jc w:val="center"/>
                <w:rPr>
                  <w:b/>
                  <w:bCs/>
                </w:rPr>
              </w:pPr>
              <w:sdt>
                <w:sdtPr>
                  <w:alias w:val="Pavadinimas"/>
                  <w:tag w:val="title_5f7ecb7169ee4d50b05b7569297c4748"/>
                  <w:lock w:val="sdtLocked"/>
                  <w:richText/>
                </w:sdtPr>
                <w:sdtContent>
                  <w:r>
                    <w:rPr>
                      <w:b/>
                      <w:bCs/>
                    </w:rPr>
                    <w:t>BENDROSIOS NUOSTATOS</w:t>
                  </w:r>
                </w:sdtContent>
              </w:sdt>
            </w:p>
            <w:p>
              <w:pPr>
                <w:spacing w:line="276" w:lineRule="auto"/>
                <w:jc w:val="center"/>
                <w:rPr>
                  <w:b/>
                  <w:szCs w:val="24"/>
                </w:rPr>
              </w:pPr>
            </w:p>
            <w:sdt>
              <w:sdtPr>
                <w:alias w:val="1 str."/>
                <w:tag w:val="part_e2f384ad83bd4ffdb0c66080c91363e5"/>
                <w:lock w:val="sdtLocked"/>
                <w:richText/>
              </w:sdtPr>
              <w:sdtContent>
                <w:p>
                  <w:pPr>
                    <w:ind w:left="480" w:firstLine="229"/>
                    <w:jc w:val="both"/>
                    <w:rPr>
                      <w:b/>
                      <w:szCs w:val="24"/>
                    </w:rPr>
                  </w:pPr>
                  <w:sdt>
                    <w:sdtPr>
                      <w:alias w:val="Numeris"/>
                      <w:tag w:val="nr_e2f384ad83bd4ffdb0c66080c91363e5"/>
                      <w:lock w:val="sdtLocked"/>
                      <w:richText/>
                    </w:sdtPr>
                    <w:sdtContent>
                      <w:r>
                        <w:rPr>
                          <w:b/>
                          <w:szCs w:val="24"/>
                        </w:rPr>
                        <w:t>1</w:t>
                      </w:r>
                    </w:sdtContent>
                  </w:sdt>
                  <w:r>
                    <w:rPr>
                      <w:b/>
                      <w:szCs w:val="24"/>
                    </w:rPr>
                    <w:t xml:space="preserve"> straipsnis. </w:t>
                  </w:r>
                  <w:sdt>
                    <w:sdtPr>
                      <w:alias w:val="Pavadinimas"/>
                      <w:tag w:val="title_e2f384ad83bd4ffdb0c66080c91363e5"/>
                      <w:lock w:val="sdtLocked"/>
                      <w:richText/>
                    </w:sdtPr>
                    <w:sdtContent>
                      <w:r>
                        <w:rPr>
                          <w:b/>
                          <w:szCs w:val="24"/>
                        </w:rPr>
                        <w:t>Įstatymo paskirtis ir taikymo sritis</w:t>
                      </w:r>
                    </w:sdtContent>
                  </w:sdt>
                </w:p>
                <w:sdt>
                  <w:sdtPr>
                    <w:alias w:val="1 str. 1 d."/>
                    <w:tag w:val="part_21171ca6a5a34d45bd4876050b076e72"/>
                    <w:lock w:val="sdtLocked"/>
                    <w:richText/>
                  </w:sdtPr>
                  <w:sdtContent>
                    <w:p>
                      <w:pPr>
                        <w:ind w:firstLine="709"/>
                        <w:jc w:val="both"/>
                        <w:rPr>
                          <w:b/>
                          <w:szCs w:val="24"/>
                        </w:rPr>
                      </w:pPr>
                      <w:sdt>
                        <w:sdtPr>
                          <w:alias w:val="Numeris"/>
                          <w:tag w:val="nr_21171ca6a5a34d45bd4876050b076e72"/>
                          <w:lock w:val="sdtLocked"/>
                          <w:richText/>
                        </w:sdtPr>
                        <w:sdtContent>
                          <w:r>
                            <w:rPr>
                              <w:bCs/>
                              <w:szCs w:val="24"/>
                            </w:rPr>
                            <w:t>1</w:t>
                          </w:r>
                        </w:sdtContent>
                      </w:sdt>
                      <w:r>
                        <w:rPr>
                          <w:szCs w:val="24"/>
                        </w:rPr>
                        <w:t xml:space="preserve">. </w:t>
                      </w:r>
                      <w:r>
                        <w:rPr>
                          <w:color w:val="000000"/>
                          <w:szCs w:val="24"/>
                        </w:rPr>
                        <w:t>Šis įstatymas nustato laikinąjį solidarumo įnašą, laikinojo solidarumo įnašo apskaičiavimo, deklaravimo ir sumokėjimo tvarką, taip pat gautų lėšų panaudojimą.</w:t>
                      </w:r>
                    </w:p>
                  </w:sdtContent>
                </w:sdt>
                <w:sdt>
                  <w:sdtPr>
                    <w:alias w:val="1 str. 2 d."/>
                    <w:tag w:val="part_80120a5e11fe472691320b3c165211fa"/>
                    <w:lock w:val="sdtLocked"/>
                    <w:richText/>
                  </w:sdtPr>
                  <w:sdtContent>
                    <w:p>
                      <w:pPr>
                        <w:spacing w:line="276" w:lineRule="auto"/>
                        <w:ind w:firstLine="709"/>
                        <w:jc w:val="both"/>
                        <w:rPr>
                          <w:szCs w:val="24"/>
                        </w:rPr>
                      </w:pPr>
                      <w:sdt>
                        <w:sdtPr>
                          <w:alias w:val="Numeris"/>
                          <w:tag w:val="nr_80120a5e11fe472691320b3c165211fa"/>
                          <w:lock w:val="sdtLocked"/>
                          <w:richText/>
                        </w:sdtPr>
                        <w:sdtContent>
                          <w:r>
                            <w:rPr>
                              <w:szCs w:val="24"/>
                            </w:rPr>
                            <w:t>2</w:t>
                          </w:r>
                        </w:sdtContent>
                      </w:sdt>
                      <w:r>
                        <w:rPr>
                          <w:szCs w:val="24"/>
                        </w:rPr>
                        <w:t>. Šis įstatymas taikomas:</w:t>
                      </w:r>
                    </w:p>
                    <w:sdt>
                      <w:sdtPr>
                        <w:alias w:val="1 str. 2 d. 1 p."/>
                        <w:tag w:val="part_5538e0ab7d844748b01e68b5f271328d"/>
                        <w:lock w:val="sdtLocked"/>
                        <w:richText/>
                      </w:sdtPr>
                      <w:sdtContent>
                        <w:p>
                          <w:pPr>
                            <w:spacing w:line="276" w:lineRule="auto"/>
                            <w:ind w:firstLine="709"/>
                            <w:jc w:val="both"/>
                            <w:rPr>
                              <w:szCs w:val="24"/>
                            </w:rPr>
                          </w:pPr>
                          <w:sdt>
                            <w:sdtPr>
                              <w:alias w:val="Numeris"/>
                              <w:tag w:val="nr_5538e0ab7d844748b01e68b5f271328d"/>
                              <w:lock w:val="sdtLocked"/>
                              <w:richText/>
                            </w:sdtPr>
                            <w:sdtContent>
                              <w:r>
                                <w:rPr>
                                  <w:szCs w:val="24"/>
                                </w:rPr>
                                <w:t>1</w:t>
                              </w:r>
                            </w:sdtContent>
                          </w:sdt>
                          <w:r>
                            <w:rPr>
                              <w:szCs w:val="24"/>
                            </w:rPr>
                            <w:t>) pagal Lietuvos Respublikos bankų įstatymą veikiantiems Lietuvos Respublikoje įsteigtiems bankams, kitų Europos Sąjungos valstybių narių ir užsienio bankų filialams, įsteigtiems Lietuvos Respublikoje;</w:t>
                          </w:r>
                        </w:p>
                      </w:sdtContent>
                    </w:sdt>
                    <w:sdt>
                      <w:sdtPr>
                        <w:alias w:val="1 str. 2 d. 2 p."/>
                        <w:tag w:val="part_605f82b1478348c79f64cd612b057294"/>
                        <w:lock w:val="sdtLocked"/>
                        <w:richText/>
                      </w:sdtPr>
                      <w:sdtContent>
                        <w:p>
                          <w:pPr>
                            <w:spacing w:line="276" w:lineRule="auto"/>
                            <w:ind w:firstLine="709"/>
                            <w:jc w:val="both"/>
                            <w:rPr>
                              <w:szCs w:val="24"/>
                            </w:rPr>
                          </w:pPr>
                          <w:sdt>
                            <w:sdtPr>
                              <w:alias w:val="Numeris"/>
                              <w:tag w:val="nr_605f82b1478348c79f64cd612b057294"/>
                              <w:lock w:val="sdtLocked"/>
                              <w:richText/>
                            </w:sdtPr>
                            <w:sdtContent>
                              <w:r>
                                <w:rPr>
                                  <w:szCs w:val="24"/>
                                </w:rPr>
                                <w:t>2</w:t>
                              </w:r>
                            </w:sdtContent>
                          </w:sdt>
                          <w:r>
                            <w:rPr>
                              <w:szCs w:val="24"/>
                            </w:rPr>
                            <w:t>) pagal Lietuvos Respublikos centrinių kredito unijų įstatymą veikiančioms centrinėms kredito unijoms;</w:t>
                          </w:r>
                        </w:p>
                      </w:sdtContent>
                    </w:sdt>
                    <w:sdt>
                      <w:sdtPr>
                        <w:alias w:val="1 str. 2 d. 3 p."/>
                        <w:tag w:val="part_7bbfd3b9779a49b3a64416dbdd9acea3"/>
                        <w:lock w:val="sdtLocked"/>
                        <w:richText/>
                      </w:sdtPr>
                      <w:sdtContent>
                        <w:p>
                          <w:pPr>
                            <w:spacing w:line="276" w:lineRule="auto"/>
                            <w:ind w:firstLine="709"/>
                            <w:jc w:val="both"/>
                            <w:rPr>
                              <w:szCs w:val="24"/>
                            </w:rPr>
                          </w:pPr>
                          <w:sdt>
                            <w:sdtPr>
                              <w:alias w:val="Numeris"/>
                              <w:tag w:val="nr_7bbfd3b9779a49b3a64416dbdd9acea3"/>
                              <w:lock w:val="sdtLocked"/>
                              <w:richText/>
                            </w:sdtPr>
                            <w:sdtContent>
                              <w:r>
                                <w:rPr>
                                  <w:szCs w:val="24"/>
                                </w:rPr>
                                <w:t>3</w:t>
                              </w:r>
                            </w:sdtContent>
                          </w:sdt>
                          <w:r>
                            <w:rPr>
                              <w:szCs w:val="24"/>
                            </w:rPr>
                            <w:t>) pagal Lietuvos Respublikos kredito unijų įstatymą veikiančioms kredito unijoms.</w:t>
                          </w:r>
                        </w:p>
                        <w:p>
                          <w:pPr>
                            <w:spacing w:line="276" w:lineRule="auto"/>
                            <w:jc w:val="both"/>
                            <w:rPr>
                              <w:szCs w:val="24"/>
                            </w:rPr>
                          </w:pPr>
                        </w:p>
                      </w:sdtContent>
                    </w:sdt>
                  </w:sdtContent>
                </w:sdt>
              </w:sdtContent>
            </w:sdt>
            <w:sdt>
              <w:sdtPr>
                <w:alias w:val="2 str."/>
                <w:tag w:val="part_c30b7a8dae4c4d6094b65aa93e0316c1"/>
                <w:lock w:val="sdtLocked"/>
                <w:richText/>
              </w:sdtPr>
              <w:sdtContent>
                <w:p>
                  <w:pPr>
                    <w:spacing w:line="276" w:lineRule="auto"/>
                    <w:ind w:left="480" w:firstLine="229"/>
                    <w:jc w:val="both"/>
                    <w:rPr>
                      <w:b/>
                      <w:szCs w:val="24"/>
                    </w:rPr>
                  </w:pPr>
                  <w:sdt>
                    <w:sdtPr>
                      <w:alias w:val="Numeris"/>
                      <w:tag w:val="nr_c30b7a8dae4c4d6094b65aa93e0316c1"/>
                      <w:lock w:val="sdtLocked"/>
                      <w:richText/>
                    </w:sdtPr>
                    <w:sdtContent>
                      <w:r>
                        <w:rPr>
                          <w:b/>
                          <w:szCs w:val="24"/>
                        </w:rPr>
                        <w:t>2</w:t>
                      </w:r>
                    </w:sdtContent>
                  </w:sdt>
                  <w:r>
                    <w:rPr>
                      <w:b/>
                      <w:szCs w:val="24"/>
                    </w:rPr>
                    <w:t xml:space="preserve"> straipsnis. </w:t>
                  </w:r>
                  <w:sdt>
                    <w:sdtPr>
                      <w:alias w:val="Pavadinimas"/>
                      <w:tag w:val="title_c30b7a8dae4c4d6094b65aa93e0316c1"/>
                      <w:lock w:val="sdtLocked"/>
                      <w:richText/>
                    </w:sdtPr>
                    <w:sdtContent>
                      <w:r>
                        <w:rPr>
                          <w:b/>
                          <w:szCs w:val="24"/>
                        </w:rPr>
                        <w:t>Laikinojo solidarumo įnašo subjektai</w:t>
                      </w:r>
                    </w:sdtContent>
                  </w:sdt>
                </w:p>
                <w:sdt>
                  <w:sdtPr>
                    <w:alias w:val="2 str. 1 d."/>
                    <w:tag w:val="part_4973068860774d8a87153da41742029a"/>
                    <w:lock w:val="sdtLocked"/>
                    <w:richText/>
                  </w:sdtPr>
                  <w:sdtContent>
                    <w:p>
                      <w:pPr>
                        <w:spacing w:line="276" w:lineRule="auto"/>
                        <w:ind w:firstLine="709"/>
                        <w:jc w:val="both"/>
                        <w:rPr>
                          <w:rFonts w:eastAsia="Calibri"/>
                          <w:szCs w:val="24"/>
                        </w:rPr>
                      </w:pPr>
                      <w:sdt>
                        <w:sdtPr>
                          <w:alias w:val="Numeris"/>
                          <w:tag w:val="nr_4973068860774d8a87153da41742029a"/>
                          <w:lock w:val="sdtLocked"/>
                          <w:richText/>
                        </w:sdtPr>
                        <w:sdtContent>
                          <w:r>
                            <w:rPr>
                              <w:szCs w:val="24"/>
                            </w:rPr>
                            <w:t>1</w:t>
                          </w:r>
                        </w:sdtContent>
                      </w:sdt>
                      <w:r>
                        <w:rPr>
                          <w:szCs w:val="24"/>
                        </w:rPr>
                        <w:t xml:space="preserve">. Laikinąjį solidarumo įnašą moka </w:t>
                      </w:r>
                      <w:r>
                        <w:rPr>
                          <w:bCs/>
                          <w:szCs w:val="24"/>
                        </w:rPr>
                        <w:t>šio įstatymo 1 straipsnio 2 dalyje</w:t>
                      </w:r>
                      <w:r>
                        <w:rPr>
                          <w:szCs w:val="24"/>
                        </w:rPr>
                        <w:t xml:space="preserve"> </w:t>
                      </w:r>
                      <w:r>
                        <w:rPr>
                          <w:bCs/>
                          <w:szCs w:val="24"/>
                        </w:rPr>
                        <w:t>nurodyti</w:t>
                      </w:r>
                      <w:r>
                        <w:rPr>
                          <w:szCs w:val="24"/>
                        </w:rPr>
                        <w:t xml:space="preserve"> laikinojo solidarumo įnašo subjektai,</w:t>
                      </w:r>
                      <w:r>
                        <w:rPr>
                          <w:bCs/>
                          <w:szCs w:val="24"/>
                        </w:rPr>
                        <w:t xml:space="preserve"> </w:t>
                      </w:r>
                      <w:r>
                        <w:rPr>
                          <w:rFonts w:eastAsia="Calibri"/>
                          <w:szCs w:val="24"/>
                        </w:rPr>
                        <w:t xml:space="preserve">kuriuose laikomų klientų Lietuvos Respublikos rezidentų, kaip jie suprantami pagal 1996 m. birželio 25 d. Tarybos reglamento </w:t>
                      </w:r>
                      <w:fldSimple w:instr="HYPERLINK http://eur-lex.europa.eu/legal-content/LIT/TXT/?uri=CELEX:31996R2223&amp;locale=lt \t _blank">
                        <w:r>
                          <w:rPr>
                            <w:rFonts w:eastAsia="Calibri"/>
                            <w:szCs w:val="24"/>
                            <w:u w:val="single"/>
                            <w:color w:val="0000FF" w:themeColor="hyperlink"/>
                          </w:rPr>
                          <w:t>(EB) Nr. 2223/96</w:t>
                        </w:r>
                      </w:fldSimple>
                      <w:r>
                        <w:rPr>
                          <w:rFonts w:eastAsia="Calibri"/>
                          <w:szCs w:val="24"/>
                        </w:rPr>
                        <w:t xml:space="preserve"> dėl Europos nacionalinių ir regioninių sąskaitų sistemos Bendrijoje su visais pakeitimais A priedo 1 skyriaus 1.30 punktą, indėlių ir šio įstatymo 1 straipsnio 2 dalyje nurodytų subjektų sąskaitose laikomų lėšų suma,</w:t>
                      </w:r>
                      <w:r>
                        <w:rPr>
                          <w:szCs w:val="24"/>
                        </w:rPr>
                        <w:t xml:space="preserve"> </w:t>
                      </w:r>
                      <w:r>
                        <w:rPr>
                          <w:rFonts w:eastAsia="Calibri"/>
                          <w:szCs w:val="24"/>
                        </w:rPr>
                        <w:t>nurodoma įmonių grupės metinių konsoliduotųjų finansinių ataskaitų rinkinyje, kaip jis apibrėžtas Lietuvos Respublikos įmonių grupių konsoliduotosios atskaitomybės įstatyme, o jeigu šio rinkinio neprivaloma sudaryti, – įmonės metinių finansinių ataskaitų rinkinyje, kaip jis apibrėžtas Lietuvos Respublikos įmonių atskaitomybės įstatyme, 2022 m. gruodžio 31 d. buvo ne mažesnė kaip 400 mln. eurų (toliau – laikinojo solidarumo įnašo subjektai).</w:t>
                      </w:r>
                    </w:p>
                  </w:sdtContent>
                </w:sdt>
                <w:sdt>
                  <w:sdtPr>
                    <w:alias w:val="2 str. 2 d."/>
                    <w:tag w:val="part_83987ded8fbc463a96a7306645d80123"/>
                    <w:lock w:val="sdtLocked"/>
                    <w:richText/>
                  </w:sdtPr>
                  <w:sdtContent>
                    <w:p>
                      <w:pPr>
                        <w:spacing w:line="276" w:lineRule="auto"/>
                        <w:ind w:firstLine="709"/>
                        <w:jc w:val="both"/>
                        <w:rPr>
                          <w:szCs w:val="24"/>
                        </w:rPr>
                      </w:pPr>
                      <w:sdt>
                        <w:sdtPr>
                          <w:alias w:val="Numeris"/>
                          <w:tag w:val="nr_83987ded8fbc463a96a7306645d80123"/>
                          <w:lock w:val="sdtLocked"/>
                          <w:richText/>
                        </w:sdtPr>
                        <w:sdtContent>
                          <w:r>
                            <w:rPr>
                              <w:szCs w:val="24"/>
                            </w:rPr>
                            <w:t>2</w:t>
                          </w:r>
                        </w:sdtContent>
                      </w:sdt>
                      <w:r>
                        <w:rPr>
                          <w:szCs w:val="24"/>
                        </w:rPr>
                        <w:t xml:space="preserve">. Laikinuosius solidarumo įnašus administruoja Valstybinė mokesčių inspekcija. </w:t>
                      </w:r>
                    </w:p>
                  </w:sdtContent>
                </w:sdt>
                <w:sdt>
                  <w:sdtPr>
                    <w:alias w:val="2 str. 3 d."/>
                    <w:tag w:val="part_bfdca37f7f6c4e679ff87e5e99a31f1c"/>
                    <w:lock w:val="sdtLocked"/>
                    <w:richText/>
                  </w:sdtPr>
                  <w:sdtContent>
                    <w:p>
                      <w:pPr>
                        <w:spacing w:line="276" w:lineRule="auto"/>
                        <w:ind w:firstLine="709"/>
                        <w:jc w:val="both"/>
                        <w:rPr>
                          <w:szCs w:val="24"/>
                        </w:rPr>
                      </w:pPr>
                      <w:sdt>
                        <w:sdtPr>
                          <w:alias w:val="Numeris"/>
                          <w:tag w:val="nr_bfdca37f7f6c4e679ff87e5e99a31f1c"/>
                          <w:lock w:val="sdtLocked"/>
                          <w:richText/>
                        </w:sdtPr>
                        <w:sdtContent>
                          <w:r>
                            <w:rPr>
                              <w:szCs w:val="24"/>
                            </w:rPr>
                            <w:t>3</w:t>
                          </w:r>
                        </w:sdtContent>
                      </w:sdt>
                      <w:r>
                        <w:rPr>
                          <w:szCs w:val="24"/>
                        </w:rPr>
                        <w:t xml:space="preserve">. Valstybinės mokesčių inspekcijos ir laikinųjų solidarumo įnašų subjektų santykiams </w:t>
                      </w:r>
                      <w:r>
                        <w:rPr>
                          <w:i/>
                          <w:szCs w:val="24"/>
                        </w:rPr>
                        <w:t>mutatis mutandis</w:t>
                      </w:r>
                      <w:r>
                        <w:rPr>
                          <w:szCs w:val="24"/>
                        </w:rPr>
                        <w:t xml:space="preserve"> taikomos Lietuvos Respublikos mokesčių administravimo įstatymo nuostatos dėl mokesčių administratoriaus ir mokesčių mokėtojų teisių ir pareigų. </w:t>
                      </w:r>
                    </w:p>
                    <w:p>
                      <w:pPr>
                        <w:spacing w:line="276" w:lineRule="auto"/>
                        <w:ind w:firstLine="709"/>
                        <w:jc w:val="both"/>
                        <w:rPr>
                          <w:szCs w:val="24"/>
                        </w:rPr>
                      </w:pPr>
                    </w:p>
                  </w:sdtContent>
                </w:sdt>
              </w:sdtContent>
            </w:sdt>
            <w:sdt>
              <w:sdtPr>
                <w:alias w:val="3 str."/>
                <w:tag w:val="part_33573e15f2734783b7d30a8e148fa371"/>
                <w:lock w:val="sdtLocked"/>
                <w:richText/>
              </w:sdtPr>
              <w:sdtContent>
                <w:p>
                  <w:pPr>
                    <w:spacing w:line="276" w:lineRule="auto"/>
                    <w:ind w:firstLine="709"/>
                    <w:jc w:val="both"/>
                    <w:rPr>
                      <w:b/>
                      <w:szCs w:val="24"/>
                    </w:rPr>
                  </w:pPr>
                  <w:sdt>
                    <w:sdtPr>
                      <w:alias w:val="Numeris"/>
                      <w:tag w:val="nr_33573e15f2734783b7d30a8e148fa371"/>
                      <w:lock w:val="sdtLocked"/>
                      <w:richText/>
                    </w:sdtPr>
                    <w:sdtContent>
                      <w:r>
                        <w:rPr>
                          <w:b/>
                          <w:szCs w:val="24"/>
                        </w:rPr>
                        <w:t>3</w:t>
                      </w:r>
                    </w:sdtContent>
                  </w:sdt>
                  <w:r>
                    <w:rPr>
                      <w:b/>
                      <w:szCs w:val="24"/>
                    </w:rPr>
                    <w:t xml:space="preserve"> straipsnis. </w:t>
                  </w:r>
                  <w:sdt>
                    <w:sdtPr>
                      <w:alias w:val="Pavadinimas"/>
                      <w:tag w:val="title_33573e15f2734783b7d30a8e148fa371"/>
                      <w:lock w:val="sdtLocked"/>
                      <w:richText/>
                    </w:sdtPr>
                    <w:sdtContent>
                      <w:r>
                        <w:rPr>
                          <w:b/>
                          <w:szCs w:val="24"/>
                        </w:rPr>
                        <w:t>Laikinojo solidarumo įnašo mokėjimo laikotarpis</w:t>
                      </w:r>
                    </w:sdtContent>
                  </w:sdt>
                </w:p>
                <w:sdt>
                  <w:sdtPr>
                    <w:alias w:val="3 str. 1 d."/>
                    <w:tag w:val="part_3fe2a707e51f49c6aa3a4e1841e71d2b"/>
                    <w:lock w:val="sdtLocked"/>
                    <w:richText/>
                  </w:sdtPr>
                  <w:sdtContent>
                    <w:p>
                      <w:pPr>
                        <w:spacing w:line="276" w:lineRule="auto"/>
                        <w:ind w:firstLine="709"/>
                        <w:jc w:val="both"/>
                        <w:rPr>
                          <w:szCs w:val="24"/>
                        </w:rPr>
                      </w:pPr>
                      <w:r>
                        <w:rPr>
                          <w:szCs w:val="24"/>
                        </w:rPr>
                        <w:t>Laikinojo solidarumo įnašo mokėjimo laikotarpis yra kalendoriniai metai (toliau – mokėjimo laikotarpis).</w:t>
                      </w:r>
                    </w:p>
                    <w:p>
                      <w:pPr>
                        <w:spacing w:line="276" w:lineRule="auto"/>
                        <w:jc w:val="both"/>
                        <w:rPr>
                          <w:szCs w:val="24"/>
                        </w:rPr>
                      </w:pPr>
                    </w:p>
                  </w:sdtContent>
                </w:sdt>
              </w:sdtContent>
            </w:sdt>
          </w:sdtContent>
        </w:sdt>
        <w:sdt>
          <w:sdtPr>
            <w:alias w:val="skyrius"/>
            <w:tag w:val="part_fea48a64b7ee45e3b8bb17627d7892b2"/>
            <w:lock w:val="sdtLocked"/>
            <w:richText/>
          </w:sdtPr>
          <w:sdtContent>
            <w:p>
              <w:pPr>
                <w:spacing w:line="276" w:lineRule="auto"/>
                <w:jc w:val="center"/>
                <w:rPr>
                  <w:b/>
                  <w:bCs/>
                </w:rPr>
              </w:pPr>
              <w:sdt>
                <w:sdtPr>
                  <w:alias w:val="Numeris"/>
                  <w:tag w:val="nr_fea48a64b7ee45e3b8bb17627d7892b2"/>
                  <w:lock w:val="sdtLocked"/>
                  <w:richText/>
                </w:sdtPr>
                <w:sdtContent>
                  <w:r>
                    <w:rPr>
                      <w:b/>
                      <w:bCs/>
                    </w:rPr>
                    <w:t>II</w:t>
                  </w:r>
                </w:sdtContent>
              </w:sdt>
              <w:r>
                <w:rPr>
                  <w:b/>
                  <w:bCs/>
                </w:rPr>
                <w:t xml:space="preserve"> SKYRIUS</w:t>
              </w:r>
            </w:p>
            <w:p>
              <w:pPr>
                <w:spacing w:line="276" w:lineRule="auto"/>
                <w:jc w:val="center"/>
                <w:rPr>
                  <w:b/>
                  <w:bCs/>
                </w:rPr>
              </w:pPr>
              <w:sdt>
                <w:sdtPr>
                  <w:alias w:val="Pavadinimas"/>
                  <w:tag w:val="title_fea48a64b7ee45e3b8bb17627d7892b2"/>
                  <w:lock w:val="sdtLocked"/>
                  <w:richText/>
                </w:sdtPr>
                <w:sdtContent>
                  <w:r>
                    <w:rPr>
                      <w:b/>
                      <w:bCs/>
                    </w:rPr>
                    <w:t>LAIKINOJO SOLIDARUMO ĮNAŠO APSKAIČIAVIMAS, SUMOKĖJIMAS IR IŠIEŠKOJIMAS</w:t>
                  </w:r>
                </w:sdtContent>
              </w:sdt>
            </w:p>
            <w:p>
              <w:pPr>
                <w:spacing w:line="276" w:lineRule="auto"/>
                <w:jc w:val="both"/>
                <w:rPr>
                  <w:b/>
                  <w:szCs w:val="24"/>
                </w:rPr>
              </w:pPr>
            </w:p>
            <w:sdt>
              <w:sdtPr>
                <w:alias w:val="4 str."/>
                <w:tag w:val="part_4832fb081484464eb21d3b91ad0829cf"/>
                <w:lock w:val="sdtLocked"/>
                <w:richText/>
              </w:sdtPr>
              <w:sdtContent>
                <w:p>
                  <w:pPr>
                    <w:spacing w:line="276" w:lineRule="auto"/>
                    <w:ind w:firstLine="709"/>
                    <w:jc w:val="both"/>
                    <w:rPr>
                      <w:b/>
                      <w:szCs w:val="24"/>
                    </w:rPr>
                  </w:pPr>
                  <w:sdt>
                    <w:sdtPr>
                      <w:alias w:val="Numeris"/>
                      <w:tag w:val="nr_4832fb081484464eb21d3b91ad0829cf"/>
                      <w:lock w:val="sdtLocked"/>
                      <w:richText/>
                    </w:sdtPr>
                    <w:sdtContent>
                      <w:r>
                        <w:rPr>
                          <w:b/>
                          <w:szCs w:val="24"/>
                        </w:rPr>
                        <w:t>4</w:t>
                      </w:r>
                    </w:sdtContent>
                  </w:sdt>
                  <w:r>
                    <w:rPr>
                      <w:b/>
                      <w:szCs w:val="24"/>
                    </w:rPr>
                    <w:t xml:space="preserve"> straipsnis. </w:t>
                  </w:r>
                  <w:sdt>
                    <w:sdtPr>
                      <w:alias w:val="Pavadinimas"/>
                      <w:tag w:val="title_4832fb081484464eb21d3b91ad0829cf"/>
                      <w:lock w:val="sdtLocked"/>
                      <w:richText/>
                    </w:sdtPr>
                    <w:sdtContent>
                      <w:r>
                        <w:rPr>
                          <w:b/>
                          <w:szCs w:val="24"/>
                        </w:rPr>
                        <w:t>Laikinojo solidarumo įnašo bazės apskaičiavimas</w:t>
                      </w:r>
                    </w:sdtContent>
                  </w:sdt>
                </w:p>
                <w:sdt>
                  <w:sdtPr>
                    <w:alias w:val="4 str. 1 d."/>
                    <w:tag w:val="part_715ea3ad849844f1851fa874b586e731"/>
                    <w:lock w:val="sdtLocked"/>
                    <w:richText/>
                  </w:sdtPr>
                  <w:sdtContent>
                    <w:p>
                      <w:pPr>
                        <w:spacing w:line="276" w:lineRule="auto"/>
                        <w:ind w:firstLine="709"/>
                        <w:jc w:val="both"/>
                        <w:rPr>
                          <w:b/>
                          <w:bCs/>
                          <w:szCs w:val="24"/>
                        </w:rPr>
                      </w:pPr>
                      <w:sdt>
                        <w:sdtPr>
                          <w:alias w:val="Numeris"/>
                          <w:tag w:val="nr_715ea3ad849844f1851fa874b586e731"/>
                          <w:lock w:val="sdtLocked"/>
                          <w:richText/>
                        </w:sdtPr>
                        <w:sdtContent>
                          <w:r>
                            <w:rPr>
                              <w:szCs w:val="24"/>
                            </w:rPr>
                            <w:t>1</w:t>
                          </w:r>
                        </w:sdtContent>
                      </w:sdt>
                      <w:r>
                        <w:rPr>
                          <w:szCs w:val="24"/>
                        </w:rPr>
                        <w:t xml:space="preserve">. Laikinojo solidarumo įnašo bazė už 2023 metus apskaičiuojama nuo einamojo mokėjimo laikotarpio laikinojo solidarumo įnašo subjekto konsoliduotosiose finansinėse ataskaitose, o jeigu konsoliduotųjų finansinių ataskaitų neprivaloma sudaryti, – finansinėse ataskaitose pateikiamų grynųjų palūkanų pajamų, kurios daugiau kaip 50 procentų viršija vidutines 4 finansinių metų, prasidėjusių 2018 m. sausio 1 d. ir pasibaigusių 2021 m. gruodžio 31 d., grynųjų palūkanų pajamas. Laikinojo solidarumo įnašo bazė už 2024 metus apskaičiuojama nuo einamojo mokėjimo laikotarpio laikinojo solidarumo įnašo subjekto konsoliduotosiose finansinėse ataskaitose, o jeigu konsoliduotųjų finansinių ataskaitų neprivaloma sudaryti, – finansinėse ataskaitose pateikiamų grynųjų palūkanų pajamų, kurios daugiau kaip 50 procentų viršija vidutines 4 finansinių metų, prasidėjusių 2019 m. sausio 1 d. ir pasibaigusių 2022 m. gruodžio 31 d., grynųjų palūkanų pajamas. Grynosiomis palūkanų pajamomis laikomas palūkanų pajamų ir palūkanų išlaidų (sąnaudų), apskaičiuotų pagal taikomus apskaitos standartus ir pateikiamų konsoliduotosiose finansinėse ataskaitose, o jeigu konsoliduotųjų finansinių ataskaitų neprivaloma sudaryti, – finansinėse ataskaitose, skirtumas. </w:t>
                      </w:r>
                    </w:p>
                  </w:sdtContent>
                </w:sdt>
                <w:sdt>
                  <w:sdtPr>
                    <w:alias w:val="4 str. 2 d."/>
                    <w:tag w:val="part_660365f284ca4ff781b069e137a16a65"/>
                    <w:lock w:val="sdtLocked"/>
                    <w:richText/>
                  </w:sdtPr>
                  <w:sdtContent>
                    <w:p>
                      <w:pPr>
                        <w:spacing w:line="276" w:lineRule="auto"/>
                        <w:ind w:firstLine="709"/>
                        <w:jc w:val="both"/>
                        <w:rPr>
                          <w:szCs w:val="24"/>
                        </w:rPr>
                      </w:pPr>
                      <w:sdt>
                        <w:sdtPr>
                          <w:alias w:val="Numeris"/>
                          <w:tag w:val="nr_660365f284ca4ff781b069e137a16a65"/>
                          <w:lock w:val="sdtLocked"/>
                          <w:richText/>
                        </w:sdtPr>
                        <w:sdtContent>
                          <w:r>
                            <w:rPr>
                              <w:szCs w:val="24"/>
                            </w:rPr>
                            <w:t>2</w:t>
                          </w:r>
                        </w:sdtContent>
                      </w:sdt>
                      <w:r>
                        <w:rPr>
                          <w:szCs w:val="24"/>
                        </w:rPr>
                        <w:t>. Jeigu vidutinė šio straipsnio 1 dalyje nurodytų atitinkamų 4 finansinių metų grynųjų palūkanų pajamų suma yra neigiama, apskaičiuojant laikinąjį solidarumo įnašą, apmokestinama grynųjų palūkanų pajamų suma prilyginama 0.</w:t>
                      </w:r>
                    </w:p>
                  </w:sdtContent>
                </w:sdt>
                <w:sdt>
                  <w:sdtPr>
                    <w:alias w:val="4 str. 3 d."/>
                    <w:tag w:val="part_4e9115f0107845a49ef636445f1fe224"/>
                    <w:lock w:val="sdtLocked"/>
                    <w:richText/>
                  </w:sdtPr>
                  <w:sdtContent>
                    <w:p>
                      <w:pPr>
                        <w:spacing w:line="276" w:lineRule="auto"/>
                        <w:ind w:firstLine="709"/>
                        <w:jc w:val="both"/>
                        <w:rPr>
                          <w:szCs w:val="24"/>
                        </w:rPr>
                      </w:pPr>
                      <w:sdt>
                        <w:sdtPr>
                          <w:alias w:val="Numeris"/>
                          <w:tag w:val="nr_4e9115f0107845a49ef636445f1fe224"/>
                          <w:lock w:val="sdtLocked"/>
                          <w:richText/>
                        </w:sdtPr>
                        <w:sdtContent>
                          <w:r>
                            <w:rPr>
                              <w:szCs w:val="24"/>
                            </w:rPr>
                            <w:t>3</w:t>
                          </w:r>
                        </w:sdtContent>
                      </w:sdt>
                      <w:r>
                        <w:rPr>
                          <w:szCs w:val="24"/>
                        </w:rPr>
                        <w:t xml:space="preserve">. Laikinojo solidarumo įnašo bazė sumažinama mokėjimo laikotarpiu laikinojo solidarumo įnašo subjekto Lietuvos Respublikos indėlių ir įsipareigojimų investuotojams draudimo įstatymo nustatyta tvarka sumokėtomis indėlių draudimo įmokomis į Indėlių draudimo fondą ir 2014 m. liepos 15 d. Europos Parlamento ir Tarybos reglamento </w:t>
                      </w:r>
                      <w:fldSimple w:instr="HYPERLINK http://eur-lex.europa.eu/legal-content/LIT/TXT/?uri=CELEX:32014R0806&amp;locale=lt \t _blank">
                        <w:r>
                          <w:rPr>
                            <w:szCs w:val="24"/>
                            <w:u w:val="single"/>
                            <w:color w:val="0000FF" w:themeColor="hyperlink"/>
                          </w:rPr>
                          <w:t>(ES) Nr. 806/2014</w:t>
                        </w:r>
                      </w:fldSimple>
                      <w:r>
                        <w:rPr>
                          <w:szCs w:val="24"/>
                        </w:rPr>
                        <w:t xml:space="preserve">, kuriuo nustatomos kredito įstaigų ir tam tikrų investicinių įmonių pertvarkymo vienodos taisyklės ir vienoda procedūra, kiek tai susiję su bendru pertvarkymo mechanizmu ir Bendru pertvarkymo fondu, ir iš dalies keičiamas Reglamentas </w:t>
                      </w:r>
                      <w:fldSimple w:instr="HYPERLINK http://eur-lex.europa.eu/legal-content/LIT/TXT/?uri=CELEX:32010R1093&amp;locale=lt \t _blank">
                        <w:r>
                          <w:rPr>
                            <w:szCs w:val="24"/>
                            <w:u w:val="single"/>
                            <w:color w:val="0000FF" w:themeColor="hyperlink"/>
                          </w:rPr>
                          <w:t>(ES) Nr. 1093/2010</w:t>
                        </w:r>
                      </w:fldSimple>
                      <w:r>
                        <w:rPr>
                          <w:szCs w:val="24"/>
                        </w:rPr>
                        <w:t>, su visais pakeitimais nustatyta tvarka sumokėtais įnašais į Bendrą pertvarkymo fondą.</w:t>
                      </w:r>
                    </w:p>
                    <w:p>
                      <w:pPr>
                        <w:spacing w:line="276" w:lineRule="auto"/>
                        <w:jc w:val="both"/>
                        <w:rPr>
                          <w:b/>
                          <w:szCs w:val="24"/>
                        </w:rPr>
                      </w:pPr>
                    </w:p>
                  </w:sdtContent>
                </w:sdt>
              </w:sdtContent>
            </w:sdt>
            <w:sdt>
              <w:sdtPr>
                <w:alias w:val="5 str."/>
                <w:tag w:val="part_9efdfebd3a1c41fcb37a086ede8a087b"/>
                <w:lock w:val="sdtLocked"/>
                <w:richText/>
              </w:sdtPr>
              <w:sdtContent>
                <w:p>
                  <w:pPr>
                    <w:spacing w:line="276" w:lineRule="auto"/>
                    <w:ind w:left="480" w:firstLine="229"/>
                    <w:jc w:val="both"/>
                    <w:rPr>
                      <w:b/>
                      <w:szCs w:val="24"/>
                    </w:rPr>
                  </w:pPr>
                  <w:sdt>
                    <w:sdtPr>
                      <w:alias w:val="Numeris"/>
                      <w:tag w:val="nr_9efdfebd3a1c41fcb37a086ede8a087b"/>
                      <w:lock w:val="sdtLocked"/>
                      <w:richText/>
                    </w:sdtPr>
                    <w:sdtContent>
                      <w:r>
                        <w:rPr>
                          <w:b/>
                          <w:szCs w:val="24"/>
                        </w:rPr>
                        <w:t>5</w:t>
                      </w:r>
                    </w:sdtContent>
                  </w:sdt>
                  <w:r>
                    <w:rPr>
                      <w:b/>
                      <w:szCs w:val="24"/>
                    </w:rPr>
                    <w:t xml:space="preserve"> straipsnis. </w:t>
                  </w:r>
                  <w:sdt>
                    <w:sdtPr>
                      <w:alias w:val="Pavadinimas"/>
                      <w:tag w:val="title_9efdfebd3a1c41fcb37a086ede8a087b"/>
                      <w:lock w:val="sdtLocked"/>
                      <w:richText/>
                    </w:sdtPr>
                    <w:sdtContent>
                      <w:r>
                        <w:rPr>
                          <w:b/>
                          <w:szCs w:val="24"/>
                        </w:rPr>
                        <w:t>Laikinojo solidarumo įnašo tarifas</w:t>
                      </w:r>
                    </w:sdtContent>
                  </w:sdt>
                </w:p>
                <w:sdt>
                  <w:sdtPr>
                    <w:alias w:val="5 str. 1 d."/>
                    <w:tag w:val="part_4696f713158147ff87185ef4a5a91b99"/>
                    <w:lock w:val="sdtLocked"/>
                    <w:richText/>
                  </w:sdtPr>
                  <w:sdtContent>
                    <w:p>
                      <w:pPr>
                        <w:spacing w:line="276" w:lineRule="auto"/>
                        <w:ind w:firstLine="709"/>
                        <w:jc w:val="both"/>
                        <w:rPr>
                          <w:szCs w:val="24"/>
                        </w:rPr>
                      </w:pPr>
                      <w:r>
                        <w:rPr>
                          <w:szCs w:val="24"/>
                        </w:rPr>
                        <w:t xml:space="preserve">Laikinojo solidarumo įnašo bazei taikomas 60 procentų tarifas. </w:t>
                      </w:r>
                    </w:p>
                    <w:p>
                      <w:pPr>
                        <w:spacing w:line="276" w:lineRule="auto"/>
                        <w:ind w:firstLine="310"/>
                        <w:jc w:val="both"/>
                        <w:rPr>
                          <w:b/>
                          <w:szCs w:val="24"/>
                        </w:rPr>
                      </w:pPr>
                    </w:p>
                  </w:sdtContent>
                </w:sdt>
              </w:sdtContent>
            </w:sdt>
            <w:sdt>
              <w:sdtPr>
                <w:alias w:val="6 str."/>
                <w:tag w:val="part_937098440caf4ffeaf91f75207ce93a8"/>
                <w:lock w:val="sdtLocked"/>
                <w:richText/>
              </w:sdtPr>
              <w:sdtContent>
                <w:p>
                  <w:pPr>
                    <w:spacing w:line="276" w:lineRule="auto"/>
                    <w:ind w:left="2127" w:hanging="1418"/>
                    <w:jc w:val="both"/>
                    <w:rPr>
                      <w:bCs/>
                      <w:szCs w:val="24"/>
                    </w:rPr>
                  </w:pPr>
                  <w:sdt>
                    <w:sdtPr>
                      <w:alias w:val="Numeris"/>
                      <w:tag w:val="nr_937098440caf4ffeaf91f75207ce93a8"/>
                      <w:lock w:val="sdtLocked"/>
                      <w:richText/>
                    </w:sdtPr>
                    <w:sdtContent>
                      <w:r>
                        <w:rPr>
                          <w:b/>
                          <w:bCs/>
                          <w:szCs w:val="24"/>
                        </w:rPr>
                        <w:t>6</w:t>
                      </w:r>
                    </w:sdtContent>
                  </w:sdt>
                  <w:r>
                    <w:rPr>
                      <w:b/>
                      <w:bCs/>
                      <w:szCs w:val="24"/>
                    </w:rPr>
                    <w:t xml:space="preserve"> straipsnis. </w:t>
                  </w:r>
                  <w:sdt>
                    <w:sdtPr>
                      <w:alias w:val="Pavadinimas"/>
                      <w:tag w:val="title_937098440caf4ffeaf91f75207ce93a8"/>
                      <w:lock w:val="sdtLocked"/>
                      <w:richText/>
                    </w:sdtPr>
                    <w:sdtContent>
                      <w:r>
                        <w:rPr>
                          <w:b/>
                          <w:bCs/>
                          <w:szCs w:val="24"/>
                        </w:rPr>
                        <w:t>Laikinojo solidarumo įnašo apskaičiavimo, deklaravimo ir sumokėjimo tvarka</w:t>
                      </w:r>
                    </w:sdtContent>
                  </w:sdt>
                </w:p>
                <w:sdt>
                  <w:sdtPr>
                    <w:alias w:val="6 str. 1 d."/>
                    <w:tag w:val="part_a0b54940088a43339e3e94170992170a"/>
                    <w:lock w:val="sdtLocked"/>
                    <w:richText/>
                  </w:sdtPr>
                  <w:sdtContent>
                    <w:p>
                      <w:pPr>
                        <w:spacing w:line="276" w:lineRule="auto"/>
                        <w:ind w:firstLine="709"/>
                        <w:jc w:val="both"/>
                        <w:rPr>
                          <w:bCs/>
                          <w:szCs w:val="24"/>
                        </w:rPr>
                      </w:pPr>
                      <w:sdt>
                        <w:sdtPr>
                          <w:alias w:val="Numeris"/>
                          <w:tag w:val="nr_a0b54940088a43339e3e94170992170a"/>
                          <w:lock w:val="sdtLocked"/>
                          <w:richText/>
                        </w:sdtPr>
                        <w:sdtContent>
                          <w:r>
                            <w:rPr>
                              <w:bCs/>
                              <w:szCs w:val="24"/>
                            </w:rPr>
                            <w:t>1</w:t>
                          </w:r>
                        </w:sdtContent>
                      </w:sdt>
                      <w:r>
                        <w:rPr>
                          <w:bCs/>
                          <w:szCs w:val="24"/>
                        </w:rPr>
                        <w:t>. Laikinojo solidarumo įnašo subjektai moka avansinį laikinąjį solidarumo įnašą. Avansinis laikinasis solidarumo įnašas mokamas už mokėjimo laikotarpio ketvirtį. Avansinis laikinasis solidarumo įnašas apskaičiuojamas nuo einamojo mokėjimo laikotarpio ketvirčio laikinojo solidarumo įnašo subjekto grynųjų palūkanų pajamų, kurios daugiau kaip 50 procentų viršija 4 finansinių metų, prasidėjusių 2018 m. sausio 1 d. ir pasibaigusių 2021 m. gruodžio 31 d., kai avansinis laikinasis solidarumo įnašas mokamas už 2023 metus, arba 4 finansinių metų, prasidėjusių 2019 m. sausio 1 d. ir pasibaigusių 2022 m. gruodžio 31 d., kai avansinis laikinasis solidarumo įnašas mokamas už 2024 metus, grynųjų palūkanų pajamų ketvirčių vidurkį, taikant šio įstatymo 5 straipsnyje nustatytą tarifą. Avansinio laikinojo solidarumo įnašo deklaracija pateikiama Valstybinei mokesčių inspekcijai, pasibaigus mokėjimo laikotarpio ketvirčiui, iki kito ketvirčio antro mėnesio paskutinės dienos. Avansinis laikinasis solidarumo įnašas sumokamas į valstybės biudžetą, pasibaigus mokėjimo laikotarpio ketvirčiui, iki kito ketvirčio antro mėnesio paskutinės dienos.</w:t>
                      </w:r>
                    </w:p>
                  </w:sdtContent>
                </w:sdt>
                <w:sdt>
                  <w:sdtPr>
                    <w:alias w:val="6 str. 2 d."/>
                    <w:tag w:val="part_14227bee7fc944499c70503eebbf1d8f"/>
                    <w:lock w:val="sdtLocked"/>
                    <w:richText/>
                  </w:sdtPr>
                  <w:sdtContent>
                    <w:p>
                      <w:pPr>
                        <w:spacing w:line="276" w:lineRule="auto"/>
                        <w:ind w:firstLine="709"/>
                        <w:jc w:val="both"/>
                        <w:rPr>
                          <w:bCs/>
                          <w:szCs w:val="24"/>
                        </w:rPr>
                      </w:pPr>
                      <w:sdt>
                        <w:sdtPr>
                          <w:alias w:val="Numeris"/>
                          <w:tag w:val="nr_14227bee7fc944499c70503eebbf1d8f"/>
                          <w:lock w:val="sdtLocked"/>
                          <w:richText/>
                        </w:sdtPr>
                        <w:sdtContent>
                          <w:r>
                            <w:rPr>
                              <w:bCs/>
                              <w:szCs w:val="24"/>
                            </w:rPr>
                            <w:t>2</w:t>
                          </w:r>
                        </w:sdtContent>
                      </w:sdt>
                      <w:r>
                        <w:rPr>
                          <w:bCs/>
                          <w:szCs w:val="24"/>
                        </w:rPr>
                        <w:t xml:space="preserve">. Metinė laikinojo solidarumo įnašo deklaracija pateikiama Valstybinei mokesčių inspekcijai, pasibaigus mokėjimo laikotarpiui, iki kitų kalendorinių metų šešto mėnesio 15 dienos. Jeigu metinėje laikinojo solidarumo įnašo deklaracijoje nurodyta laikinojo solidarumo įnašo suma viršija sumokėtą to mokėjimo laikotarpio avansinio laikinojo solidarumo įnašo sumą, apskaičiuotas skirtumas sumokamas į valstybės biudžetą, pasibaigus mokėjimo laikotarpiui, iki kitų kalendorinių metų šešto mėnesio 15 dienos. </w:t>
                      </w:r>
                    </w:p>
                  </w:sdtContent>
                </w:sdt>
                <w:sdt>
                  <w:sdtPr>
                    <w:alias w:val="6 str. 3 d."/>
                    <w:tag w:val="part_a56f4bd22851453e88470c597b1beeb9"/>
                    <w:lock w:val="sdtLocked"/>
                    <w:richText/>
                  </w:sdtPr>
                  <w:sdtContent>
                    <w:p>
                      <w:pPr>
                        <w:spacing w:line="276" w:lineRule="auto"/>
                        <w:ind w:firstLine="709"/>
                        <w:jc w:val="both"/>
                        <w:rPr>
                          <w:bCs/>
                          <w:szCs w:val="24"/>
                        </w:rPr>
                      </w:pPr>
                      <w:sdt>
                        <w:sdtPr>
                          <w:alias w:val="Numeris"/>
                          <w:tag w:val="nr_a56f4bd22851453e88470c597b1beeb9"/>
                          <w:lock w:val="sdtLocked"/>
                          <w:richText/>
                        </w:sdtPr>
                        <w:sdtContent>
                          <w:r>
                            <w:rPr>
                              <w:bCs/>
                              <w:szCs w:val="24"/>
                            </w:rPr>
                            <w:t>3</w:t>
                          </w:r>
                        </w:sdtContent>
                      </w:sdt>
                      <w:r>
                        <w:rPr>
                          <w:bCs/>
                          <w:szCs w:val="24"/>
                        </w:rPr>
                        <w:t>. Laikinojo solidarumo įnašo ir avansinio laikinojo solidarumo įnašo deklaracijų formas, jų pildymo ir deklaracijų pateikimo tvarką nustato Valstybinė mokesčių inspekcija prie Lietuvos Respublikos finansų ministerijos.</w:t>
                      </w:r>
                    </w:p>
                    <w:p>
                      <w:pPr>
                        <w:spacing w:line="276" w:lineRule="auto"/>
                        <w:ind w:firstLine="426"/>
                        <w:jc w:val="both"/>
                        <w:rPr>
                          <w:bCs/>
                          <w:szCs w:val="24"/>
                        </w:rPr>
                      </w:pPr>
                    </w:p>
                  </w:sdtContent>
                </w:sdt>
              </w:sdtContent>
            </w:sdt>
            <w:sdt>
              <w:sdtPr>
                <w:alias w:val="7 str."/>
                <w:tag w:val="part_d95c6a666e294a0ebb9b4ce1e9ccd134"/>
                <w:lock w:val="sdtLocked"/>
                <w:richText/>
              </w:sdtPr>
              <w:sdtContent>
                <w:p>
                  <w:pPr>
                    <w:spacing w:line="276" w:lineRule="auto"/>
                    <w:ind w:firstLine="709"/>
                    <w:jc w:val="both"/>
                    <w:rPr>
                      <w:rFonts w:eastAsia="Calibri"/>
                      <w:b/>
                      <w:bCs/>
                      <w:szCs w:val="24"/>
                    </w:rPr>
                  </w:pPr>
                  <w:sdt>
                    <w:sdtPr>
                      <w:alias w:val="Numeris"/>
                      <w:tag w:val="nr_d95c6a666e294a0ebb9b4ce1e9ccd134"/>
                      <w:lock w:val="sdtLocked"/>
                      <w:richText/>
                    </w:sdtPr>
                    <w:sdtContent>
                      <w:r>
                        <w:rPr>
                          <w:rFonts w:eastAsia="Calibri"/>
                          <w:b/>
                          <w:bCs/>
                          <w:szCs w:val="24"/>
                        </w:rPr>
                        <w:t>7</w:t>
                      </w:r>
                    </w:sdtContent>
                  </w:sdt>
                  <w:r>
                    <w:rPr>
                      <w:rFonts w:eastAsia="Calibri"/>
                      <w:b/>
                      <w:bCs/>
                      <w:szCs w:val="24"/>
                    </w:rPr>
                    <w:t> straipsnis. </w:t>
                  </w:r>
                  <w:sdt>
                    <w:sdtPr>
                      <w:alias w:val="Pavadinimas"/>
                      <w:tag w:val="title_d95c6a666e294a0ebb9b4ce1e9ccd134"/>
                      <w:lock w:val="sdtLocked"/>
                      <w:richText/>
                    </w:sdtPr>
                    <w:sdtContent>
                      <w:r>
                        <w:rPr>
                          <w:rFonts w:eastAsia="Calibri"/>
                          <w:b/>
                          <w:szCs w:val="24"/>
                        </w:rPr>
                        <w:t xml:space="preserve">Laikinojo solidarumo įnašo </w:t>
                      </w:r>
                      <w:r>
                        <w:rPr>
                          <w:rFonts w:eastAsia="Calibri"/>
                          <w:b/>
                          <w:bCs/>
                          <w:szCs w:val="24"/>
                        </w:rPr>
                        <w:t>išieškojimas ir grąžinimas</w:t>
                      </w:r>
                    </w:sdtContent>
                  </w:sdt>
                </w:p>
                <w:sdt>
                  <w:sdtPr>
                    <w:alias w:val="7 str. 1 d."/>
                    <w:tag w:val="part_a7fc0370ce6a4372aa32279b96801599"/>
                    <w:lock w:val="sdtLocked"/>
                    <w:richText/>
                  </w:sdtPr>
                  <w:sdtContent>
                    <w:p>
                      <w:pPr>
                        <w:spacing w:line="276" w:lineRule="auto"/>
                        <w:ind w:firstLine="709"/>
                        <w:jc w:val="both"/>
                        <w:rPr>
                          <w:rFonts w:eastAsia="Calibri"/>
                          <w:szCs w:val="24"/>
                        </w:rPr>
                      </w:pPr>
                      <w:r>
                        <w:rPr>
                          <w:rFonts w:eastAsia="Calibri"/>
                          <w:szCs w:val="24"/>
                        </w:rPr>
                        <w:t xml:space="preserve">Laikinojo solidarumo įnašo nepriemoka išieškoma ir šio įnašo permoka grąžinama, </w:t>
                      </w:r>
                      <w:r>
                        <w:rPr>
                          <w:rFonts w:eastAsia="Calibri"/>
                          <w:i/>
                          <w:szCs w:val="24"/>
                        </w:rPr>
                        <w:t>mutatis</w:t>
                      </w:r>
                      <w:r>
                        <w:rPr>
                          <w:rFonts w:eastAsia="Calibri"/>
                          <w:szCs w:val="24"/>
                        </w:rPr>
                        <w:t xml:space="preserve"> </w:t>
                      </w:r>
                      <w:r>
                        <w:rPr>
                          <w:rFonts w:eastAsia="Calibri"/>
                          <w:i/>
                          <w:szCs w:val="24"/>
                        </w:rPr>
                        <w:t>mutandis</w:t>
                      </w:r>
                      <w:r>
                        <w:rPr>
                          <w:rFonts w:eastAsia="Calibri"/>
                          <w:szCs w:val="24"/>
                        </w:rPr>
                        <w:t xml:space="preserve"> taikant Mokesčių administravimo įstatymo nuostatas dėl mokestinės nepriemokos išieškojimo ir mokesčio permokos grąžinimo. </w:t>
                      </w:r>
                    </w:p>
                    <w:p>
                      <w:pPr>
                        <w:spacing w:line="276" w:lineRule="auto"/>
                        <w:jc w:val="both"/>
                        <w:rPr>
                          <w:rFonts w:eastAsia="Calibri"/>
                          <w:szCs w:val="24"/>
                        </w:rPr>
                      </w:pPr>
                    </w:p>
                  </w:sdtContent>
                </w:sdt>
              </w:sdtContent>
            </w:sdt>
            <w:sdt>
              <w:sdtPr>
                <w:alias w:val="8 str."/>
                <w:tag w:val="part_bea120686f2845119f6004fa9109ffa6"/>
                <w:lock w:val="sdtLocked"/>
                <w:richText/>
              </w:sdtPr>
              <w:sdtContent>
                <w:p>
                  <w:pPr>
                    <w:spacing w:line="276" w:lineRule="auto"/>
                    <w:ind w:left="2127" w:hanging="1418"/>
                    <w:jc w:val="both"/>
                    <w:rPr>
                      <w:rFonts w:eastAsia="Calibri"/>
                      <w:szCs w:val="24"/>
                    </w:rPr>
                  </w:pPr>
                  <w:sdt>
                    <w:sdtPr>
                      <w:alias w:val="Numeris"/>
                      <w:tag w:val="nr_bea120686f2845119f6004fa9109ffa6"/>
                      <w:lock w:val="sdtLocked"/>
                      <w:richText/>
                    </w:sdtPr>
                    <w:sdtContent>
                      <w:r>
                        <w:rPr>
                          <w:rFonts w:eastAsia="Calibri"/>
                          <w:b/>
                          <w:szCs w:val="24"/>
                        </w:rPr>
                        <w:t>8</w:t>
                      </w:r>
                    </w:sdtContent>
                  </w:sdt>
                  <w:r>
                    <w:rPr>
                      <w:rFonts w:eastAsia="Calibri"/>
                      <w:b/>
                      <w:szCs w:val="24"/>
                    </w:rPr>
                    <w:t xml:space="preserve"> straipsnis.</w:t>
                  </w:r>
                  <w:r>
                    <w:rPr>
                      <w:rFonts w:eastAsia="Calibri"/>
                      <w:szCs w:val="24"/>
                    </w:rPr>
                    <w:t xml:space="preserve"> </w:t>
                  </w:r>
                  <w:sdt>
                    <w:sdtPr>
                      <w:alias w:val="Pavadinimas"/>
                      <w:tag w:val="title_bea120686f2845119f6004fa9109ffa6"/>
                      <w:lock w:val="sdtLocked"/>
                      <w:richText/>
                    </w:sdtPr>
                    <w:sdtContent>
                      <w:r>
                        <w:rPr>
                          <w:rFonts w:eastAsia="Calibri"/>
                          <w:b/>
                          <w:szCs w:val="24"/>
                        </w:rPr>
                        <w:t>Laikinojo solidarumo įnašo apskaičiavimo, deklaravimo, sumokėjimo kontrolė</w:t>
                      </w:r>
                    </w:sdtContent>
                  </w:sdt>
                </w:p>
                <w:sdt>
                  <w:sdtPr>
                    <w:alias w:val="8 str. 1 d."/>
                    <w:tag w:val="part_20f36dbfe4f746a29fc0cd84c4f979ba"/>
                    <w:lock w:val="sdtLocked"/>
                    <w:richText/>
                  </w:sdtPr>
                  <w:sdtContent>
                    <w:p>
                      <w:pPr>
                        <w:spacing w:line="276" w:lineRule="auto"/>
                        <w:ind w:firstLine="709"/>
                        <w:jc w:val="both"/>
                        <w:rPr>
                          <w:rFonts w:eastAsia="Calibri"/>
                          <w:szCs w:val="24"/>
                        </w:rPr>
                      </w:pPr>
                      <w:sdt>
                        <w:sdtPr>
                          <w:alias w:val="Numeris"/>
                          <w:tag w:val="nr_20f36dbfe4f746a29fc0cd84c4f979ba"/>
                          <w:lock w:val="sdtLocked"/>
                          <w:richText/>
                        </w:sdtPr>
                        <w:sdtContent>
                          <w:r>
                            <w:rPr>
                              <w:rFonts w:eastAsia="Calibri"/>
                              <w:szCs w:val="24"/>
                            </w:rPr>
                            <w:t>1</w:t>
                          </w:r>
                        </w:sdtContent>
                      </w:sdt>
                      <w:r>
                        <w:rPr>
                          <w:rFonts w:eastAsia="Calibri"/>
                          <w:szCs w:val="24"/>
                        </w:rPr>
                        <w:t xml:space="preserve">. Laikinojo solidarumo įnašo apskaičiavimo, deklaravimo ir sumokėjimo teisingumą kontroliuoja Valstybinė mokesčių inspekcija, </w:t>
                      </w:r>
                      <w:r>
                        <w:rPr>
                          <w:rFonts w:eastAsia="Calibri"/>
                          <w:i/>
                          <w:szCs w:val="24"/>
                        </w:rPr>
                        <w:t>mutatis</w:t>
                      </w:r>
                      <w:r>
                        <w:rPr>
                          <w:rFonts w:eastAsia="Calibri"/>
                          <w:szCs w:val="24"/>
                        </w:rPr>
                        <w:t xml:space="preserve"> </w:t>
                      </w:r>
                      <w:r>
                        <w:rPr>
                          <w:rFonts w:eastAsia="Calibri"/>
                          <w:i/>
                          <w:szCs w:val="24"/>
                        </w:rPr>
                        <w:t>mutandis</w:t>
                      </w:r>
                      <w:r>
                        <w:rPr>
                          <w:rFonts w:eastAsia="Calibri"/>
                          <w:szCs w:val="24"/>
                        </w:rPr>
                        <w:t xml:space="preserve"> taikydama Mokesčių administravimo įstatymo nuostatas dėl mokesčių apskaičiavimo, deklaravimo ir sumokėjimo kontrolės. </w:t>
                      </w:r>
                    </w:p>
                  </w:sdtContent>
                </w:sdt>
                <w:sdt>
                  <w:sdtPr>
                    <w:alias w:val="8 str. 2 d."/>
                    <w:tag w:val="part_29efced0234644c09a56d8f5fca07246"/>
                    <w:lock w:val="sdtLocked"/>
                    <w:richText/>
                  </w:sdtPr>
                  <w:sdtContent>
                    <w:p>
                      <w:pPr>
                        <w:spacing w:line="276" w:lineRule="auto"/>
                        <w:ind w:firstLine="709"/>
                        <w:jc w:val="both"/>
                        <w:rPr>
                          <w:rFonts w:eastAsia="Calibri"/>
                          <w:szCs w:val="24"/>
                        </w:rPr>
                      </w:pPr>
                      <w:sdt>
                        <w:sdtPr>
                          <w:alias w:val="Numeris"/>
                          <w:tag w:val="nr_29efced0234644c09a56d8f5fca07246"/>
                          <w:lock w:val="sdtLocked"/>
                          <w:richText/>
                        </w:sdtPr>
                        <w:sdtContent>
                          <w:r>
                            <w:rPr>
                              <w:rFonts w:eastAsia="Calibri"/>
                              <w:szCs w:val="24"/>
                            </w:rPr>
                            <w:t>2</w:t>
                          </w:r>
                        </w:sdtContent>
                      </w:sdt>
                      <w:r>
                        <w:rPr>
                          <w:rFonts w:eastAsia="Calibri"/>
                          <w:szCs w:val="24"/>
                        </w:rPr>
                        <w:t xml:space="preserve">. Valstybinės mokesčių inspekcijos prie Lietuvos Respublikos finansų ministerijos nustatyta ir su Lietuvos banku suderinta tvarka, apimtimi ir terminais Lietuvos bankas teikia Valstybinei mokesčių inspekcijai informaciją, reikalingą laikinajam solidarumo įnašui administruoti. </w:t>
                      </w:r>
                    </w:p>
                    <w:p>
                      <w:pPr>
                        <w:spacing w:line="276" w:lineRule="auto"/>
                        <w:ind w:firstLine="709"/>
                        <w:jc w:val="both"/>
                        <w:rPr>
                          <w:rFonts w:eastAsia="Calibri"/>
                          <w:szCs w:val="24"/>
                        </w:rPr>
                      </w:pPr>
                    </w:p>
                  </w:sdtContent>
                </w:sdt>
              </w:sdtContent>
            </w:sdt>
            <w:sdt>
              <w:sdtPr>
                <w:alias w:val="9 str."/>
                <w:tag w:val="part_5e585f04594341ac9bdc1d4bfceddcad"/>
                <w:lock w:val="sdtLocked"/>
                <w:richText/>
              </w:sdtPr>
              <w:sdtContent>
                <w:p>
                  <w:pPr>
                    <w:spacing w:line="276" w:lineRule="auto"/>
                    <w:ind w:firstLine="709"/>
                    <w:jc w:val="both"/>
                    <w:rPr>
                      <w:rFonts w:eastAsia="Calibri"/>
                      <w:b/>
                      <w:bCs/>
                      <w:szCs w:val="24"/>
                    </w:rPr>
                  </w:pPr>
                  <w:sdt>
                    <w:sdtPr>
                      <w:alias w:val="Numeris"/>
                      <w:tag w:val="nr_5e585f04594341ac9bdc1d4bfceddcad"/>
                      <w:lock w:val="sdtLocked"/>
                      <w:richText/>
                    </w:sdtPr>
                    <w:sdtContent>
                      <w:r>
                        <w:rPr>
                          <w:rFonts w:eastAsia="Calibri"/>
                          <w:b/>
                          <w:bCs/>
                          <w:szCs w:val="24"/>
                        </w:rPr>
                        <w:t>9</w:t>
                      </w:r>
                    </w:sdtContent>
                  </w:sdt>
                  <w:r>
                    <w:rPr>
                      <w:rFonts w:eastAsia="Calibri"/>
                      <w:b/>
                      <w:bCs/>
                      <w:szCs w:val="24"/>
                    </w:rPr>
                    <w:t> straipsnis. </w:t>
                  </w:r>
                  <w:sdt>
                    <w:sdtPr>
                      <w:alias w:val="Pavadinimas"/>
                      <w:tag w:val="title_5e585f04594341ac9bdc1d4bfceddcad"/>
                      <w:lock w:val="sdtLocked"/>
                      <w:richText/>
                    </w:sdtPr>
                    <w:sdtContent>
                      <w:r>
                        <w:rPr>
                          <w:rFonts w:eastAsia="Calibri"/>
                          <w:b/>
                          <w:bCs/>
                          <w:szCs w:val="24"/>
                        </w:rPr>
                        <w:t>Atsakomybė už šio įstatymo pažeidimus</w:t>
                      </w:r>
                    </w:sdtContent>
                  </w:sdt>
                </w:p>
                <w:sdt>
                  <w:sdtPr>
                    <w:alias w:val="9 str. 1 d."/>
                    <w:tag w:val="part_852b797e527e46d690042e7e95c96c11"/>
                    <w:lock w:val="sdtLocked"/>
                    <w:richText/>
                  </w:sdtPr>
                  <w:sdtContent>
                    <w:p>
                      <w:pPr>
                        <w:spacing w:line="276" w:lineRule="auto"/>
                        <w:ind w:firstLine="709"/>
                        <w:jc w:val="both"/>
                        <w:rPr>
                          <w:rFonts w:eastAsia="Calibri"/>
                          <w:szCs w:val="24"/>
                        </w:rPr>
                      </w:pPr>
                      <w:r>
                        <w:rPr>
                          <w:rFonts w:eastAsia="Calibri"/>
                          <w:szCs w:val="24"/>
                        </w:rPr>
                        <w:t>Pažeidus šio įstatymo nuostatas, baudos skiriamos ir delspinigiai skaičiuojami,</w:t>
                      </w:r>
                      <w:r>
                        <w:rPr>
                          <w:rFonts w:eastAsia="Calibri"/>
                          <w:i/>
                          <w:szCs w:val="24"/>
                        </w:rPr>
                        <w:t xml:space="preserve"> mutatis</w:t>
                      </w:r>
                      <w:r>
                        <w:rPr>
                          <w:rFonts w:eastAsia="Calibri"/>
                          <w:szCs w:val="24"/>
                        </w:rPr>
                        <w:t xml:space="preserve"> </w:t>
                      </w:r>
                      <w:r>
                        <w:rPr>
                          <w:rFonts w:eastAsia="Calibri"/>
                          <w:i/>
                          <w:szCs w:val="24"/>
                        </w:rPr>
                        <w:t>mutandis</w:t>
                      </w:r>
                      <w:r>
                        <w:rPr>
                          <w:rFonts w:eastAsia="Calibri"/>
                          <w:szCs w:val="24"/>
                        </w:rPr>
                        <w:t xml:space="preserve"> taikant Mokesčių administravimo įstatymo nuostatas dėl delspinigių skaičiavimo ir baudų skyrimo. </w:t>
                      </w:r>
                    </w:p>
                    <w:p>
                      <w:pPr>
                        <w:spacing w:line="276" w:lineRule="auto"/>
                        <w:jc w:val="both"/>
                        <w:rPr>
                          <w:rFonts w:eastAsia="Calibri"/>
                          <w:szCs w:val="24"/>
                        </w:rPr>
                      </w:pPr>
                    </w:p>
                  </w:sdtContent>
                </w:sdt>
              </w:sdtContent>
            </w:sdt>
            <w:sdt>
              <w:sdtPr>
                <w:alias w:val="10 str."/>
                <w:tag w:val="part_49967bfde5474c5e8046193d61436dca"/>
                <w:lock w:val="sdtLocked"/>
                <w:richText/>
              </w:sdtPr>
              <w:sdtContent>
                <w:p>
                  <w:pPr>
                    <w:spacing w:line="276" w:lineRule="auto"/>
                    <w:ind w:firstLine="709"/>
                    <w:jc w:val="both"/>
                    <w:rPr>
                      <w:rFonts w:eastAsia="Calibri"/>
                      <w:b/>
                      <w:bCs/>
                      <w:szCs w:val="24"/>
                    </w:rPr>
                  </w:pPr>
                  <w:sdt>
                    <w:sdtPr>
                      <w:alias w:val="Numeris"/>
                      <w:tag w:val="nr_49967bfde5474c5e8046193d61436dca"/>
                      <w:lock w:val="sdtLocked"/>
                      <w:richText/>
                    </w:sdtPr>
                    <w:sdtContent>
                      <w:r>
                        <w:rPr>
                          <w:rFonts w:eastAsia="Calibri"/>
                          <w:b/>
                          <w:bCs/>
                          <w:szCs w:val="24"/>
                        </w:rPr>
                        <w:t>10</w:t>
                      </w:r>
                    </w:sdtContent>
                  </w:sdt>
                  <w:r>
                    <w:rPr>
                      <w:rFonts w:eastAsia="Calibri"/>
                      <w:b/>
                      <w:bCs/>
                      <w:szCs w:val="24"/>
                    </w:rPr>
                    <w:t> straipsnis. </w:t>
                  </w:r>
                  <w:sdt>
                    <w:sdtPr>
                      <w:alias w:val="Pavadinimas"/>
                      <w:tag w:val="title_49967bfde5474c5e8046193d61436dca"/>
                      <w:lock w:val="sdtLocked"/>
                      <w:richText/>
                    </w:sdtPr>
                    <w:sdtContent>
                      <w:r>
                        <w:rPr>
                          <w:rFonts w:eastAsia="Calibri"/>
                          <w:b/>
                          <w:bCs/>
                          <w:szCs w:val="24"/>
                        </w:rPr>
                        <w:t>Ginčų nagrinėjimas</w:t>
                      </w:r>
                    </w:sdtContent>
                  </w:sdt>
                </w:p>
                <w:sdt>
                  <w:sdtPr>
                    <w:alias w:val="10 str. 1 d."/>
                    <w:tag w:val="part_b4c64a4136764024885e0da946f32ea5"/>
                    <w:lock w:val="sdtLocked"/>
                    <w:richText/>
                  </w:sdtPr>
                  <w:sdtContent>
                    <w:p>
                      <w:pPr>
                        <w:spacing w:line="276" w:lineRule="auto"/>
                        <w:ind w:firstLine="709"/>
                        <w:jc w:val="both"/>
                        <w:rPr>
                          <w:rFonts w:eastAsia="Calibri"/>
                          <w:szCs w:val="24"/>
                        </w:rPr>
                      </w:pPr>
                      <w:r>
                        <w:rPr>
                          <w:rFonts w:eastAsia="Calibri"/>
                          <w:szCs w:val="24"/>
                        </w:rPr>
                        <w:t xml:space="preserve">Ginčai dėl šio įstatymo taikymo nagrinėjami Lietuvos Respublikos administracinių bylų teisenos įstatymo nustatyta tvarka. </w:t>
                      </w:r>
                    </w:p>
                    <w:p>
                      <w:pPr>
                        <w:spacing w:line="276" w:lineRule="auto"/>
                        <w:jc w:val="both"/>
                        <w:rPr>
                          <w:rFonts w:eastAsia="Calibri"/>
                          <w:szCs w:val="24"/>
                        </w:rPr>
                      </w:pPr>
                    </w:p>
                  </w:sdtContent>
                </w:sdt>
              </w:sdtContent>
            </w:sdt>
            <w:sdt>
              <w:sdtPr>
                <w:alias w:val="11 str."/>
                <w:tag w:val="part_95a530cdc662462aad6be4fdf43f82cb"/>
                <w:lock w:val="sdtLocked"/>
                <w:richText/>
              </w:sdtPr>
              <w:sdtContent>
                <w:p>
                  <w:pPr>
                    <w:spacing w:line="276" w:lineRule="auto"/>
                    <w:ind w:firstLine="709"/>
                    <w:jc w:val="both"/>
                    <w:rPr>
                      <w:rFonts w:eastAsia="Calibri"/>
                      <w:b/>
                      <w:bCs/>
                      <w:szCs w:val="24"/>
                    </w:rPr>
                  </w:pPr>
                  <w:sdt>
                    <w:sdtPr>
                      <w:alias w:val="Numeris"/>
                      <w:tag w:val="nr_95a530cdc662462aad6be4fdf43f82cb"/>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95a530cdc662462aad6be4fdf43f82cb"/>
                      <w:lock w:val="sdtLocked"/>
                      <w:richText/>
                    </w:sdtPr>
                    <w:sdtContent>
                      <w:r>
                        <w:rPr>
                          <w:rFonts w:eastAsia="Calibri"/>
                          <w:b/>
                          <w:bCs/>
                          <w:szCs w:val="24"/>
                        </w:rPr>
                        <w:t>Šio įstatymo nustatyta tvarka surinktų lėšų panaudojimo tikslas</w:t>
                      </w:r>
                    </w:sdtContent>
                  </w:sdt>
                </w:p>
                <w:sdt>
                  <w:sdtPr>
                    <w:alias w:val="11 str. 1 d."/>
                    <w:tag w:val="part_945fdac3b44a483ebf224dd2e7fa5356"/>
                    <w:lock w:val="sdtLocked"/>
                    <w:richText/>
                  </w:sdtPr>
                  <w:sdtContent>
                    <w:p>
                      <w:pPr>
                        <w:spacing w:line="276" w:lineRule="auto"/>
                        <w:ind w:firstLine="709"/>
                        <w:jc w:val="both"/>
                        <w:rPr>
                          <w:rFonts w:eastAsia="Calibri"/>
                          <w:szCs w:val="24"/>
                        </w:rPr>
                      </w:pPr>
                      <w:r>
                        <w:rPr>
                          <w:rFonts w:eastAsia="Calibri"/>
                          <w:szCs w:val="24"/>
                        </w:rPr>
                        <w:t>Įgyvendinant šį įstatymą surinktos lėšos panaudojamos karinio mobilumo ir karinės transporto infrastruktūros projektams finansuoti.</w:t>
                      </w:r>
                    </w:p>
                    <w:p>
                      <w:pPr>
                        <w:spacing w:line="276" w:lineRule="auto"/>
                        <w:jc w:val="both"/>
                        <w:rPr>
                          <w:rFonts w:eastAsia="Calibri"/>
                          <w:szCs w:val="24"/>
                        </w:rPr>
                      </w:pPr>
                    </w:p>
                  </w:sdtContent>
                </w:sdt>
              </w:sdtContent>
            </w:sdt>
          </w:sdtContent>
        </w:sdt>
        <w:sdt>
          <w:sdtPr>
            <w:alias w:val="skyrius"/>
            <w:tag w:val="part_6c2d1edc083e4a3581242b5c3a90f952"/>
            <w:lock w:val="sdtLocked"/>
            <w:richText/>
          </w:sdtPr>
          <w:sdtContent>
            <w:p>
              <w:pPr>
                <w:spacing w:line="276" w:lineRule="auto"/>
                <w:jc w:val="center"/>
                <w:rPr>
                  <w:rFonts w:eastAsia="Calibri"/>
                  <w:b/>
                  <w:bCs/>
                  <w:szCs w:val="24"/>
                </w:rPr>
              </w:pPr>
              <w:sdt>
                <w:sdtPr>
                  <w:alias w:val="Numeris"/>
                  <w:tag w:val="nr_6c2d1edc083e4a3581242b5c3a90f952"/>
                  <w:lock w:val="sdtLocked"/>
                  <w:richText/>
                </w:sdtPr>
                <w:sdtContent>
                  <w:r>
                    <w:rPr>
                      <w:rFonts w:eastAsia="Calibri"/>
                      <w:b/>
                      <w:bCs/>
                      <w:szCs w:val="24"/>
                    </w:rPr>
                    <w:t>III</w:t>
                  </w:r>
                </w:sdtContent>
              </w:sdt>
              <w:r>
                <w:rPr>
                  <w:rFonts w:eastAsia="Calibri"/>
                  <w:b/>
                  <w:bCs/>
                  <w:szCs w:val="24"/>
                </w:rPr>
                <w:t xml:space="preserve"> SKYRIUS</w:t>
              </w:r>
            </w:p>
            <w:p>
              <w:pPr>
                <w:spacing w:line="276" w:lineRule="auto"/>
                <w:jc w:val="center"/>
                <w:rPr>
                  <w:rFonts w:eastAsia="Calibri"/>
                  <w:b/>
                  <w:bCs/>
                  <w:szCs w:val="24"/>
                </w:rPr>
              </w:pPr>
              <w:sdt>
                <w:sdtPr>
                  <w:alias w:val="Pavadinimas"/>
                  <w:tag w:val="title_6c2d1edc083e4a3581242b5c3a90f952"/>
                  <w:lock w:val="sdtLocked"/>
                  <w:richText/>
                </w:sdtPr>
                <w:sdtContent>
                  <w:r>
                    <w:rPr>
                      <w:rFonts w:eastAsia="Calibri"/>
                      <w:b/>
                      <w:bCs/>
                      <w:szCs w:val="24"/>
                    </w:rPr>
                    <w:t>BAIGIAMOSIOS NUOSTATOS</w:t>
                  </w:r>
                </w:sdtContent>
              </w:sdt>
            </w:p>
            <w:p>
              <w:pPr>
                <w:widowControl w:val="0"/>
                <w:jc w:val="both"/>
                <w:rPr>
                  <w:szCs w:val="24"/>
                  <w:lang w:eastAsia="lt-LT"/>
                </w:rPr>
              </w:pPr>
            </w:p>
            <w:sdt>
              <w:sdtPr>
                <w:alias w:val="12 str."/>
                <w:tag w:val="part_6409591aed394192ae6ffc81b6b5252c"/>
                <w:lock w:val="sdtLocked"/>
                <w:richText/>
              </w:sdtPr>
              <w:sdtContent>
                <w:p>
                  <w:pPr>
                    <w:spacing w:line="276" w:lineRule="auto"/>
                    <w:ind w:firstLine="851"/>
                    <w:jc w:val="both"/>
                    <w:rPr>
                      <w:b/>
                      <w:szCs w:val="24"/>
                    </w:rPr>
                  </w:pPr>
                  <w:sdt>
                    <w:sdtPr>
                      <w:alias w:val="Numeris"/>
                      <w:tag w:val="nr_6409591aed394192ae6ffc81b6b5252c"/>
                      <w:lock w:val="sdtLocked"/>
                      <w:richText/>
                    </w:sdtPr>
                    <w:sdtContent>
                      <w:r>
                        <w:rPr>
                          <w:b/>
                          <w:szCs w:val="24"/>
                          <w:lang w:val="en-GB"/>
                        </w:rPr>
                        <w:t>12</w:t>
                      </w:r>
                    </w:sdtContent>
                  </w:sdt>
                  <w:r>
                    <w:rPr>
                      <w:b/>
                      <w:szCs w:val="24"/>
                    </w:rPr>
                    <w:t xml:space="preserve"> straipsnis. </w:t>
                  </w:r>
                  <w:sdt>
                    <w:sdtPr>
                      <w:alias w:val="Pavadinimas"/>
                      <w:tag w:val="title_6409591aed394192ae6ffc81b6b5252c"/>
                      <w:lock w:val="sdtLocked"/>
                      <w:richText/>
                    </w:sdtPr>
                    <w:sdtContent>
                      <w:r>
                        <w:rPr>
                          <w:b/>
                          <w:szCs w:val="24"/>
                        </w:rPr>
                        <w:t>Įstatymo galiojimas, įgyvendinimas ir taikymas</w:t>
                      </w:r>
                    </w:sdtContent>
                  </w:sdt>
                </w:p>
                <w:sdt>
                  <w:sdtPr>
                    <w:alias w:val="12 str. 1 d."/>
                    <w:tag w:val="part_2dc9f9a29ca74c5dbcdf4c19bc321f1f"/>
                    <w:lock w:val="sdtLocked"/>
                    <w:richText/>
                  </w:sdtPr>
                  <w:sdtContent>
                    <w:p>
                      <w:pPr>
                        <w:spacing w:line="276" w:lineRule="auto"/>
                        <w:ind w:firstLine="851"/>
                        <w:jc w:val="both"/>
                        <w:rPr>
                          <w:szCs w:val="24"/>
                          <w:lang w:val="en-GB"/>
                        </w:rPr>
                      </w:pPr>
                      <w:sdt>
                        <w:sdtPr>
                          <w:alias w:val="Numeris"/>
                          <w:tag w:val="nr_2dc9f9a29ca74c5dbcdf4c19bc321f1f"/>
                          <w:lock w:val="sdtLocked"/>
                          <w:richText/>
                        </w:sdtPr>
                        <w:sdtContent>
                          <w:r>
                            <w:rPr>
                              <w:rFonts w:eastAsia="Calibri"/>
                              <w:szCs w:val="24"/>
                            </w:rPr>
                            <w:t>1</w:t>
                          </w:r>
                        </w:sdtContent>
                      </w:sdt>
                      <w:r>
                        <w:rPr>
                          <w:rFonts w:eastAsia="Calibri"/>
                          <w:szCs w:val="24"/>
                        </w:rPr>
                        <w:t>. Šis įstatymas baigiamas taikyti apskaičiuojant ir mokant laikinąjį solidarumo įnašą už mokėjimo laikotarpį, kuris baigiasi 2024 m. gruodžio 31 d.</w:t>
                      </w:r>
                    </w:p>
                  </w:sdtContent>
                </w:sdt>
                <w:sdt>
                  <w:sdtPr>
                    <w:alias w:val="12 str. 2 d."/>
                    <w:tag w:val="part_88a7f8a416cd4e40a151270b9e5cb768"/>
                    <w:lock w:val="sdtLocked"/>
                    <w:richText/>
                  </w:sdtPr>
                  <w:sdtContent>
                    <w:p>
                      <w:pPr>
                        <w:spacing w:line="276" w:lineRule="auto"/>
                        <w:ind w:firstLine="851"/>
                        <w:jc w:val="both"/>
                        <w:rPr>
                          <w:szCs w:val="24"/>
                        </w:rPr>
                      </w:pPr>
                      <w:sdt>
                        <w:sdtPr>
                          <w:alias w:val="Numeris"/>
                          <w:tag w:val="nr_88a7f8a416cd4e40a151270b9e5cb768"/>
                          <w:lock w:val="sdtLocked"/>
                          <w:richText/>
                        </w:sdtPr>
                        <w:sdtContent>
                          <w:r>
                            <w:rPr>
                              <w:szCs w:val="24"/>
                            </w:rPr>
                            <w:t>2</w:t>
                          </w:r>
                        </w:sdtContent>
                      </w:sdt>
                      <w:r>
                        <w:rPr>
                          <w:szCs w:val="24"/>
                        </w:rPr>
                        <w:t xml:space="preserve">. Avansinis laikinasis solidarumo įnašas už 2023 metų II ketvirtį pagal šio įstatymo 6 straipsnio 1 dalį apskaičiuojamas nuo grynųjų palūkanų pajamų, gautų nuo šio įstatymo įsigaliojimo dienos iki 2023 metų II ketvirčio pabaigos, jas lyginant su šiam laikotarpiui proporcingu laikotarpiu, taikomu pagal šio įstatymo 6 straipsnio 1 dalį apskaičiuojant laikinojo solidarumo įnašą už 2023 metus. Ši dalis </w:t>
                      </w:r>
                      <w:r>
                        <w:rPr>
                          <w:i/>
                          <w:iCs/>
                          <w:szCs w:val="24"/>
                        </w:rPr>
                        <w:t>mutatis mutandis</w:t>
                      </w:r>
                      <w:r>
                        <w:rPr>
                          <w:szCs w:val="24"/>
                        </w:rPr>
                        <w:t xml:space="preserve"> taikoma ir apskaičiuojant laikinojo solidarumo įnašo bazę pagal šio įstatymo 4 straipsnio 1 dalį už 2023 metų mokėjimo laikotarpį.</w:t>
                      </w:r>
                    </w:p>
                  </w:sdtContent>
                </w:sdt>
                <w:sdt>
                  <w:sdtPr>
                    <w:alias w:val="12 str. 3 d."/>
                    <w:tag w:val="part_0d22d004635249e099411c14b89b0648"/>
                    <w:lock w:val="sdtLocked"/>
                    <w:richText/>
                  </w:sdtPr>
                  <w:sdtContent>
                    <w:p>
                      <w:pPr>
                        <w:spacing w:line="276" w:lineRule="auto"/>
                        <w:ind w:firstLine="851"/>
                        <w:jc w:val="both"/>
                        <w:rPr>
                          <w:szCs w:val="24"/>
                        </w:rPr>
                      </w:pPr>
                      <w:sdt>
                        <w:sdtPr>
                          <w:alias w:val="Numeris"/>
                          <w:tag w:val="nr_0d22d004635249e099411c14b89b0648"/>
                          <w:lock w:val="sdtLocked"/>
                          <w:richText/>
                        </w:sdtPr>
                        <w:sdtContent>
                          <w:r>
                            <w:rPr>
                              <w:szCs w:val="24"/>
                              <w:lang w:val="en-GB"/>
                            </w:rPr>
                            <w:t>3</w:t>
                          </w:r>
                        </w:sdtContent>
                      </w:sdt>
                      <w:r>
                        <w:rPr>
                          <w:szCs w:val="24"/>
                          <w:lang w:val="en-GB"/>
                        </w:rPr>
                        <w:t>.</w:t>
                      </w:r>
                      <w:r>
                        <w:rPr>
                          <w:szCs w:val="24"/>
                        </w:rPr>
                        <w:t xml:space="preserve"> Valstybinės mokesčių inspekcijos prie Lietuvos Respublikos finansų ministerijos viršininkas per 2 savaites nuo šio įstatymo įsigaliojimo dienos priima šio įstatymo įgyvendinamuosius teisės aktus.</w:t>
                      </w:r>
                    </w:p>
                  </w:sdtContent>
                </w:sdt>
                <w:sdt>
                  <w:sdtPr>
                    <w:alias w:val="12 str. 4 d."/>
                    <w:tag w:val="part_84d6c77eec4e4f43a6181489478dbd8c"/>
                    <w:lock w:val="sdtLocked"/>
                    <w:richText/>
                  </w:sdtPr>
                  <w:sdtContent>
                    <w:p>
                      <w:pPr>
                        <w:spacing w:line="276" w:lineRule="auto"/>
                        <w:ind w:firstLine="851"/>
                        <w:jc w:val="both"/>
                        <w:rPr>
                          <w:szCs w:val="24"/>
                        </w:rPr>
                      </w:pPr>
                      <w:sdt>
                        <w:sdtPr>
                          <w:alias w:val="Numeris"/>
                          <w:tag w:val="nr_84d6c77eec4e4f43a6181489478dbd8c"/>
                          <w:lock w:val="sdtLocked"/>
                          <w:richText/>
                        </w:sdtPr>
                        <w:sdtContent>
                          <w:r>
                            <w:rPr>
                              <w:szCs w:val="24"/>
                            </w:rPr>
                            <w:t>4</w:t>
                          </w:r>
                        </w:sdtContent>
                      </w:sdt>
                      <w:r>
                        <w:rPr>
                          <w:szCs w:val="24"/>
                        </w:rPr>
                        <w:t xml:space="preserve">. Šis įstatymas galioja iki 2025 m. birželio 15 d. </w:t>
                      </w:r>
                    </w:p>
                  </w:sdtContent>
                </w:sdt>
                <w:sdt>
                  <w:sdtPr>
                    <w:alias w:val="12 str. 5 d."/>
                    <w:tag w:val="part_d781616bb77947b387a7aa1731ce0859"/>
                    <w:lock w:val="sdtLocked"/>
                    <w:richText/>
                  </w:sdtPr>
                  <w:sdtContent>
                    <w:p>
                      <w:pPr>
                        <w:spacing w:line="276" w:lineRule="auto"/>
                        <w:ind w:firstLine="851"/>
                        <w:jc w:val="both"/>
                        <w:rPr>
                          <w:szCs w:val="24"/>
                        </w:rPr>
                      </w:pPr>
                      <w:sdt>
                        <w:sdtPr>
                          <w:alias w:val="Numeris"/>
                          <w:tag w:val="nr_d781616bb77947b387a7aa1731ce0859"/>
                          <w:lock w:val="sdtLocked"/>
                          <w:richText/>
                        </w:sdtPr>
                        <w:sdtContent>
                          <w:r>
                            <w:rPr>
                              <w:szCs w:val="24"/>
                            </w:rPr>
                            <w:t>5</w:t>
                          </w:r>
                        </w:sdtContent>
                      </w:sdt>
                      <w:r>
                        <w:rPr>
                          <w:szCs w:val="24"/>
                        </w:rPr>
                        <w:t>. Iki šio įstatymo galiojimo pabaigos pradėtos, bet nebaigtos laikinojo solidarumo įnašo administravimo procedūros baigiamos administruoti pagal šio įstatymo nuostatas.</w:t>
                      </w:r>
                    </w:p>
                    <w:p>
                      <w:pPr>
                        <w:spacing w:line="276" w:lineRule="auto"/>
                        <w:ind w:firstLine="720"/>
                        <w:jc w:val="both"/>
                        <w:rPr>
                          <w:szCs w:val="24"/>
                        </w:rPr>
                      </w:pPr>
                    </w:p>
                    <w:p>
                      <w:pPr>
                        <w:spacing w:line="276" w:lineRule="auto"/>
                        <w:jc w:val="both"/>
                        <w:rPr>
                          <w:szCs w:val="24"/>
                        </w:rPr>
                      </w:pPr>
                    </w:p>
                    <w:p>
                      <w:pPr>
                        <w:spacing w:line="276" w:lineRule="auto"/>
                        <w:jc w:val="both"/>
                        <w:rPr>
                          <w:szCs w:val="24"/>
                        </w:rPr>
                      </w:pPr>
                    </w:p>
                    <w:p>
                      <w:pPr>
                        <w:rPr>
                          <w:sz w:val="18"/>
                          <w:szCs w:val="18"/>
                        </w:rPr>
                      </w:pPr>
                    </w:p>
                  </w:sdtContent>
                </w:sdt>
              </w:sdtContent>
            </w:sdt>
          </w:sdtContent>
        </w:sdt>
        <w:sdt>
          <w:sdtPr>
            <w:alias w:val="signatura"/>
            <w:tag w:val="part_f636254b2664454b949df8f80bf0ae55"/>
            <w:lock w:val="sdtLocked"/>
            <w:richText/>
          </w:sdtPr>
          <w:sdtContent>
            <w:p>
              <w:pPr>
                <w:spacing w:line="276" w:lineRule="auto"/>
                <w:ind w:firstLine="709"/>
                <w:jc w:val="both"/>
                <w:rPr>
                  <w:i/>
                  <w:szCs w:val="24"/>
                </w:rPr>
              </w:pPr>
              <w:r>
                <w:rPr>
                  <w:i/>
                  <w:szCs w:val="24"/>
                </w:rPr>
                <w:t>Skelbiu šį Lietuvos Respublikos Seimo priimtą įstatymą.</w:t>
              </w:r>
            </w:p>
            <w:p>
              <w:pPr>
                <w:rPr>
                  <w:sz w:val="18"/>
                  <w:szCs w:val="18"/>
                </w:rPr>
              </w:pPr>
            </w:p>
            <w:p>
              <w:pPr>
                <w:spacing w:line="276" w:lineRule="auto"/>
                <w:jc w:val="both"/>
                <w:rPr>
                  <w:szCs w:val="24"/>
                </w:rPr>
              </w:pPr>
            </w:p>
            <w:p>
              <w:pPr>
                <w:rPr>
                  <w:sz w:val="18"/>
                  <w:szCs w:val="18"/>
                </w:rPr>
              </w:pPr>
            </w:p>
            <w:p>
              <w:pPr>
                <w:spacing w:line="276" w:lineRule="auto"/>
                <w:jc w:val="both"/>
                <w:rPr>
                  <w:szCs w:val="24"/>
                </w:rPr>
              </w:pPr>
              <w:r>
                <w:rPr>
                  <w:szCs w:val="24"/>
                </w:rP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8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AC6883-68EA-46AC-A23D-8B2E82F839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865290">
      <w:bodyDiv w:val="1"/>
      <w:marLeft w:val="0"/>
      <w:marRight w:val="0"/>
      <w:marTop w:val="0"/>
      <w:marBottom w:val="0"/>
      <w:divBdr>
        <w:top w:val="none" w:sz="0" w:space="0" w:color="auto"/>
        <w:left w:val="none" w:sz="0" w:space="0" w:color="auto"/>
        <w:bottom w:val="none" w:sz="0" w:space="0" w:color="auto"/>
        <w:right w:val="none" w:sz="0" w:space="0" w:color="auto"/>
      </w:divBdr>
      <w:divsChild>
        <w:div w:id="672924689">
          <w:marLeft w:val="0"/>
          <w:marRight w:val="0"/>
          <w:marTop w:val="0"/>
          <w:marBottom w:val="0"/>
          <w:divBdr>
            <w:top w:val="none" w:sz="0" w:space="0" w:color="auto"/>
            <w:left w:val="none" w:sz="0" w:space="0" w:color="auto"/>
            <w:bottom w:val="none" w:sz="0" w:space="0" w:color="auto"/>
            <w:right w:val="none" w:sz="0" w:space="0" w:color="auto"/>
          </w:divBdr>
        </w:div>
        <w:div w:id="454177780">
          <w:marLeft w:val="0"/>
          <w:marRight w:val="0"/>
          <w:marTop w:val="0"/>
          <w:marBottom w:val="0"/>
          <w:divBdr>
            <w:top w:val="none" w:sz="0" w:space="0" w:color="auto"/>
            <w:left w:val="none" w:sz="0" w:space="0" w:color="auto"/>
            <w:bottom w:val="none" w:sz="0" w:space="0" w:color="auto"/>
            <w:right w:val="none" w:sz="0" w:space="0" w:color="auto"/>
          </w:divBdr>
        </w:div>
        <w:div w:id="754934631">
          <w:marLeft w:val="0"/>
          <w:marRight w:val="0"/>
          <w:marTop w:val="0"/>
          <w:marBottom w:val="0"/>
          <w:divBdr>
            <w:top w:val="none" w:sz="0" w:space="0" w:color="auto"/>
            <w:left w:val="none" w:sz="0" w:space="0" w:color="auto"/>
            <w:bottom w:val="none" w:sz="0" w:space="0" w:color="auto"/>
            <w:right w:val="none" w:sz="0" w:space="0" w:color="auto"/>
          </w:divBdr>
        </w:div>
      </w:divsChild>
    </w:div>
    <w:div w:id="357049037">
      <w:bodyDiv w:val="1"/>
      <w:marLeft w:val="0"/>
      <w:marRight w:val="0"/>
      <w:marTop w:val="0"/>
      <w:marBottom w:val="0"/>
      <w:divBdr>
        <w:top w:val="none" w:sz="0" w:space="0" w:color="auto"/>
        <w:left w:val="none" w:sz="0" w:space="0" w:color="auto"/>
        <w:bottom w:val="none" w:sz="0" w:space="0" w:color="auto"/>
        <w:right w:val="none" w:sz="0" w:space="0" w:color="auto"/>
      </w:divBdr>
    </w:div>
    <w:div w:id="507407241">
      <w:bodyDiv w:val="1"/>
      <w:marLeft w:val="0"/>
      <w:marRight w:val="0"/>
      <w:marTop w:val="0"/>
      <w:marBottom w:val="0"/>
      <w:divBdr>
        <w:top w:val="none" w:sz="0" w:space="0" w:color="auto"/>
        <w:left w:val="none" w:sz="0" w:space="0" w:color="auto"/>
        <w:bottom w:val="none" w:sz="0" w:space="0" w:color="auto"/>
        <w:right w:val="none" w:sz="0" w:space="0" w:color="auto"/>
      </w:divBdr>
    </w:div>
    <w:div w:id="527066611">
      <w:bodyDiv w:val="1"/>
      <w:marLeft w:val="0"/>
      <w:marRight w:val="0"/>
      <w:marTop w:val="0"/>
      <w:marBottom w:val="0"/>
      <w:divBdr>
        <w:top w:val="none" w:sz="0" w:space="0" w:color="auto"/>
        <w:left w:val="none" w:sz="0" w:space="0" w:color="auto"/>
        <w:bottom w:val="none" w:sz="0" w:space="0" w:color="auto"/>
        <w:right w:val="none" w:sz="0" w:space="0" w:color="auto"/>
      </w:divBdr>
    </w:div>
    <w:div w:id="813329615">
      <w:bodyDiv w:val="1"/>
      <w:marLeft w:val="0"/>
      <w:marRight w:val="0"/>
      <w:marTop w:val="0"/>
      <w:marBottom w:val="0"/>
      <w:divBdr>
        <w:top w:val="none" w:sz="0" w:space="0" w:color="auto"/>
        <w:left w:val="none" w:sz="0" w:space="0" w:color="auto"/>
        <w:bottom w:val="none" w:sz="0" w:space="0" w:color="auto"/>
        <w:right w:val="none" w:sz="0" w:space="0" w:color="auto"/>
      </w:divBdr>
    </w:div>
    <w:div w:id="839740644">
      <w:bodyDiv w:val="1"/>
      <w:marLeft w:val="0"/>
      <w:marRight w:val="0"/>
      <w:marTop w:val="0"/>
      <w:marBottom w:val="0"/>
      <w:divBdr>
        <w:top w:val="none" w:sz="0" w:space="0" w:color="auto"/>
        <w:left w:val="none" w:sz="0" w:space="0" w:color="auto"/>
        <w:bottom w:val="none" w:sz="0" w:space="0" w:color="auto"/>
        <w:right w:val="none" w:sz="0" w:space="0" w:color="auto"/>
      </w:divBdr>
    </w:div>
    <w:div w:id="984356582">
      <w:bodyDiv w:val="1"/>
      <w:marLeft w:val="0"/>
      <w:marRight w:val="0"/>
      <w:marTop w:val="0"/>
      <w:marBottom w:val="0"/>
      <w:divBdr>
        <w:top w:val="none" w:sz="0" w:space="0" w:color="auto"/>
        <w:left w:val="none" w:sz="0" w:space="0" w:color="auto"/>
        <w:bottom w:val="none" w:sz="0" w:space="0" w:color="auto"/>
        <w:right w:val="none" w:sz="0" w:space="0" w:color="auto"/>
      </w:divBdr>
    </w:div>
    <w:div w:id="1166940077">
      <w:bodyDiv w:val="1"/>
      <w:marLeft w:val="0"/>
      <w:marRight w:val="0"/>
      <w:marTop w:val="0"/>
      <w:marBottom w:val="0"/>
      <w:divBdr>
        <w:top w:val="none" w:sz="0" w:space="0" w:color="auto"/>
        <w:left w:val="none" w:sz="0" w:space="0" w:color="auto"/>
        <w:bottom w:val="none" w:sz="0" w:space="0" w:color="auto"/>
        <w:right w:val="none" w:sz="0" w:space="0" w:color="auto"/>
      </w:divBdr>
    </w:div>
    <w:div w:id="1893418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dc83f355564bea822e2fe2234680ee" PartId="2a7136e3c08449449e3a713583515b8e">
    <Part Type="preambule" DocPartId="b3267c63e1984664957b8186b59a29fd" PartId="b04411eec50e46fdbdcce9b3473e528b"/>
    <Part Type="pastraipa" DocPartId="c6037d9df6fb47eca8006f15b029c065" PartId="4a0942dafc8d4636801d77cdc1a4217c"/>
    <Part Type="skyrius" Nr="1" Title="BENDROSIOS NUOSTATOS" DocPartId="cf5e978e6ac9449a9d64c6cf55418756" PartId="5f7ecb7169ee4d50b05b7569297c4748">
      <Part Type="straipsnis" Nr="1" Abbr="1 str." Title="Įstatymo paskirtis ir taikymo sritis" DocPartId="c0657fb2096046a4be003e60c3f52ab1" PartId="e2f384ad83bd4ffdb0c66080c91363e5">
        <Part Type="strDalis" Nr="1" Abbr="1 str. 1 d." DocPartId="7c774f992527432da40c83bae737fe68" PartId="21171ca6a5a34d45bd4876050b076e72"/>
        <Part Type="strDalis" Nr="2" Abbr="1 str. 2 d." DocPartId="17f0c3aaaa8342be809170a7dd65d716" PartId="80120a5e11fe472691320b3c165211fa">
          <Part Type="strPunktas" Nr="1" Abbr="1 str. 2 d. 1 p." DocPartId="f5e85493bc52430a8416a53a082abbda" PartId="5538e0ab7d844748b01e68b5f271328d"/>
          <Part Type="strPunktas" Nr="2" Abbr="1 str. 2 d. 2 p." DocPartId="a0ed255ba0c448fe9c4e8fbb5f936c2d" PartId="605f82b1478348c79f64cd612b057294"/>
          <Part Type="strPunktas" Nr="3" Abbr="1 str. 2 d. 3 p." DocPartId="efe2e73145af455e812b422ea7259e7f" PartId="7bbfd3b9779a49b3a64416dbdd9acea3"/>
        </Part>
      </Part>
      <Part Type="straipsnis" Nr="2" Abbr="2 str." Title="Laikinojo solidarumo įnašo subjektai" DocPartId="e68449540e0b4662889cc94c8539ab41" PartId="c30b7a8dae4c4d6094b65aa93e0316c1">
        <Part Type="strDalis" Nr="1" Abbr="2 str. 1 d." DocPartId="416352b2253a47bfb876e8b0c7f83780" PartId="4973068860774d8a87153da41742029a"/>
        <Part Type="strDalis" Nr="2" Abbr="2 str. 2 d." DocPartId="917ec764081849eb8b1b9b04207bf111" PartId="83987ded8fbc463a96a7306645d80123"/>
        <Part Type="strDalis" Nr="3" Abbr="2 str. 3 d." DocPartId="d7874844b29e467e8f77b08d6cc6ae19" PartId="bfdca37f7f6c4e679ff87e5e99a31f1c"/>
      </Part>
      <Part Type="straipsnis" Nr="3" Abbr="3 str." Title="Laikinojo solidarumo įnašo mokėjimo laikotarpis" DocPartId="ab62612ba10c4507b6cb7b714d16aa03" PartId="33573e15f2734783b7d30a8e148fa371">
        <Part Type="strDalis" Nr="1" Abbr="3 str. 1 d." DocPartId="a382497656d24bab9807e2d664ac110c" PartId="3fe2a707e51f49c6aa3a4e1841e71d2b"/>
      </Part>
    </Part>
    <Part Type="skyrius" Nr="2" Title="LAIKINOJO SOLIDARUMO ĮNAŠO APSKAIČIAVIMAS, SUMOKĖJIMAS IR IŠIEŠKOJIMAS" DocPartId="04f57c29f55d487fbaf47a163a60245f" PartId="fea48a64b7ee45e3b8bb17627d7892b2">
      <Part Type="straipsnis" Nr="4" Abbr="4 str." Title="Laikinojo solidarumo įnašo bazės apskaičiavimas" DocPartId="5830406303d54e1cb7ba26a7305a2cab" PartId="4832fb081484464eb21d3b91ad0829cf">
        <Part Type="strDalis" Nr="1" Abbr="4 str. 1 d." DocPartId="debd8629d1d34109aacb2103eb588f2f" PartId="715ea3ad849844f1851fa874b586e731"/>
        <Part Type="strDalis" Nr="2" Abbr="4 str. 2 d." DocPartId="011727af6f2d48a3801a1e72dd385eba" PartId="660365f284ca4ff781b069e137a16a65"/>
        <Part Type="strDalis" Nr="3" Abbr="4 str. 3 d." DocPartId="50f30784b1494f6f8a609ea82d88a4a3" PartId="4e9115f0107845a49ef636445f1fe224"/>
      </Part>
      <Part Type="straipsnis" Nr="5" Abbr="5 str." Title="Laikinojo solidarumo įnašo tarifas" DocPartId="34e0239ab6d645198c1b2af8632767b4" PartId="9efdfebd3a1c41fcb37a086ede8a087b">
        <Part Type="strDalis" Nr="1" Abbr="5 str. 1 d." DocPartId="ac0ab87fe8d749b4a110067b613cbb9a" PartId="4696f713158147ff87185ef4a5a91b99"/>
      </Part>
      <Part Type="straipsnis" Nr="6" Abbr="6 str." Title="Laikinojo solidarumo įnašo apskaičiavimo, deklaravimo ir sumokėjimo tvarka" DocPartId="c3e4f53682b04ea2863e45a8e2978cbf" PartId="937098440caf4ffeaf91f75207ce93a8">
        <Part Type="strDalis" Nr="1" Abbr="6 str. 1 d." DocPartId="3296d029c65c49aaa141332cf46cf194" PartId="a0b54940088a43339e3e94170992170a"/>
        <Part Type="strDalis" Nr="2" Abbr="6 str. 2 d." DocPartId="fb18296f1e86491cbf66a7448819f22d" PartId="14227bee7fc944499c70503eebbf1d8f"/>
        <Part Type="strDalis" Nr="3" Abbr="6 str. 3 d." DocPartId="797e3e25387c413b9ed9e1aae2580e12" PartId="a56f4bd22851453e88470c597b1beeb9"/>
      </Part>
      <Part Type="straipsnis" Nr="7" Abbr="7 str." Title="Laikinojo solidarumo įnašo išieškojimas ir grąžinimas" DocPartId="f2e55a38e7dc4d9e986c71a80fbc86b4" PartId="d95c6a666e294a0ebb9b4ce1e9ccd134">
        <Part Type="strDalis" Nr="1" Abbr="7 str. 1 d." DocPartId="60b5140be41b4d389d41c15b2959907f" PartId="a7fc0370ce6a4372aa32279b96801599"/>
      </Part>
      <Part Type="straipsnis" Nr="8" Abbr="8 str." Title="Laikinojo solidarumo įnašo apskaičiavimo, deklaravimo, sumokėjimo kontrolė" DocPartId="23aa32c8452d45e2b605c817de90326c" PartId="bea120686f2845119f6004fa9109ffa6">
        <Part Type="strDalis" Nr="1" Abbr="8 str. 1 d." DocPartId="8a07b00ca32540b88292d6930ffad0c4" PartId="20f36dbfe4f746a29fc0cd84c4f979ba"/>
        <Part Type="strDalis" Nr="2" Abbr="8 str. 2 d." DocPartId="04b1cb5613a645428408a2e7737c1433" PartId="29efced0234644c09a56d8f5fca07246"/>
      </Part>
      <Part Type="straipsnis" Nr="9" Abbr="9 str." Title="Atsakomybė už šio įstatymo pažeidimus" DocPartId="87f8cebcf4f24611a3a38ae0182e0caa" PartId="5e585f04594341ac9bdc1d4bfceddcad">
        <Part Type="strDalis" Nr="1" Abbr="9 str. 1 d." DocPartId="1e0d211d43c04e0997eb37942eb62511" PartId="852b797e527e46d690042e7e95c96c11"/>
      </Part>
      <Part Type="straipsnis" Nr="10" Abbr="10 str." Title="Ginčų nagrinėjimas" DocPartId="7607fbe4211b4cf3b4ce42135fc7e744" PartId="49967bfde5474c5e8046193d61436dca">
        <Part Type="strDalis" Nr="1" Abbr="10 str. 1 d." DocPartId="7002ddda075843a88f8dad7392e77559" PartId="b4c64a4136764024885e0da946f32ea5"/>
      </Part>
      <Part Type="straipsnis" Nr="11" Abbr="11 str." Title="Šio įstatymo nustatyta tvarka surinktų lėšų panaudojimo tikslas" DocPartId="a087cefed1744d94813ad3e70eaea535" PartId="95a530cdc662462aad6be4fdf43f82cb">
        <Part Type="strDalis" Nr="1" Abbr="11 str. 1 d." DocPartId="646ae2602d7046808978ae3f48a960ef" PartId="945fdac3b44a483ebf224dd2e7fa5356"/>
      </Part>
    </Part>
    <Part Type="skyrius" Nr="3" Title="BAIGIAMOSIOS NUOSTATOS" DocPartId="3c0d14d9ad4c42b49892020e9578ee15" PartId="6c2d1edc083e4a3581242b5c3a90f952">
      <Part Type="straipsnis" Nr="12" Abbr="12 str." Title="Įstatymo galiojimas, įgyvendinimas ir taikymas" DocPartId="1d63a48d41d6470ab1fe140fb38a90be" PartId="6409591aed394192ae6ffc81b6b5252c">
        <Part Type="strDalis" Nr="1" Abbr="12 str. 1 d." DocPartId="b63993aeefcd4610bc6fc946b8d4064e" PartId="2dc9f9a29ca74c5dbcdf4c19bc321f1f"/>
        <Part Type="strDalis" Nr="2" Abbr="12 str. 2 d." DocPartId="4d62163522264de2b0d93a62e58d4915" PartId="88a7f8a416cd4e40a151270b9e5cb768"/>
        <Part Type="strDalis" Nr="3" Abbr="12 str. 3 d." DocPartId="4aed2f8ca3314b8f99e877de86fd9801" PartId="0d22d004635249e099411c14b89b0648"/>
        <Part Type="strDalis" Nr="4" Abbr="12 str. 4 d." DocPartId="934f7066e28445b89f897ad9eccfa7fb" PartId="84d6c77eec4e4f43a6181489478dbd8c"/>
        <Part Type="strDalis" Nr="5" Abbr="12 str. 5 d." DocPartId="07fc228938f4408d82de956dde48f31f" PartId="d781616bb77947b387a7aa1731ce0859"/>
      </Part>
    </Part>
    <Part Type="signatura" DocPartId="6af4ff67183a4ce4b3001af631e95e81" PartId="f636254b2664454b949df8f80bf0ae55"/>
  </Part>
</Parts>
</file>

<file path=customXml/itemProps1.xml><?xml version="1.0" encoding="utf-8"?>
<ds:datastoreItem xmlns:ds="http://schemas.openxmlformats.org/officeDocument/2006/customXml" ds:itemID="{08EDA4FA-2205-4252-A3B3-18E4DA86B0E7}">
  <ds:schemaRefs>
    <ds:schemaRef ds:uri="http://schemas.openxmlformats.org/officeDocument/2006/bibliography"/>
  </ds:schemaRefs>
</ds:datastoreItem>
</file>

<file path=customXml/itemProps2.xml><?xml version="1.0" encoding="utf-8"?>
<ds:datastoreItem xmlns:ds="http://schemas.openxmlformats.org/officeDocument/2006/customXml" ds:itemID="{1E3AB530-D186-4ED8-BE5B-36A193CA4B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1230</Words>
  <Characters>8814</Characters>
  <Application>Microsoft Office Word</Application>
  <DocSecurity>4</DocSecurity>
  <Lines>163</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2023-03-09T11:35:00Z</dcterms:created>
  <dc:creator>FM</dc:creator>
  <lastModifiedBy>adlibuser</lastModifiedBy>
  <lastPrinted>2023-02-21T06:31:00Z</lastPrinted>
  <dcterms:modified xsi:type="dcterms:W3CDTF">2023-03-09T11:35:00Z</dcterms:modified>
  <revision>2</revision>
</coreProperties>
</file>