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f7965f6ece3e46ccb78dc237a03b9aae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ind w:firstLine="7254"/>
            <w:jc w:val="center"/>
            <w:rPr>
              <w:b/>
              <w:bCs/>
            </w:rPr>
          </w:pPr>
          <w:r>
            <w:rPr>
              <w:b/>
              <w:bCs/>
            </w:rPr>
            <w:t>Projekto</w:t>
          </w:r>
        </w:p>
        <w:p>
          <w:pPr>
            <w:tabs>
              <w:tab w:val="center" w:pos="4153"/>
              <w:tab w:val="right" w:pos="8306"/>
            </w:tabs>
            <w:ind w:firstLine="7998"/>
            <w:jc w:val="center"/>
            <w:rPr>
              <w:b/>
              <w:bCs/>
            </w:rPr>
          </w:pPr>
          <w:r>
            <w:rPr>
              <w:b/>
              <w:bCs/>
            </w:rPr>
            <w:t>nauja redakcija</w:t>
          </w:r>
        </w:p>
        <w:p>
          <w:pPr>
            <w:keepNext/>
            <w:ind w:firstLine="720"/>
            <w:jc w:val="right"/>
            <w:rPr>
              <w:b/>
              <w:bCs/>
            </w:rPr>
          </w:pPr>
        </w:p>
        <w:p>
          <w:pPr>
            <w:keepNext/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Šiaulių miesto savivaldybės taryba</w:t>
          </w:r>
        </w:p>
        <w:p>
          <w:pPr>
            <w:keepNext/>
            <w:jc w:val="center"/>
            <w:rPr>
              <w:b/>
              <w:caps/>
              <w:szCs w:val="24"/>
            </w:rPr>
          </w:pPr>
        </w:p>
        <w:p>
          <w:pPr>
            <w:keepNext/>
            <w:jc w:val="center"/>
            <w:rPr>
              <w:b/>
              <w:caps/>
              <w:color w:val="000000"/>
            </w:rPr>
          </w:pPr>
          <w:r>
            <w:rPr>
              <w:b/>
              <w:caps/>
              <w:color w:val="000000"/>
            </w:rPr>
            <w:t>SPRENDIMAS</w:t>
            <w:br/>
            <w:t>DĖL</w:t>
          </w:r>
          <w:r>
            <w:t xml:space="preserve"> </w:t>
          </w:r>
          <w:r>
            <w:rPr>
              <w:b/>
              <w:caps/>
              <w:color w:val="000000"/>
            </w:rPr>
            <w:t>ŠIAULIŲ MIESTO SAVIVALDYBĖS TARYBos 2022 M. LIEPOS 7 D. SPRENDIMO NR. T-304 „DĖL ATLYGINIMO UŽ VAIKŲ, UGDOMŲ PAGAL IKIMOKYKLINIO IR PRIEŠMOKYKLINIO UGDYMO PROGRAMAS, IŠLAIKYMĄ ŠIAULIŲ MIESTO SAVIVALDYBĖS ŠVIETIMO ĮSTAIGOSE NUSTATYMO TVARKOS APRAŠO PATVIRTINIMO“ PAKEITIMO</w:t>
          </w:r>
        </w:p>
        <w:p>
          <w:pPr>
            <w:keepNext/>
            <w:jc w:val="center"/>
            <w:rPr>
              <w:b/>
              <w:caps/>
              <w:szCs w:val="24"/>
            </w:rPr>
          </w:pPr>
        </w:p>
        <w:p>
          <w:pPr>
            <w:jc w:val="center"/>
            <w:rPr>
              <w:b/>
              <w:color w:val="000000"/>
              <w:szCs w:val="24"/>
            </w:rPr>
          </w:pPr>
        </w:p>
        <w:p>
          <w:pPr>
            <w:jc w:val="center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 xml:space="preserve">2025 m. gruodžio     d. Nr. T- </w:t>
          </w:r>
        </w:p>
        <w:p>
          <w:pPr>
            <w:jc w:val="center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Šiauliai</w:t>
          </w:r>
        </w:p>
        <w:p>
          <w:pPr>
            <w:ind w:firstLine="62"/>
            <w:jc w:val="both"/>
            <w:rPr>
              <w:color w:val="000000"/>
              <w:szCs w:val="24"/>
            </w:rPr>
          </w:pPr>
        </w:p>
        <w:p>
          <w:pPr>
            <w:jc w:val="both"/>
            <w:rPr>
              <w:color w:val="000000"/>
              <w:szCs w:val="24"/>
            </w:rPr>
          </w:pPr>
        </w:p>
        <w:sdt>
          <w:sdtPr>
            <w:alias w:val="preambule"/>
            <w:tag w:val="part_76ef1bd806db4757bee1d21ef5a2197e"/>
            <w:lock w:val="sdtLocked"/>
            <w:richText/>
          </w:sdtPr>
          <w:sdtContent>
            <w:p>
              <w:pPr>
                <w:ind w:firstLine="744"/>
                <w:jc w:val="both"/>
                <w:rPr>
                  <w:szCs w:val="24"/>
                </w:rPr>
              </w:pPr>
              <w:r>
                <w:rPr>
                  <w:color w:val="000000"/>
                  <w:szCs w:val="24"/>
                </w:rPr>
                <w:t>Vadovaudamasi Lietuvos Respublikos vietos savivaldos įstatymo 15 straipsnio 2 dalies 29 punktu ir Lietuvos Respublikos švietimo įstatymo 70 straipsnio 11 dalimi</w:t>
              </w:r>
              <w:r>
                <w:rPr>
                  <w:szCs w:val="24"/>
                </w:rPr>
                <w:t xml:space="preserve">, </w:t>
              </w:r>
              <w:r>
                <w:rPr>
                  <w:color w:val="000000"/>
                  <w:szCs w:val="24"/>
                </w:rPr>
                <w:t xml:space="preserve">Šiaulių miesto savivaldybės taryba </w:t>
              </w:r>
              <w:r>
                <w:rPr>
                  <w:color w:val="000000"/>
                  <w:spacing w:val="60"/>
                  <w:szCs w:val="24"/>
                </w:rPr>
                <w:t>nusprendžia:</w:t>
              </w:r>
            </w:p>
          </w:sdtContent>
        </w:sdt>
        <w:sdt>
          <w:sdtPr>
            <w:alias w:val="1 p."/>
            <w:tag w:val="part_f96a48721c8c4a27b416780c71a5fd2c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color w:val="000000"/>
                  <w:spacing w:val="60"/>
                  <w:szCs w:val="24"/>
                </w:rPr>
              </w:pPr>
              <w:sdt>
                <w:sdtPr>
                  <w:alias w:val="Numeris"/>
                  <w:tag w:val="nr_f96a48721c8c4a27b416780c71a5fd2c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color w:val="000000"/>
                  <w:spacing w:val="60"/>
                  <w:szCs w:val="24"/>
                </w:rPr>
                <w:t>.</w:t>
              </w:r>
              <w:r>
                <w:rPr>
                  <w:color w:val="000000"/>
                  <w:szCs w:val="24"/>
                </w:rPr>
                <w:t xml:space="preserve">Pakeisti </w:t>
              </w:r>
              <w:r>
                <w:rPr>
                  <w:szCs w:val="24"/>
                </w:rPr>
                <w:t>Atlyginimo už vaikų, ugdomų pagal ikimokyklinio ir priešmokyklinio ugdymo</w:t>
              </w:r>
              <w:r>
                <w:rPr>
                  <w:color w:val="000000"/>
                  <w:spacing w:val="60"/>
                  <w:szCs w:val="24"/>
                </w:rPr>
                <w:t xml:space="preserve"> </w:t>
              </w:r>
              <w:r>
                <w:rPr>
                  <w:szCs w:val="24"/>
                </w:rPr>
                <w:t xml:space="preserve">programas, išlaikymą Šiaulių miesto savivaldybės švietimo įstaigose nustatymo tvarkos aprašą, patvirtintą  Šiaulių miesto savivaldybės tarybos 2022 m. liepos 7 d. sprendimo Nr. T-304 „Dėl Atlyginimo už vaikų, ugdomų pagal ikimokyklinio ir priešmokyklinio ugdymo programas, išlaikymą Šiaulių miesto savivaldybės švietimo įstaigose nustatymo tvarkos aprašo patvirtinimo“ 1 punktu, ir išdėstyti jį nauja redakcija (pridedama)</w:t>
              </w:r>
              <w:r>
                <w:rPr>
                  <w:bCs/>
                  <w:smallCaps/>
                  <w:spacing w:val="-1"/>
                  <w:szCs w:val="24"/>
                </w:rPr>
                <w:t>.</w:t>
              </w:r>
              <w:r>
                <w:rPr>
                  <w:bCs/>
                  <w:spacing w:val="-1"/>
                  <w:szCs w:val="24"/>
                </w:rPr>
                <w:t xml:space="preserve"> </w:t>
              </w:r>
            </w:p>
          </w:sdtContent>
        </w:sdt>
        <w:sdt>
          <w:sdtPr>
            <w:alias w:val="2 p."/>
            <w:tag w:val="part_afbc8d5b3ee047c89bd5cabf2716af5b"/>
            <w:lock w:val="sdtLocked"/>
            <w:richText/>
          </w:sdtPr>
          <w:sdtContent>
            <w:p>
              <w:pPr>
                <w:shd w:val="clear" w:color="auto" w:fill="FFFFFF"/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afbc8d5b3ee047c89bd5cabf2716af5b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Nustatyti, kad šis sprendimas įsigalioja 2026 m. sausio 1 d. </w:t>
              </w: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59082d07d54f46ff93c2490fe5ebc3dd"/>
            <w:lock w:val="sdtLocked"/>
            <w:richText/>
          </w:sdtPr>
          <w:sdtContent>
            <w:p>
              <w:pPr>
                <w:rPr>
                  <w:szCs w:val="24"/>
                </w:rPr>
              </w:pPr>
              <w:r>
                <w:rPr>
                  <w:szCs w:val="24"/>
                </w:rPr>
                <w:t xml:space="preserve">Savivaldybės meras             </w:t>
                <w:tab/>
                <w:tab/>
                <w:tab/>
                <w:tab/>
                <w:tab/>
                <w:tab/>
                <w:tab/>
                <w:tab/>
              </w:r>
            </w:p>
            <w:p>
              <w:pPr>
                <w:keepLines/>
                <w:suppressAutoHyphens/>
                <w:jc w:val="both"/>
                <w:textAlignment w:val="center"/>
                <w:rPr>
                  <w:color w:val="000000"/>
                  <w:sz w:val="20"/>
                </w:rPr>
              </w:pPr>
            </w:p>
            <w:p>
              <w:pPr>
                <w:keepLines/>
                <w:suppressAutoHyphens/>
                <w:jc w:val="both"/>
                <w:textAlignment w:val="center"/>
                <w:rPr>
                  <w:color w:val="000000"/>
                  <w:sz w:val="20"/>
                </w:rPr>
              </w:pPr>
            </w:p>
            <w:p>
              <w:pPr>
                <w:keepLines/>
                <w:suppressAutoHyphens/>
                <w:jc w:val="both"/>
                <w:textAlignment w:val="center"/>
                <w:rPr>
                  <w:color w:val="000000"/>
                  <w:sz w:val="20"/>
                </w:rPr>
              </w:pPr>
            </w:p>
            <w:p>
              <w:pPr>
                <w:keepLines/>
                <w:suppressAutoHyphens/>
                <w:jc w:val="both"/>
                <w:textAlignment w:val="center"/>
                <w:rPr>
                  <w:color w:val="000000"/>
                  <w:sz w:val="20"/>
                </w:rPr>
              </w:pPr>
            </w:p>
            <w:p>
              <w:pPr>
                <w:keepLines/>
                <w:suppressAutoHyphens/>
                <w:jc w:val="both"/>
                <w:textAlignment w:val="center"/>
                <w:rPr>
                  <w:color w:val="000000"/>
                  <w:sz w:val="20"/>
                </w:rPr>
              </w:pPr>
            </w:p>
            <w:p>
              <w:pPr>
                <w:keepLines/>
                <w:suppressAutoHyphens/>
                <w:jc w:val="both"/>
                <w:textAlignment w:val="center"/>
                <w:rPr>
                  <w:color w:val="000000"/>
                  <w:sz w:val="20"/>
                </w:rPr>
              </w:pPr>
            </w:p>
            <w:p>
              <w:pPr>
                <w:keepLines/>
                <w:suppressAutoHyphens/>
                <w:jc w:val="both"/>
                <w:textAlignment w:val="center"/>
                <w:rPr>
                  <w:color w:val="000000"/>
                  <w:sz w:val="20"/>
                </w:rPr>
              </w:pPr>
            </w:p>
            <w:p>
              <w:pPr>
                <w:keepLines/>
                <w:suppressAutoHyphens/>
                <w:jc w:val="both"/>
                <w:textAlignment w:val="center"/>
                <w:rPr>
                  <w:color w:val="000000"/>
                  <w:sz w:val="20"/>
                </w:rPr>
              </w:pPr>
            </w:p>
            <w:p>
              <w:pPr>
                <w:keepLines/>
                <w:suppressAutoHyphens/>
                <w:jc w:val="both"/>
                <w:textAlignment w:val="center"/>
                <w:rPr>
                  <w:color w:val="000000"/>
                  <w:sz w:val="20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134" w:right="567" w:bottom="1134" w:left="1701" w:header="567" w:footer="567" w:gutter="0"/>
      <w:cols w:space="1296"/>
      <w:titlePg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sz w:val="20"/>
      </w:rPr>
    </w:pPr>
    <w:r>
      <w:rPr>
        <w:sz w:val="20"/>
      </w:rPr>
      <w:fldChar w:fldCharType="begin"/>
    </w:r>
    <w:r>
      <w:rPr>
        <w:sz w:val="20"/>
      </w:rPr>
      <w:instrText xml:space="preserve">PAGE  </w:instrText>
    </w:r>
    <w:r>
      <w:rPr>
        <w:sz w:val="20"/>
      </w:rPr>
      <w:fldChar w:fldCharType="end"/>
    </w:r>
  </w:p>
  <w:p>
    <w:pPr>
      <w:tabs>
        <w:tab w:val="center" w:pos="4153"/>
        <w:tab w:val="right" w:pos="8306"/>
      </w:tabs>
      <w:rPr>
        <w:sz w:val="20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sz w:val="20"/>
      </w:rPr>
    </w:pPr>
    <w:r>
      <w:rPr>
        <w:sz w:val="20"/>
      </w:rPr>
      <w:fldChar w:fldCharType="begin"/>
    </w:r>
    <w:r>
      <w:rPr>
        <w:sz w:val="20"/>
      </w:rPr>
      <w:instrText xml:space="preserve">PAGE  </w:instrText>
    </w:r>
    <w:r>
      <w:rPr>
        <w:sz w:val="20"/>
      </w:rPr>
      <w:fldChar w:fldCharType="separate"/>
    </w:r>
    <w:r>
      <w:rPr>
        <w:sz w:val="20"/>
      </w:rPr>
      <w:t>2</w:t>
    </w:r>
    <w:r>
      <w:rPr>
        <w:sz w:val="20"/>
      </w:rPr>
      <w:fldChar w:fldCharType="end"/>
    </w:r>
  </w:p>
  <w:p>
    <w:pPr>
      <w:tabs>
        <w:tab w:val="center" w:pos="4153"/>
        <w:tab w:val="right" w:pos="8306"/>
      </w:tabs>
      <w:jc w:val="right"/>
      <w:rPr>
        <w:sz w:val="20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sz w:val="20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hyphenationZone w:val="396"/>
  <w:doNotHyphenateCaps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50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DB67DB1-C963-497F-9A1D-A40CD84E67C7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0597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85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44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7c6229993ee54e36bb1c4340114eac0c" PartId="f7965f6ece3e46ccb78dc237a03b9aae">
    <Part Type="preambule" DocPartId="ff370546943446ad8090723c0d419da6" PartId="76ef1bd806db4757bee1d21ef5a2197e"/>
    <Part Type="punktas" Nr="1" Abbr="1 p." DocPartId="22e209cdf70144a0be43e126379558d1" PartId="f96a48721c8c4a27b416780c71a5fd2c"/>
    <Part Type="punktas" Nr="2" Abbr="2 p." DocPartId="e62f81517ba84e1fa5c4b69ff2e29d3e" PartId="afbc8d5b3ee047c89bd5cabf2716af5b"/>
    <Part Type="signatura" DocPartId="24b445269e094838a97d042e07391fc3" PartId="59082d07d54f46ff93c2490fe5ebc3dd"/>
  </Part>
</Parts>
</file>

<file path=customXml/itemProps1.xml><?xml version="1.0" encoding="utf-8"?>
<ds:datastoreItem xmlns:ds="http://schemas.openxmlformats.org/officeDocument/2006/customXml" ds:itemID="{A589D4E0-D369-4F46-A0C2-D818612B8F8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5D1BC40-CD7C-4E8F-A220-4B59690A55E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157</Words>
  <Characters>1073</Characters>
  <Application>Microsoft Office Word</Application>
  <DocSecurity>4</DocSecurity>
  <Lines>38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>ŠIAULIŲ MIESTO SAVIVALDYBĖS TARYBA</vt:lpstr>
      <vt:lpstr>ŠIAULIŲ MIESTO SAVIVALDYBĖS TARYBA</vt:lpstr>
    </vt:vector>
  </TitlesOfParts>
  <Company>Šiaulių miesto švietimo skyrius</Company>
  <LinksUpToDate>false</LinksUpToDate>
  <CharactersWithSpaces>1221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2025-12-09T14:57:00Z</dcterms:created>
  <dc:creator>Svietimo ir Mokslo</dc:creator>
  <lastModifiedBy>adlibuser</lastModifiedBy>
  <lastPrinted>2008-03-04T12:26:00Z</lastPrinted>
  <dcterms:modified xsi:type="dcterms:W3CDTF">2025-12-09T14:57:00Z</dcterms:modified>
  <revision>2</revision>
  <dc:title>ŠIAULIŲ MIESTO SAVIVALDYBĖS TARYBA</dc:title>
</coreProperties>
</file>