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right"/>
        <w:rPr>
          <w:b/>
          <w:color w:val="00000A"/>
          <w:lang w:eastAsia="lt-LT"/>
        </w:rPr>
      </w:pPr>
      <w:r>
        <w:rPr>
          <w:b/>
          <w:color w:val="00000A"/>
          <w:lang w:eastAsia="lt-LT"/>
        </w:rPr>
        <w:t>Projektas</w:t>
      </w:r>
    </w:p>
    <w:p>
      <w:pPr>
        <w:jc w:val="center"/>
        <w:rPr>
          <w:caps/>
          <w:color w:val="00000A"/>
          <w:sz w:val="12"/>
          <w:szCs w:val="12"/>
        </w:rPr>
      </w:pPr>
    </w:p>
    <w:p>
      <w:pPr>
        <w:jc w:val="center"/>
        <w:rPr>
          <w:caps/>
          <w:color w:val="00000A"/>
          <w:sz w:val="12"/>
          <w:szCs w:val="12"/>
        </w:rPr>
      </w:pPr>
    </w:p>
    <w:p>
      <w:pPr>
        <w:jc w:val="center"/>
        <w:rPr>
          <w:rFonts w:ascii="Times New Roman;serif" w:hAnsi="Times New Roman;serif"/>
          <w:b/>
          <w:bCs/>
          <w:caps/>
          <w:color w:val="212121"/>
        </w:rPr>
      </w:pPr>
    </w:p>
    <w:p>
      <w:pPr>
        <w:jc w:val="center"/>
        <w:rPr>
          <w:rFonts w:ascii="Times New Roman;serif" w:hAnsi="Times New Roman;serif"/>
          <w:b/>
          <w:caps/>
          <w:color w:val="212121"/>
          <w:lang w:val="en-GB"/>
        </w:rPr>
      </w:pPr>
      <w:r>
        <w:rPr>
          <w:rFonts w:ascii="Times New Roman;serif" w:hAnsi="Times New Roman;serif"/>
          <w:b/>
          <w:bCs/>
          <w:caps/>
          <w:color w:val="212121"/>
        </w:rPr>
        <w:t>LIETUVOS RESPUBLIKOS</w:t>
      </w:r>
    </w:p>
    <w:p>
      <w:pPr>
        <w:jc w:val="center"/>
        <w:rPr>
          <w:rFonts w:ascii="Times New Roman;serif" w:hAnsi="Times New Roman;serif"/>
          <w:b/>
          <w:bCs/>
          <w:caps/>
          <w:color w:val="212121"/>
          <w:lang w:val="en-GB"/>
        </w:rPr>
      </w:pPr>
      <w:r>
        <w:rPr>
          <w:rFonts w:ascii="Times New Roman;serif" w:hAnsi="Times New Roman;serif"/>
          <w:b/>
          <w:bCs/>
          <w:caps/>
          <w:color w:val="212121"/>
        </w:rPr>
        <w:t>pridėtinės vertės mokesčio</w:t>
      </w:r>
      <w:r>
        <w:rPr>
          <w:rFonts w:ascii="Times New Roman;serif" w:hAnsi="Times New Roman;serif"/>
          <w:b/>
          <w:bCs/>
          <w:caps/>
          <w:color w:val="212121"/>
          <w:lang w:val="en-GB"/>
        </w:rPr>
        <w:t xml:space="preserve"> </w:t>
      </w:r>
      <w:r>
        <w:rPr>
          <w:rFonts w:ascii="Times New Roman;serif" w:hAnsi="Times New Roman;serif"/>
          <w:b/>
          <w:bCs/>
          <w:caps/>
          <w:color w:val="212121"/>
        </w:rPr>
        <w:t>ĮSTATYMo</w:t>
      </w:r>
      <w:r>
        <w:rPr>
          <w:rFonts w:ascii="Times New Roman;serif" w:hAnsi="Times New Roman;serif"/>
          <w:b/>
          <w:bCs/>
          <w:caps/>
          <w:color w:val="212121"/>
          <w:lang w:val="en-GB"/>
        </w:rPr>
        <w:t xml:space="preserve"> </w:t>
      </w:r>
      <w:r>
        <w:rPr>
          <w:rFonts w:ascii="Times New Roman;serif" w:hAnsi="Times New Roman;serif"/>
          <w:b/>
          <w:bCs/>
          <w:caps/>
          <w:color w:val="212121"/>
        </w:rPr>
        <w:t>nr. IX-751</w:t>
      </w:r>
    </w:p>
    <w:p>
      <w:pPr>
        <w:jc w:val="center"/>
        <w:rPr>
          <w:rFonts w:ascii="Times New Roman;serif" w:hAnsi="Times New Roman;serif"/>
          <w:b/>
          <w:caps/>
          <w:color w:val="212121"/>
        </w:rPr>
      </w:pPr>
      <w:r>
        <w:rPr>
          <w:rFonts w:ascii="Times New Roman;serif" w:hAnsi="Times New Roman;serif"/>
          <w:b/>
          <w:caps/>
          <w:color w:val="212121"/>
        </w:rPr>
        <w:t>123 straipsnio pakeItimo</w:t>
      </w:r>
    </w:p>
    <w:p>
      <w:pPr>
        <w:ind w:firstLine="67"/>
        <w:jc w:val="center"/>
        <w:rPr>
          <w:rFonts w:ascii="Times New Roman;serif" w:hAnsi="Times New Roman;serif"/>
          <w:b/>
          <w:color w:val="212121"/>
        </w:rPr>
      </w:pPr>
      <w:r>
        <w:rPr>
          <w:rFonts w:ascii="Times New Roman;serif" w:hAnsi="Times New Roman;serif"/>
          <w:b/>
          <w:color w:val="212121"/>
        </w:rPr>
        <w:t>ĮSTATYMAS</w:t>
      </w:r>
    </w:p>
    <w:p>
      <w:pPr>
        <w:rPr>
          <w:b/>
          <w:caps/>
          <w:color w:val="00000A"/>
        </w:rPr>
      </w:pPr>
    </w:p>
    <w:p>
      <w:pPr>
        <w:jc w:val="center"/>
        <w:rPr>
          <w:b/>
          <w:caps/>
          <w:color w:val="00000A"/>
        </w:rPr>
      </w:pPr>
    </w:p>
    <w:p>
      <w:pPr>
        <w:spacing w:line="360" w:lineRule="auto"/>
        <w:jc w:val="center"/>
        <w:rPr>
          <w:color w:val="00000A"/>
        </w:rPr>
      </w:pPr>
      <w:r>
        <w:rPr>
          <w:color w:val="00000A"/>
          <w:szCs w:val="24"/>
        </w:rPr>
        <w:t xml:space="preserve">2021 m. </w:t>
      </w:r>
      <w:r>
        <w:rPr>
          <w:color w:val="00000A"/>
          <w:szCs w:val="24"/>
          <w:lang w:val="en-US"/>
        </w:rPr>
        <w:t xml:space="preserve">             </w:t>
      </w:r>
      <w:r>
        <w:rPr>
          <w:color w:val="00000A"/>
          <w:szCs w:val="24"/>
        </w:rPr>
        <w:t xml:space="preserve"> d. Nr. </w:t>
      </w:r>
      <w:r>
        <w:rPr>
          <w:color w:val="00000A"/>
          <w:szCs w:val="24"/>
          <w:lang w:val="en-US"/>
        </w:rPr>
        <w:t>     </w:t>
      </w:r>
    </w:p>
    <w:p>
      <w:pPr>
        <w:spacing w:line="360" w:lineRule="auto"/>
        <w:jc w:val="center"/>
        <w:rPr>
          <w:color w:val="00000A"/>
        </w:rPr>
      </w:pPr>
      <w:r>
        <w:rPr>
          <w:color w:val="00000A"/>
          <w:szCs w:val="24"/>
        </w:rPr>
        <w:t>Vilnius</w:t>
      </w:r>
    </w:p>
    <w:p>
      <w:pPr>
        <w:spacing w:line="360" w:lineRule="auto"/>
        <w:rPr>
          <w:color w:val="00000A"/>
          <w:szCs w:val="24"/>
        </w:rPr>
      </w:pPr>
    </w:p>
    <w:p>
      <w:pPr>
        <w:spacing w:line="360" w:lineRule="auto"/>
        <w:ind w:firstLine="709"/>
        <w:jc w:val="both"/>
        <w:rPr>
          <w:color w:val="00000A"/>
        </w:rPr>
      </w:pPr>
      <w:r>
        <w:rPr>
          <w:b/>
          <w:bCs/>
          <w:color w:val="00000A"/>
        </w:rPr>
        <w:t>1</w:t>
      </w:r>
      <w:r>
        <w:rPr>
          <w:b/>
          <w:bCs/>
          <w:color w:val="00000A"/>
        </w:rPr>
        <w:t xml:space="preserve"> straipsnis. </w:t>
      </w:r>
      <w:r>
        <w:rPr>
          <w:b/>
          <w:bCs/>
          <w:color w:val="00000A"/>
        </w:rPr>
        <w:t>123 straipsnio pakeitimas</w:t>
      </w:r>
    </w:p>
    <w:p>
      <w:pPr>
        <w:overflowPunct w:val="0"/>
        <w:spacing w:line="360" w:lineRule="auto"/>
        <w:ind w:firstLine="709"/>
        <w:jc w:val="both"/>
        <w:rPr>
          <w:color w:val="00000A"/>
        </w:rPr>
      </w:pPr>
      <w:r>
        <w:rPr>
          <w:color w:val="00000A"/>
        </w:rPr>
        <w:t>Pakeisti 123 straipsnį ir jį išdėstyti taip: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b/>
          <w:bCs/>
          <w:sz w:val="22"/>
          <w:szCs w:val="22"/>
          <w:lang w:eastAsia="lt-LT"/>
        </w:rPr>
        <w:t>„</w:t>
      </w:r>
      <w:r>
        <w:rPr>
          <w:b/>
          <w:bCs/>
          <w:sz w:val="22"/>
          <w:szCs w:val="22"/>
          <w:lang w:eastAsia="lt-LT"/>
        </w:rPr>
        <w:t>123</w:t>
      </w:r>
      <w:r>
        <w:rPr>
          <w:b/>
          <w:bCs/>
          <w:sz w:val="22"/>
          <w:szCs w:val="22"/>
          <w:lang w:eastAsia="lt-LT"/>
        </w:rPr>
        <w:t xml:space="preserve"> straipsnis. </w:t>
      </w:r>
      <w:r>
        <w:rPr>
          <w:b/>
          <w:bCs/>
          <w:sz w:val="22"/>
          <w:szCs w:val="22"/>
          <w:lang w:eastAsia="lt-LT"/>
        </w:rPr>
        <w:t>PVM mokėjimo tvarkos nesilaikymas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 w:val="22"/>
          <w:szCs w:val="22"/>
          <w:lang w:eastAsia="lt-LT"/>
        </w:rPr>
        <w:t>1</w:t>
      </w:r>
      <w:r>
        <w:rPr>
          <w:sz w:val="22"/>
          <w:szCs w:val="22"/>
          <w:lang w:eastAsia="lt-LT"/>
        </w:rPr>
        <w:t>. Asmenims, pažeidusiems šio Įstatymo nuostatas, delspinigiai skaičiuojami Mokesčių administravimo įstatymo nustatyta tvarka.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 w:val="22"/>
          <w:szCs w:val="22"/>
          <w:lang w:eastAsia="lt-LT"/>
        </w:rPr>
        <w:t>2</w:t>
      </w:r>
      <w:r>
        <w:rPr>
          <w:sz w:val="22"/>
          <w:szCs w:val="22"/>
          <w:lang w:eastAsia="lt-LT"/>
        </w:rPr>
        <w:t>. Jeigu nustatoma, kad PVM mokėtojas nepagrįstai sumažino apskaičiuotą mokėtiną į biudžetą PVM sumą (padidino apskaičiuotą grąžintiną iš biudžeto PVM sumą), apskaičiuojama papildomai mokėtina PVM suma, kuria atitinkamai didinama mokėtina į biudžetą PVM suma (mažinama grąžintina iš biudžeto PVM suma), ir skiriama nuo 50 iki 100 procentų apskaičiuotos papildomai mokėtinos PVM sumos dydžio bauda.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 w:val="22"/>
          <w:szCs w:val="22"/>
          <w:lang w:eastAsia="lt-LT"/>
        </w:rPr>
        <w:t>3</w:t>
      </w:r>
      <w:r>
        <w:rPr>
          <w:sz w:val="22"/>
          <w:szCs w:val="22"/>
          <w:lang w:eastAsia="lt-LT"/>
        </w:rPr>
        <w:t xml:space="preserve">. Jeigu nustatoma, kad apmokestinamasis asmuo arba bet koks kitas asmuo, nesantis PVM mokėtoju, tačiau šio Įstatymo nustatyta tvarka privalėjęs mokėti į biudžetą PVM, jo nesumokėjo, apskaičiuojama mokėtina į biudžetą PVM suma ir skiriama nuo 50 iki 100 procentų apskaičiuotos PVM sumos dydžio bauda. 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 w:val="22"/>
          <w:szCs w:val="22"/>
          <w:lang w:eastAsia="lt-LT"/>
        </w:rPr>
        <w:t>4</w:t>
      </w:r>
      <w:r>
        <w:rPr>
          <w:sz w:val="22"/>
          <w:szCs w:val="22"/>
          <w:lang w:eastAsia="lt-LT"/>
        </w:rPr>
        <w:t>. Šio straipsnio 2 ar 3 dalyje nurodytais atvejais skirdamas baudą, konkretų jos dydį mokesčių administratorius nustato vadovaudamasis Mokesčių administravimo įstatyme nustatytomis baudų skyrimo taisyklėmis.“</w:t>
      </w:r>
      <w:r>
        <w:rPr>
          <w:szCs w:val="24"/>
          <w:lang w:eastAsia="lt-LT"/>
        </w:rPr>
        <w:t xml:space="preserve"> </w:t>
      </w:r>
    </w:p>
    <w:p>
      <w:pPr>
        <w:overflowPunct w:val="0"/>
        <w:spacing w:line="360" w:lineRule="auto"/>
        <w:ind w:firstLine="709"/>
        <w:jc w:val="both"/>
        <w:rPr>
          <w:b/>
          <w:bCs/>
          <w:color w:val="00000A"/>
        </w:rPr>
      </w:pPr>
    </w:p>
    <w:p>
      <w:pPr>
        <w:spacing w:line="360" w:lineRule="auto"/>
        <w:ind w:firstLine="709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2</w:t>
      </w:r>
      <w:r>
        <w:rPr>
          <w:b/>
          <w:bCs/>
          <w:color w:val="00000A"/>
        </w:rPr>
        <w:t xml:space="preserve"> straipsnis. </w:t>
      </w:r>
      <w:r>
        <w:rPr>
          <w:b/>
          <w:bCs/>
          <w:color w:val="00000A"/>
        </w:rPr>
        <w:t>Įstatymo įsigaliojimas</w:t>
      </w:r>
    </w:p>
    <w:p>
      <w:pPr>
        <w:spacing w:line="360" w:lineRule="auto"/>
        <w:ind w:firstLine="709"/>
        <w:jc w:val="both"/>
        <w:rPr>
          <w:color w:val="00000A"/>
        </w:rPr>
      </w:pPr>
      <w:r>
        <w:rPr>
          <w:color w:val="000000"/>
          <w:lang w:eastAsia="lt-LT"/>
        </w:rPr>
        <w:t>Šis įstatymas įsigalioja 2022 m. liepos 1 d.</w:t>
      </w:r>
    </w:p>
    <w:p>
      <w:pPr>
        <w:overflowPunct w:val="0"/>
        <w:spacing w:line="360" w:lineRule="auto"/>
        <w:ind w:firstLine="709"/>
        <w:jc w:val="both"/>
        <w:rPr>
          <w:szCs w:val="24"/>
          <w:lang w:eastAsia="en-GB"/>
        </w:rPr>
      </w:pPr>
    </w:p>
    <w:p>
      <w:pPr>
        <w:spacing w:line="360" w:lineRule="auto"/>
        <w:ind w:firstLine="720"/>
        <w:jc w:val="both"/>
        <w:rPr>
          <w:color w:val="00000A"/>
        </w:rPr>
      </w:pPr>
    </w:p>
    <w:p>
      <w:pPr>
        <w:spacing w:line="360" w:lineRule="auto"/>
        <w:ind w:firstLine="709"/>
        <w:jc w:val="both"/>
        <w:rPr>
          <w:color w:val="00000A"/>
        </w:rPr>
      </w:pPr>
      <w:r>
        <w:rPr>
          <w:i/>
          <w:color w:val="00000A"/>
          <w:szCs w:val="24"/>
        </w:rPr>
        <w:t>Skelbiu šį Lietuvos Respublikos Seimo priimtą įstatymą.</w:t>
      </w:r>
    </w:p>
    <w:p>
      <w:pPr>
        <w:spacing w:line="360" w:lineRule="auto"/>
        <w:jc w:val="both"/>
        <w:rPr>
          <w:i/>
          <w:color w:val="00000A"/>
          <w:szCs w:val="24"/>
        </w:rPr>
      </w:pPr>
    </w:p>
    <w:p>
      <w:pPr>
        <w:spacing w:line="360" w:lineRule="auto"/>
        <w:jc w:val="both"/>
        <w:rPr>
          <w:iCs/>
          <w:color w:val="00000A"/>
          <w:szCs w:val="24"/>
        </w:rPr>
      </w:pPr>
      <w:r>
        <w:rPr>
          <w:iCs/>
          <w:color w:val="00000A"/>
          <w:szCs w:val="24"/>
        </w:rPr>
        <w:t>Respublikos Prezidentas</w:t>
      </w:r>
    </w:p>
    <w:p/>
    <w:p>
      <w:r>
        <w:t xml:space="preserve">Teikia </w:t>
      </w:r>
    </w:p>
    <w:p>
      <w:r>
        <w:t>Seimo nariai</w:t>
        <w:tab/>
        <w:tab/>
        <w:tab/>
        <w:tab/>
        <w:tab/>
        <w:t>Mykolas Majauskas</w:t>
      </w:r>
    </w:p>
    <w:p/>
    <w:p>
      <w:pPr>
        <w:ind w:firstLine="3600"/>
      </w:pPr>
      <w:r>
        <w:t>Edmundas Pupinis</w:t>
      </w:r>
    </w:p>
    <w:p/>
    <w:p>
      <w:pPr>
        <w:ind w:firstLine="3600"/>
      </w:pPr>
      <w:r>
        <w:t>Vytautas Bakas</w:t>
      </w:r>
    </w:p>
    <w:p/>
    <w:p>
      <w:pPr>
        <w:ind w:firstLine="3600"/>
      </w:pPr>
      <w:r>
        <w:t xml:space="preserve">Rasa Budbergytė </w:t>
      </w:r>
    </w:p>
    <w:p/>
    <w:p>
      <w:pPr>
        <w:ind w:firstLine="3600"/>
      </w:pPr>
      <w:r>
        <w:t>Zigmantas Balčytis</w:t>
      </w:r>
    </w:p>
    <w:p/>
    <w:p>
      <w:pPr>
        <w:ind w:firstLine="3600"/>
      </w:pPr>
      <w:r>
        <w:t>Simonas Gentvilas</w:t>
      </w:r>
    </w:p>
    <w:p/>
    <w:p>
      <w:pPr>
        <w:ind w:firstLine="3600"/>
      </w:pPr>
      <w:r>
        <w:t>Algirdas Butkevičius</w:t>
      </w:r>
    </w:p>
    <w:p/>
    <w:p>
      <w:pPr>
        <w:ind w:firstLine="3600"/>
      </w:pPr>
      <w:r>
        <w:t>Juozas Varžgalys</w:t>
      </w:r>
    </w:p>
    <w:p/>
    <w:p>
      <w:pPr>
        <w:ind w:firstLine="3600"/>
      </w:pPr>
      <w:r>
        <w:t>Antanas Čepononis</w:t>
      </w:r>
    </w:p>
    <w:p/>
    <w:p>
      <w:pPr>
        <w:ind w:firstLine="3600"/>
      </w:pPr>
      <w:r>
        <w:t>Laurynas Kasčiūnas</w:t>
      </w:r>
    </w:p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233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1493</Characters>
  <Application>Microsoft Office Word</Application>
  <DocSecurity>4</DocSecurity>
  <Lines>62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2021-09-24T06:00:00Z</dcterms:created>
  <dc:creator>MUDĖNIENĖ Dalia</dc:creator>
  <lastModifiedBy>adlibuser</lastModifiedBy>
  <lastPrinted>2021-09-23T06:46:00Z</lastPrinted>
  <dcterms:modified xsi:type="dcterms:W3CDTF">2021-09-24T06:00:00Z</dcterms:modified>
  <revision>2</revision>
</coreProperties>
</file>