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b035212b958482185ac8bdc8d62cf51"/>
        <w:lock w:val="sdtLocked"/>
        <w:richText/>
      </w:sdtPr>
      <w:sdtContent>
        <w:tbl>
          <w:tblPr>
            <w:tblW w:w="9639" w:type="dxa"/>
            <w:tblLayout w:type="fixed"/>
            <w:tblLook w:val="0000" w:firstRow="0" w:lastRow="0" w:firstColumn="0" w:lastColumn="0" w:noHBand="0" w:noVBand="0"/>
          </w:tblPr>
          <w:tblGrid>
            <w:gridCol w:w="9639"/>
          </w:tblGrid>
          <w:tr>
            <w:trPr>
              <w:cantSplit/>
            </w:trPr>
            <w:tc>
              <w:tcPr>
                <w:tcW w:w="9639" w:type="dxa"/>
              </w:tcPr>
              <w:p>
                <w:pPr>
                  <w:tabs>
                    <w:tab w:val="center" w:pos="4819"/>
                    <w:tab w:val="right" w:pos="9638"/>
                  </w:tabs>
                  <w:jc w:val="right"/>
                  <w:rPr>
                    <w:b/>
                    <w:bCs/>
                  </w:rPr>
                </w:pPr>
                <w:r>
                  <w:rPr>
                    <w:b/>
                    <w:bCs/>
                  </w:rPr>
                  <w:t>Projektas</w:t>
                </w:r>
              </w:p>
              <w:p>
                <w:pPr>
                  <w:jc w:val="center"/>
                  <w:rPr>
                    <w:color w:val="FF0000"/>
                  </w:rPr>
                </w:pPr>
              </w:p>
              <w:p>
                <w:pPr>
                  <w:jc w:val="center"/>
                </w:pPr>
              </w:p>
            </w:tc>
          </w:tr>
          <w:tr>
            <w:trPr>
              <w:cantSplit/>
            </w:trPr>
            <w:tc>
              <w:tcPr>
                <w:tcW w:w="9639" w:type="dxa"/>
              </w:tcPr>
              <w:p>
                <w:pPr>
                  <w:jc w:val="center"/>
                  <w:rPr>
                    <w:b/>
                    <w:bCs/>
                    <w:caps/>
                    <w:szCs w:val="24"/>
                  </w:rPr>
                </w:pPr>
                <w:r>
                  <w:rPr>
                    <w:b/>
                    <w:bCs/>
                    <w:caps/>
                    <w:szCs w:val="24"/>
                  </w:rPr>
                  <w:t>Zarasų rajono savivaldybės taryba</w:t>
                </w:r>
              </w:p>
            </w:tc>
          </w:tr>
          <w:tr>
            <w:trPr>
              <w:trHeight w:val="259"/>
            </w:trPr>
            <w:tc>
              <w:tcPr>
                <w:tcW w:w="9639" w:type="dxa"/>
              </w:tcPr>
              <w:p/>
            </w:tc>
          </w:tr>
          <w:tr>
            <w:trPr>
              <w:cantSplit/>
            </w:trPr>
            <w:tc>
              <w:tcPr>
                <w:tcW w:w="9639" w:type="dxa"/>
              </w:tcPr>
              <w:p>
                <w:pPr>
                  <w:keepNext/>
                  <w:jc w:val="center"/>
                  <w:rPr>
                    <w:b/>
                    <w:bCs/>
                    <w:szCs w:val="24"/>
                  </w:rPr>
                </w:pPr>
                <w:r>
                  <w:rPr>
                    <w:b/>
                    <w:bCs/>
                    <w:szCs w:val="24"/>
                  </w:rPr>
                  <w:t>SPRENDIMAS</w:t>
                </w:r>
              </w:p>
            </w:tc>
          </w:tr>
          <w:tr>
            <w:trPr>
              <w:cantSplit/>
              <w:trHeight w:val="924"/>
            </w:trPr>
            <w:tc>
              <w:tcPr>
                <w:tcW w:w="9639" w:type="dxa"/>
              </w:tcPr>
              <w:p>
                <w:pPr>
                  <w:widowControl w:val="0"/>
                  <w:tabs>
                    <w:tab w:val="left" w:pos="1293"/>
                  </w:tabs>
                  <w:overflowPunct w:val="0"/>
                  <w:jc w:val="center"/>
                  <w:rPr>
                    <w:b/>
                  </w:rPr>
                </w:pPr>
                <w:r>
                  <w:rPr>
                    <w:b/>
                    <w:bCs/>
                    <w:caps/>
                    <w:szCs w:val="24"/>
                  </w:rPr>
                  <w:t>DĖL ZARASŲ RAJONO SAVIVALDYBĖS TARYBOS 2024 M. rugsėjo 23 D. SPRENDIMO NR. T-189 „</w:t>
                </w:r>
                <w:r>
                  <w:rPr>
                    <w:b/>
                    <w:bCs/>
                    <w:caps/>
                  </w:rPr>
                  <w:t xml:space="preserve">DĖL </w:t>
                </w:r>
                <w:r>
                  <w:rPr>
                    <w:b/>
                  </w:rPr>
                  <w:t>MOKINIŲ PRIĖMIMO Į ZARASŲ RAJONO SAVIVALDYBĖS BENDROJO UGDYMO MOKYKLAS TVARKOS APRAŠO</w:t>
                </w:r>
              </w:p>
              <w:p>
                <w:pPr>
                  <w:widowControl w:val="0"/>
                  <w:tabs>
                    <w:tab w:val="left" w:pos="1293"/>
                  </w:tabs>
                  <w:overflowPunct w:val="0"/>
                  <w:ind w:firstLine="62"/>
                  <w:jc w:val="center"/>
                  <w:rPr>
                    <w:b/>
                  </w:rPr>
                </w:pPr>
                <w:r>
                  <w:rPr>
                    <w:b/>
                    <w:bCs/>
                    <w:caps/>
                  </w:rPr>
                  <w:t>PATVIRTINIMO“ pakeitimo</w:t>
                </w:r>
              </w:p>
            </w:tc>
          </w:tr>
          <w:tr>
            <w:trPr>
              <w:cantSplit/>
              <w:trHeight w:val="275"/>
            </w:trPr>
            <w:tc>
              <w:tcPr>
                <w:tcW w:w="9639" w:type="dxa"/>
              </w:tcPr>
              <w:p/>
            </w:tc>
          </w:tr>
          <w:tr>
            <w:trPr>
              <w:cantSplit/>
            </w:trPr>
            <w:tc>
              <w:tcPr>
                <w:tcW w:w="9639" w:type="dxa"/>
              </w:tcPr>
              <w:p>
                <w:pPr>
                  <w:jc w:val="center"/>
                  <w:rPr>
                    <w:szCs w:val="24"/>
                  </w:rPr>
                </w:pPr>
                <w:r>
                  <w:rPr>
                    <w:szCs w:val="24"/>
                  </w:rPr>
                  <w:t xml:space="preserve">2024 m.                        d. Nr. </w:t>
                </w:r>
              </w:p>
            </w:tc>
          </w:tr>
          <w:tr>
            <w:trPr>
              <w:cantSplit/>
            </w:trPr>
            <w:tc>
              <w:tcPr>
                <w:tcW w:w="9639" w:type="dxa"/>
              </w:tcPr>
              <w:p>
                <w:pPr>
                  <w:keepNext/>
                  <w:jc w:val="center"/>
                  <w:outlineLvl w:val="2"/>
                  <w:rPr>
                    <w:szCs w:val="24"/>
                  </w:rPr>
                </w:pPr>
                <w:r>
                  <w:rPr>
                    <w:szCs w:val="24"/>
                  </w:rPr>
                  <w:t>Zarasai</w:t>
                </w:r>
              </w:p>
            </w:tc>
          </w:tr>
        </w:tbl>
        <w:p>
          <w:pPr>
            <w:tabs>
              <w:tab w:val="left" w:pos="720"/>
              <w:tab w:val="left" w:pos="1293"/>
            </w:tabs>
            <w:overflowPunct w:val="0"/>
            <w:jc w:val="both"/>
            <w:rPr>
              <w:b/>
            </w:rPr>
          </w:pPr>
        </w:p>
      </w:sdtContent>
    </w:sdt>
    <w:sdt>
      <w:sdtPr>
        <w:alias w:val="pastraipa"/>
        <w:tag w:val="part_9b97838d85064172948c643816c08157"/>
        <w:lock w:val="sdtLocked"/>
        <w:richText/>
      </w:sdtPr>
      <w:sdtContent>
        <w:p>
          <w:pPr>
            <w:ind w:firstLine="1134"/>
            <w:jc w:val="both"/>
            <w:rPr>
              <w:b/>
              <w:bCs/>
              <w:szCs w:val="24"/>
              <w:lang w:eastAsia="lt-LT"/>
            </w:rPr>
          </w:pPr>
          <w:r>
            <w:rPr>
              <w:szCs w:val="24"/>
              <w:lang w:eastAsia="lt-LT"/>
            </w:rPr>
            <w:t xml:space="preserve">Vadovaudamasi Lietuvos Respublikos vietos savivaldos įstatymo 15 straipsnio 4 dalimi, Lietuvos Respublikos švietimo įstatymo 29 straipsnio 2 ir 3 dalimis, Priėmimo į valstybinę ir savivaldybės bendrojo ugdymo mokyklą mokytis pagal priešmokyklinio ugdymo, bendrojo ugdymo programas, ikimokyklinio ugdymo mokyklą mokytis pagal priešmokyklinio ugdymo programą kriterijų sąrašo, patvirtinto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priedo 2.2 papunkčiu, Zarasų rajono savivaldybės taryba  n u s p r e n d ž i a:</w:t>
          </w:r>
        </w:p>
        <w:sdt>
          <w:sdtPr>
            <w:alias w:val="1 p."/>
            <w:tag w:val="part_b3e07b771c1045cda24b1cee5b625259"/>
            <w:lock w:val="sdtLocked"/>
            <w:richText/>
          </w:sdtPr>
          <w:sdtContent>
            <w:p>
              <w:pPr>
                <w:widowControl w:val="0"/>
                <w:tabs>
                  <w:tab w:val="left" w:pos="1418"/>
                </w:tabs>
                <w:ind w:firstLine="1123"/>
                <w:jc w:val="both"/>
                <w:rPr>
                  <w:szCs w:val="24"/>
                </w:rPr>
              </w:pPr>
              <w:sdt>
                <w:sdtPr>
                  <w:alias w:val="Numeris"/>
                  <w:tag w:val="nr_b3e07b771c1045cda24b1cee5b625259"/>
                  <w:lock w:val="sdtLocked"/>
                  <w:richText/>
                </w:sdtPr>
                <w:sdtContent>
                  <w:r>
                    <w:rPr>
                      <w:szCs w:val="24"/>
                    </w:rPr>
                    <w:t>1</w:t>
                  </w:r>
                </w:sdtContent>
              </w:sdt>
              <w:r>
                <w:rPr>
                  <w:szCs w:val="24"/>
                </w:rPr>
                <w:t>.</w:t>
                <w:tab/>
                <w:t xml:space="preserve">Pakeisti Mokinių priėmimo į  Zarasų rajono savivaldybės bendrojo ugdymo mokyklas tvarkos aprašą, patvirtintą Zarasų rajono savivaldybės tarybos 2024 m. rugsėjo 23 d. sprendimu Nr. T</w:t>
                <w:noBreakHyphen/>
                <w:t>189 „Dėl Mokinių priėmimo į Zarasų rajono savivaldybės bendrojo ugdymo mokyklas tvarkos aprašo patvirtinimo“:</w:t>
              </w:r>
            </w:p>
            <w:sdt>
              <w:sdtPr>
                <w:alias w:val="1.1 pp."/>
                <w:tag w:val="part_55b2fc4623854999b44e0fe77c5543c8"/>
                <w:lock w:val="sdtLocked"/>
                <w:richText/>
              </w:sdtPr>
              <w:sdtContent>
                <w:p>
                  <w:pPr>
                    <w:widowControl w:val="0"/>
                    <w:tabs>
                      <w:tab w:val="left" w:pos="1418"/>
                    </w:tabs>
                    <w:ind w:left="1543" w:hanging="420"/>
                    <w:jc w:val="both"/>
                    <w:rPr>
                      <w:szCs w:val="24"/>
                    </w:rPr>
                  </w:pPr>
                  <w:sdt>
                    <w:sdtPr>
                      <w:alias w:val="Numeris"/>
                      <w:tag w:val="nr_55b2fc4623854999b44e0fe77c5543c8"/>
                      <w:lock w:val="sdtLocked"/>
                      <w:richText/>
                    </w:sdtPr>
                    <w:sdtContent>
                      <w:r>
                        <w:rPr>
                          <w:szCs w:val="24"/>
                        </w:rPr>
                        <w:t>1.1</w:t>
                      </w:r>
                    </w:sdtContent>
                  </w:sdt>
                  <w:r>
                    <w:rPr>
                      <w:szCs w:val="24"/>
                    </w:rPr>
                    <w:t>.</w:t>
                    <w:tab/>
                    <w:t>Išdėstyti 7 punktą taip:</w:t>
                  </w:r>
                </w:p>
                <w:sdt>
                  <w:sdtPr>
                    <w:alias w:val="citata"/>
                    <w:tag w:val="part_b297d52ebad14c64abd741819c668985"/>
                    <w:lock w:val="sdtLocked"/>
                    <w:richText/>
                  </w:sdtPr>
                  <w:sdtContent>
                    <w:sdt>
                      <w:sdtPr>
                        <w:alias w:val="7 p."/>
                        <w:tag w:val="part_88cb236fd6db48d7ac28ad5ad0c6239b"/>
                        <w:lock w:val="sdtLocked"/>
                        <w:richText/>
                      </w:sdtPr>
                      <w:sdtContent>
                        <w:p>
                          <w:pPr>
                            <w:widowControl w:val="0"/>
                            <w:tabs>
                              <w:tab w:val="left" w:pos="1134"/>
                              <w:tab w:val="left" w:pos="1440"/>
                            </w:tabs>
                            <w:overflowPunct w:val="0"/>
                            <w:ind w:firstLine="1123"/>
                            <w:jc w:val="both"/>
                            <w:rPr>
                              <w:szCs w:val="24"/>
                            </w:rPr>
                          </w:pPr>
                          <w:r>
                            <w:rPr>
                              <w:szCs w:val="24"/>
                            </w:rPr>
                            <w:t>„</w:t>
                          </w:r>
                          <w:sdt>
                            <w:sdtPr>
                              <w:alias w:val="Numeris"/>
                              <w:tag w:val="nr_88cb236fd6db48d7ac28ad5ad0c6239b"/>
                              <w:lock w:val="sdtLocked"/>
                              <w:richText/>
                            </w:sdtPr>
                            <w:sdtContent>
                              <w:r>
                                <w:rPr>
                                  <w:szCs w:val="24"/>
                                </w:rPr>
                                <w:t>7</w:t>
                              </w:r>
                            </w:sdtContent>
                          </w:sdt>
                          <w:r>
                            <w:rPr>
                              <w:szCs w:val="24"/>
                            </w:rPr>
                            <w:t xml:space="preserve">. Mokinių priėmimą prašymų priėmimo laikotarpiu ir per mokslo metus vykdo Mokyklos mokinių priėmimo komisija, kurios sudėtį ir darbo reglamentą tvirtina mokyklos vadovas. Komisijos sudėtis ir darbo reglamentas viešinami mokyklos interneto svetainėje.“  </w:t>
                          </w:r>
                        </w:p>
                      </w:sdtContent>
                    </w:sdt>
                  </w:sdtContent>
                </w:sdt>
              </w:sdtContent>
            </w:sdt>
            <w:sdt>
              <w:sdtPr>
                <w:alias w:val="1.2 pp."/>
                <w:tag w:val="part_5a15bdcddb7744609cd5456d70b30f40"/>
                <w:lock w:val="sdtLocked"/>
                <w:richText/>
              </w:sdtPr>
              <w:sdtContent>
                <w:p>
                  <w:pPr>
                    <w:widowControl w:val="0"/>
                    <w:tabs>
                      <w:tab w:val="left" w:pos="1418"/>
                      <w:tab w:val="left" w:pos="1560"/>
                    </w:tabs>
                    <w:ind w:firstLine="1134"/>
                    <w:jc w:val="both"/>
                    <w:rPr>
                      <w:szCs w:val="24"/>
                    </w:rPr>
                  </w:pPr>
                  <w:sdt>
                    <w:sdtPr>
                      <w:alias w:val="Numeris"/>
                      <w:tag w:val="nr_5a15bdcddb7744609cd5456d70b30f40"/>
                      <w:lock w:val="sdtLocked"/>
                      <w:richText/>
                    </w:sdtPr>
                    <w:sdtContent>
                      <w:r>
                        <w:rPr>
                          <w:szCs w:val="24"/>
                        </w:rPr>
                        <w:t>1.2</w:t>
                      </w:r>
                    </w:sdtContent>
                  </w:sdt>
                  <w:r>
                    <w:rPr>
                      <w:szCs w:val="24"/>
                    </w:rPr>
                    <w:t>.</w:t>
                    <w:tab/>
                    <w:t>Išdėstyti 23 punktą taip:</w:t>
                  </w:r>
                </w:p>
                <w:sdt>
                  <w:sdtPr>
                    <w:alias w:val="citata"/>
                    <w:tag w:val="part_a14d8c148a1a4dca8a9af8413b476520"/>
                    <w:lock w:val="sdtLocked"/>
                    <w:richText/>
                  </w:sdtPr>
                  <w:sdtContent>
                    <w:sdt>
                      <w:sdtPr>
                        <w:alias w:val="23 p."/>
                        <w:tag w:val="part_45da1ce2e11c4a42b583b98aef9feaa6"/>
                        <w:lock w:val="sdtLocked"/>
                        <w:richText/>
                      </w:sdtPr>
                      <w:sdtContent>
                        <w:p>
                          <w:pPr>
                            <w:widowControl w:val="0"/>
                            <w:tabs>
                              <w:tab w:val="left" w:pos="1418"/>
                            </w:tabs>
                            <w:overflowPunct w:val="0"/>
                            <w:ind w:firstLine="1123"/>
                            <w:jc w:val="both"/>
                            <w:rPr>
                              <w:szCs w:val="24"/>
                            </w:rPr>
                          </w:pPr>
                          <w:r>
                            <w:rPr>
                              <w:szCs w:val="24"/>
                            </w:rPr>
                            <w:t>„</w:t>
                          </w:r>
                          <w:sdt>
                            <w:sdtPr>
                              <w:alias w:val="Numeris"/>
                              <w:tag w:val="nr_45da1ce2e11c4a42b583b98aef9feaa6"/>
                              <w:lock w:val="sdtLocked"/>
                              <w:richText/>
                            </w:sdtPr>
                            <w:sdtContent>
                              <w:r>
                                <w:rPr>
                                  <w:szCs w:val="24"/>
                                </w:rPr>
                                <w:t>23</w:t>
                              </w:r>
                            </w:sdtContent>
                          </w:sdt>
                          <w:r>
                            <w:rPr>
                              <w:szCs w:val="24"/>
                            </w:rPr>
                            <w:t xml:space="preserve">. Prašymai mokytis teikiami mokyklai. Visi pateikti dokumentai registruojami mokyklos vadovo nustatyta tvarka. Prašymai priimami mokyklos darbo valandomis arba el. paštu kasmet nuo birželio 1 d. iki rugpjūčio 31 d. ir esant poreikiui per mokslo metus.“ </w:t>
                          </w:r>
                        </w:p>
                      </w:sdtContent>
                    </w:sdt>
                  </w:sdtContent>
                </w:sdt>
              </w:sdtContent>
            </w:sdt>
            <w:sdt>
              <w:sdtPr>
                <w:alias w:val="1.3 pp."/>
                <w:tag w:val="part_c45a7a1ed0e449958b76a532aeb9c523"/>
                <w:lock w:val="sdtLocked"/>
                <w:richText/>
              </w:sdtPr>
              <w:sdtContent>
                <w:p>
                  <w:pPr>
                    <w:tabs>
                      <w:tab w:val="left" w:pos="1560"/>
                    </w:tabs>
                    <w:ind w:firstLine="1134"/>
                    <w:jc w:val="both"/>
                    <w:rPr>
                      <w:szCs w:val="24"/>
                    </w:rPr>
                  </w:pPr>
                  <w:sdt>
                    <w:sdtPr>
                      <w:alias w:val="Numeris"/>
                      <w:tag w:val="nr_c45a7a1ed0e449958b76a532aeb9c523"/>
                      <w:lock w:val="sdtLocked"/>
                      <w:richText/>
                    </w:sdtPr>
                    <w:sdtContent>
                      <w:r>
                        <w:rPr>
                          <w:szCs w:val="24"/>
                        </w:rPr>
                        <w:t>1.3</w:t>
                      </w:r>
                    </w:sdtContent>
                  </w:sdt>
                  <w:r>
                    <w:rPr>
                      <w:szCs w:val="24"/>
                    </w:rPr>
                    <w:t>.</w:t>
                    <w:tab/>
                    <w:t>Papildyti priedu „Bendrojo ugdymo mokyklų aptarnavimo teritorijų sąrašas“ (pridedama).</w:t>
                  </w:r>
                </w:p>
              </w:sdtContent>
            </w:sdt>
          </w:sdtContent>
        </w:sdt>
        <w:sdt>
          <w:sdtPr>
            <w:alias w:val="2 p."/>
            <w:tag w:val="part_31c784819f59474cbab78466f8760fd4"/>
            <w:lock w:val="sdtLocked"/>
            <w:richText/>
          </w:sdtPr>
          <w:sdtContent>
            <w:p>
              <w:pPr>
                <w:tabs>
                  <w:tab w:val="left" w:pos="1134"/>
                  <w:tab w:val="left" w:pos="1418"/>
                </w:tabs>
                <w:ind w:right="-1" w:firstLine="1134"/>
                <w:jc w:val="both"/>
                <w:rPr>
                  <w:szCs w:val="24"/>
                </w:rPr>
              </w:pPr>
              <w:sdt>
                <w:sdtPr>
                  <w:alias w:val="Numeris"/>
                  <w:tag w:val="nr_31c784819f59474cbab78466f8760fd4"/>
                  <w:lock w:val="sdtLocked"/>
                  <w:richText/>
                </w:sdtPr>
                <w:sdtContent>
                  <w:r>
                    <w:rPr>
                      <w:szCs w:val="24"/>
                    </w:rPr>
                    <w:t>2</w:t>
                  </w:r>
                </w:sdtContent>
              </w:sdt>
              <w:r>
                <w:rPr>
                  <w:szCs w:val="24"/>
                </w:rPr>
                <w:t>.</w:t>
                <w:tab/>
                <w:t>Pripažinti netekusiu galios Zarasų rajono savivaldybės tarybos 2020 m. balandžio 30 d. sprendimą Nr. T-92 „Dėl Bendrojo ugdymo mokyklų, kurių savininko teises ir pareigas įgyvendinanti institucija yra Zarasų rajono savivaldybės taryba, aptarnavimo teritorijų priskyrimo“ su visais pakeitimais ir papildymais.</w:t>
              </w:r>
            </w:p>
          </w:sdtContent>
        </w:sdt>
        <w:sdt>
          <w:sdtPr>
            <w:alias w:val="3 p."/>
            <w:tag w:val="part_3ecdfcbf584e42129e26c4990c81fff6"/>
            <w:lock w:val="sdtLocked"/>
            <w:richText/>
          </w:sdtPr>
          <w:sdtContent>
            <w:p>
              <w:pPr>
                <w:widowControl w:val="0"/>
                <w:tabs>
                  <w:tab w:val="left" w:pos="1418"/>
                </w:tabs>
                <w:ind w:firstLine="1134"/>
                <w:jc w:val="both"/>
                <w:rPr>
                  <w:szCs w:val="24"/>
                </w:rPr>
              </w:pPr>
              <w:sdt>
                <w:sdtPr>
                  <w:alias w:val="Numeris"/>
                  <w:tag w:val="nr_3ecdfcbf584e42129e26c4990c81fff6"/>
                  <w:lock w:val="sdtLocked"/>
                  <w:richText/>
                </w:sdtPr>
                <w:sdtContent>
                  <w:r>
                    <w:rPr>
                      <w:szCs w:val="24"/>
                    </w:rPr>
                    <w:t>3</w:t>
                  </w:r>
                </w:sdtContent>
              </w:sdt>
              <w:r>
                <w:rPr>
                  <w:szCs w:val="24"/>
                </w:rPr>
                <w:t>.</w:t>
                <w:tab/>
                <w:t>P</w:t>
              </w:r>
              <w:r>
                <w:rPr>
                  <w:szCs w:val="24"/>
                  <w:lang w:eastAsia="lt-LT"/>
                </w:rPr>
                <w:t>askelbti sprendimą Teisės aktų registre ir Zarasų rajono savivaldybės interneto svetainėje www.zarasai.lt.</w:t>
              </w:r>
            </w:p>
            <w:p>
              <w:pPr>
                <w:jc w:val="both"/>
                <w:rPr>
                  <w:szCs w:val="24"/>
                </w:rPr>
              </w:pPr>
            </w:p>
            <w:p>
              <w:pPr>
                <w:tabs>
                  <w:tab w:val="left" w:pos="1560"/>
                  <w:tab w:val="left" w:pos="10348"/>
                </w:tabs>
                <w:ind w:right="283"/>
                <w:rPr>
                  <w:szCs w:val="24"/>
                </w:rPr>
              </w:pPr>
            </w:p>
            <w:tbl>
              <w:tblPr>
                <w:tblW w:w="9606" w:type="dxa"/>
                <w:tblInd w:w="-106" w:type="dxa"/>
                <w:tblLayout w:type="fixed"/>
                <w:tblLook w:val="0000" w:firstRow="0" w:lastRow="0" w:firstColumn="0" w:lastColumn="0" w:noHBand="0" w:noVBand="0"/>
              </w:tblPr>
              <w:tblGrid>
                <w:gridCol w:w="4820"/>
                <w:gridCol w:w="1951"/>
                <w:gridCol w:w="2835"/>
              </w:tblGrid>
              <w:tr>
                <w:tc>
                  <w:tcPr>
                    <w:tcW w:w="4820" w:type="dxa"/>
                  </w:tcPr>
                  <w:p>
                    <w:pPr>
                      <w:tabs>
                        <w:tab w:val="left" w:pos="10348"/>
                      </w:tabs>
                      <w:rPr>
                        <w:szCs w:val="24"/>
                      </w:rPr>
                    </w:pPr>
                    <w:r>
                      <w:rPr>
                        <w:szCs w:val="24"/>
                      </w:rPr>
                      <w:t>Savivaldybės meras</w:t>
                    </w:r>
                  </w:p>
                </w:tc>
                <w:tc>
                  <w:tcPr>
                    <w:tcW w:w="1951" w:type="dxa"/>
                  </w:tcPr>
                  <w:p>
                    <w:pPr>
                      <w:tabs>
                        <w:tab w:val="left" w:pos="10348"/>
                      </w:tabs>
                      <w:rPr>
                        <w:szCs w:val="24"/>
                      </w:rPr>
                    </w:pPr>
                  </w:p>
                </w:tc>
                <w:tc>
                  <w:tcPr>
                    <w:tcW w:w="2835" w:type="dxa"/>
                  </w:tcPr>
                  <w:p>
                    <w:pPr>
                      <w:tabs>
                        <w:tab w:val="left" w:pos="10348"/>
                      </w:tabs>
                      <w:ind w:right="-250" w:firstLine="496"/>
                      <w:jc w:val="right"/>
                      <w:rPr>
                        <w:szCs w:val="24"/>
                      </w:rPr>
                    </w:pPr>
                  </w:p>
                </w:tc>
              </w:tr>
            </w:tbl>
            <w:p>
              <w:pPr>
                <w:tabs>
                  <w:tab w:val="left" w:pos="10348"/>
                </w:tabs>
                <w:rPr>
                  <w:szCs w:val="24"/>
                </w:rPr>
              </w:pPr>
            </w:p>
            <w:p>
              <w:pPr>
                <w:tabs>
                  <w:tab w:val="right" w:pos="9638"/>
                </w:tabs>
                <w:rPr>
                  <w:lang w:eastAsia="lt-LT"/>
                </w:rPr>
              </w:pPr>
            </w:p>
            <w:p>
              <w:pPr>
                <w:tabs>
                  <w:tab w:val="right" w:pos="9638"/>
                </w:tabs>
                <w:rPr>
                  <w:lang w:eastAsia="lt-LT"/>
                </w:rPr>
              </w:pPr>
              <w:r>
                <w:rPr>
                  <w:lang w:eastAsia="lt-LT"/>
                </w:rPr>
                <w:t>Parengė</w:t>
              </w:r>
            </w:p>
            <w:p>
              <w:pPr>
                <w:tabs>
                  <w:tab w:val="right" w:pos="9638"/>
                </w:tabs>
                <w:rPr>
                  <w:lang w:eastAsia="lt-LT"/>
                </w:rPr>
              </w:pPr>
              <w:r>
                <w:rPr>
                  <w:lang w:eastAsia="lt-LT"/>
                </w:rPr>
                <w:t>Švietimo, kultūros ir sporto skyriaus vyriausioji specialistė</w:t>
              </w:r>
            </w:p>
            <w:p>
              <w:pPr>
                <w:tabs>
                  <w:tab w:val="right" w:pos="9638"/>
                </w:tabs>
                <w:rPr>
                  <w:lang w:eastAsia="lt-LT"/>
                </w:rPr>
              </w:pPr>
              <w:r>
                <w:rPr>
                  <w:lang w:eastAsia="lt-LT"/>
                </w:rPr>
                <w:t>Renata Šatrovienė</w:t>
              </w:r>
            </w:p>
            <w:p>
              <w:pPr>
                <w:tabs>
                  <w:tab w:val="right" w:pos="9638"/>
                </w:tabs>
                <w:rPr>
                  <w:lang w:eastAsia="lt-LT"/>
                </w:rPr>
              </w:pPr>
              <w:r>
                <w:rPr>
                  <w:lang w:eastAsia="lt-LT"/>
                </w:rPr>
                <w:t>2024-12-</w:t>
              </w:r>
            </w:p>
            <w:p>
              <w:pPr>
                <w:tabs>
                  <w:tab w:val="right" w:pos="9638"/>
                </w:tabs>
                <w:rPr>
                  <w:lang w:eastAsia="lt-LT"/>
                </w:rPr>
              </w:pPr>
            </w:p>
            <w:p>
              <w:pPr>
                <w:tabs>
                  <w:tab w:val="right" w:pos="9638"/>
                </w:tabs>
                <w:rPr>
                  <w:lang w:eastAsia="lt-LT"/>
                </w:rPr>
                <w:sectPr>
                  <w:headerReference w:type="even" r:id="rId7"/>
                  <w:headerReference w:type="default" r:id="rId8"/>
                  <w:footerReference w:type="even" r:id="rId9"/>
                  <w:footerReference w:type="default" r:id="rId10"/>
                  <w:headerReference w:type="first" r:id="rId11"/>
                  <w:footerReference w:type="first" r:id="rId12"/>
                  <w:pgSz w:w="11906" w:h="16838"/>
                  <w:pgMar w:top="709" w:right="567" w:bottom="567" w:left="1701" w:header="567" w:footer="567" w:gutter="0"/>
                  <w:pgNumType w:start="5"/>
                  <w:cols w:space="1296"/>
                  <w:titlePg/>
                  <w:docGrid w:linePitch="360"/>
                </w:sectPr>
              </w:pPr>
              <w:r>
                <w:rPr>
                  <w:lang w:eastAsia="lt-LT"/>
                </w:rPr>
                <w:t>Pateikti: Švietimo, kultūros ir sporto skyriui, Zarasų rajono bendrojo ugdymo mokykloms.</w:t>
              </w:r>
            </w:p>
            <w:p>
              <w:pPr>
                <w:tabs>
                  <w:tab w:val="center" w:pos="4819"/>
                  <w:tab w:val="right" w:pos="9638"/>
                </w:tabs>
              </w:pPr>
            </w:p>
            <w:p>
              <w:pPr>
                <w:ind w:left="6237"/>
                <w:rPr>
                  <w:szCs w:val="24"/>
                </w:rPr>
              </w:pPr>
              <w:r>
                <w:rPr>
                  <w:szCs w:val="24"/>
                </w:rPr>
                <w:t xml:space="preserve">Mokinių priėmimo į  Zarasų rajono savivaldybės bendrojo ugdymo mokyklas tvarkos aprašo priedas</w:t>
              </w:r>
            </w:p>
            <w:p>
              <w:pPr>
                <w:jc w:val="center"/>
                <w:rPr>
                  <w:szCs w:val="24"/>
                </w:rPr>
              </w:pPr>
            </w:p>
            <w:p>
              <w:pPr>
                <w:jc w:val="center"/>
                <w:rPr>
                  <w:b/>
                  <w:bCs/>
                  <w:szCs w:val="24"/>
                </w:rPr>
              </w:pPr>
              <w:r>
                <w:rPr>
                  <w:b/>
                  <w:szCs w:val="24"/>
                </w:rPr>
                <w:t xml:space="preserve">BENDROJO UGDYMO MOKYKLŲ </w:t>
              </w:r>
              <w:r>
                <w:rPr>
                  <w:b/>
                  <w:bCs/>
                  <w:szCs w:val="24"/>
                </w:rPr>
                <w:t>APTARNAVIMO TERITORIJŲ SĄRAŠAS</w:t>
              </w:r>
            </w:p>
            <w:p>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3"/>
                <w:gridCol w:w="2368"/>
                <w:gridCol w:w="3080"/>
                <w:gridCol w:w="3323"/>
              </w:tblGrid>
              <w:tr>
                <w:trPr>
                  <w:trHeight w:val="573"/>
                  <w:tblHeader/>
                </w:trPr>
                <w:tc>
                  <w:tcPr>
                    <w:tcW w:w="307" w:type="pct"/>
                  </w:tcPr>
                  <w:p>
                    <w:pPr>
                      <w:jc w:val="center"/>
                      <w:rPr>
                        <w:szCs w:val="24"/>
                      </w:rPr>
                    </w:pPr>
                    <w:r>
                      <w:rPr>
                        <w:szCs w:val="24"/>
                      </w:rPr>
                      <w:t>Eil.</w:t>
                    </w:r>
                  </w:p>
                  <w:p>
                    <w:pPr>
                      <w:jc w:val="center"/>
                      <w:rPr>
                        <w:szCs w:val="24"/>
                      </w:rPr>
                    </w:pPr>
                    <w:r>
                      <w:rPr>
                        <w:szCs w:val="24"/>
                      </w:rPr>
                      <w:t>Nr.</w:t>
                    </w:r>
                  </w:p>
                </w:tc>
                <w:tc>
                  <w:tcPr>
                    <w:tcW w:w="1267" w:type="pct"/>
                  </w:tcPr>
                  <w:p>
                    <w:pPr>
                      <w:jc w:val="center"/>
                      <w:rPr>
                        <w:szCs w:val="24"/>
                      </w:rPr>
                    </w:pPr>
                    <w:r>
                      <w:rPr>
                        <w:szCs w:val="24"/>
                      </w:rPr>
                      <w:t>Mokyklos pavadinimas</w:t>
                    </w:r>
                  </w:p>
                </w:tc>
                <w:tc>
                  <w:tcPr>
                    <w:tcW w:w="1648" w:type="pct"/>
                  </w:tcPr>
                  <w:p>
                    <w:pPr>
                      <w:jc w:val="center"/>
                      <w:rPr>
                        <w:szCs w:val="24"/>
                      </w:rPr>
                    </w:pPr>
                    <w:r>
                      <w:rPr>
                        <w:szCs w:val="24"/>
                      </w:rPr>
                      <w:t>Vykdoma programa</w:t>
                    </w:r>
                  </w:p>
                </w:tc>
                <w:tc>
                  <w:tcPr>
                    <w:tcW w:w="1778" w:type="pct"/>
                  </w:tcPr>
                  <w:p>
                    <w:pPr>
                      <w:jc w:val="center"/>
                      <w:rPr>
                        <w:szCs w:val="24"/>
                      </w:rPr>
                    </w:pPr>
                    <w:r>
                      <w:rPr>
                        <w:szCs w:val="24"/>
                      </w:rPr>
                      <w:t>Aptarnavimo teritorija</w:t>
                    </w:r>
                  </w:p>
                  <w:p>
                    <w:pPr>
                      <w:rPr>
                        <w:szCs w:val="24"/>
                      </w:rPr>
                    </w:pPr>
                  </w:p>
                </w:tc>
              </w:tr>
              <w:tr>
                <w:trPr>
                  <w:cantSplit/>
                  <w:trHeight w:val="1104"/>
                </w:trPr>
                <w:tc>
                  <w:tcPr>
                    <w:tcW w:w="307" w:type="pct"/>
                  </w:tcPr>
                  <w:p>
                    <w:pPr>
                      <w:jc w:val="center"/>
                      <w:rPr>
                        <w:szCs w:val="24"/>
                      </w:rPr>
                    </w:pPr>
                    <w:r>
                      <w:rPr>
                        <w:szCs w:val="24"/>
                      </w:rPr>
                      <w:t>1.</w:t>
                    </w:r>
                  </w:p>
                </w:tc>
                <w:tc>
                  <w:tcPr>
                    <w:tcW w:w="1267" w:type="pct"/>
                  </w:tcPr>
                  <w:p>
                    <w:pPr>
                      <w:rPr>
                        <w:szCs w:val="24"/>
                      </w:rPr>
                    </w:pPr>
                    <w:r>
                      <w:rPr>
                        <w:szCs w:val="24"/>
                      </w:rPr>
                      <w:t>Zarasų r. Antazavės Juozo Gruodžio pagrindinė mokykla</w:t>
                    </w:r>
                  </w:p>
                </w:tc>
                <w:tc>
                  <w:tcPr>
                    <w:tcW w:w="1648" w:type="pct"/>
                  </w:tcPr>
                  <w:p>
                    <w:pPr>
                      <w:rPr>
                        <w:szCs w:val="24"/>
                      </w:rPr>
                    </w:pPr>
                    <w:r>
                      <w:rPr>
                        <w:szCs w:val="24"/>
                      </w:rPr>
                      <w:t>Ikimokyklinio, priešmokyklinio, pradinio ir pagrindinio ugdymo</w:t>
                    </w:r>
                  </w:p>
                </w:tc>
                <w:tc>
                  <w:tcPr>
                    <w:tcW w:w="1778" w:type="pct"/>
                  </w:tcPr>
                  <w:p>
                    <w:pPr>
                      <w:rPr>
                        <w:color w:val="000000"/>
                        <w:szCs w:val="24"/>
                      </w:rPr>
                    </w:pPr>
                    <w:r>
                      <w:rPr>
                        <w:color w:val="000000"/>
                        <w:szCs w:val="24"/>
                      </w:rPr>
                      <w:t>Dusetų seniūnijos Antazavės seniūnaitija ir Imbrado seniūnijos Avilių ir Šniukštų seniūnaitijos</w:t>
                    </w:r>
                  </w:p>
                </w:tc>
              </w:tr>
              <w:tr>
                <w:trPr>
                  <w:cantSplit/>
                  <w:trHeight w:val="860"/>
                </w:trPr>
                <w:tc>
                  <w:tcPr>
                    <w:tcW w:w="307" w:type="pct"/>
                    <w:vMerge w:val="restart"/>
                  </w:tcPr>
                  <w:p>
                    <w:pPr>
                      <w:jc w:val="center"/>
                      <w:rPr>
                        <w:szCs w:val="24"/>
                      </w:rPr>
                    </w:pPr>
                    <w:r>
                      <w:rPr>
                        <w:szCs w:val="24"/>
                      </w:rPr>
                      <w:t>2.</w:t>
                    </w:r>
                  </w:p>
                </w:tc>
                <w:tc>
                  <w:tcPr>
                    <w:tcW w:w="1267" w:type="pct"/>
                    <w:vMerge w:val="restart"/>
                  </w:tcPr>
                  <w:p>
                    <w:pPr>
                      <w:rPr>
                        <w:szCs w:val="24"/>
                      </w:rPr>
                    </w:pPr>
                    <w:r>
                      <w:rPr>
                        <w:szCs w:val="24"/>
                      </w:rPr>
                      <w:t xml:space="preserve">Zarasų r. Dusetų Kazimiero Būgos gimnazija  </w:t>
                    </w:r>
                  </w:p>
                  <w:p>
                    <w:pPr>
                      <w:jc w:val="both"/>
                      <w:rPr>
                        <w:szCs w:val="24"/>
                      </w:rPr>
                    </w:pPr>
                  </w:p>
                  <w:p>
                    <w:pPr>
                      <w:rPr>
                        <w:szCs w:val="24"/>
                      </w:rPr>
                    </w:pPr>
                  </w:p>
                </w:tc>
                <w:tc>
                  <w:tcPr>
                    <w:tcW w:w="1648" w:type="pct"/>
                  </w:tcPr>
                  <w:p>
                    <w:pPr>
                      <w:rPr>
                        <w:szCs w:val="24"/>
                      </w:rPr>
                    </w:pPr>
                    <w:r>
                      <w:rPr>
                        <w:szCs w:val="24"/>
                      </w:rPr>
                      <w:t>Ikimokyklinio, priešmokyklinio, pradinio ir pagrindinio vidurinio ugdymo</w:t>
                    </w:r>
                  </w:p>
                </w:tc>
                <w:tc>
                  <w:tcPr>
                    <w:tcW w:w="1778" w:type="pct"/>
                  </w:tcPr>
                  <w:p>
                    <w:pPr>
                      <w:rPr>
                        <w:color w:val="000000"/>
                        <w:szCs w:val="24"/>
                      </w:rPr>
                    </w:pPr>
                    <w:r>
                      <w:rPr>
                        <w:color w:val="000000"/>
                        <w:szCs w:val="24"/>
                      </w:rPr>
                      <w:t xml:space="preserve">Dusetų seniūnija, Imbrado seniūnijos Avilių ir Šniukštų seniūnaitijos </w:t>
                    </w:r>
                  </w:p>
                </w:tc>
              </w:tr>
              <w:tr>
                <w:trPr>
                  <w:cantSplit/>
                  <w:trHeight w:val="1018"/>
                </w:trPr>
                <w:tc>
                  <w:tcPr>
                    <w:tcW w:w="307" w:type="pct"/>
                    <w:vMerge/>
                  </w:tcPr>
                  <w:p>
                    <w:pPr>
                      <w:jc w:val="center"/>
                      <w:rPr>
                        <w:szCs w:val="24"/>
                      </w:rPr>
                    </w:pPr>
                  </w:p>
                </w:tc>
                <w:tc>
                  <w:tcPr>
                    <w:tcW w:w="1267" w:type="pct"/>
                    <w:vMerge/>
                  </w:tcPr>
                  <w:p>
                    <w:pPr>
                      <w:jc w:val="both"/>
                      <w:rPr>
                        <w:szCs w:val="24"/>
                      </w:rPr>
                    </w:pPr>
                  </w:p>
                </w:tc>
                <w:tc>
                  <w:tcPr>
                    <w:tcW w:w="1648" w:type="pct"/>
                  </w:tcPr>
                  <w:p>
                    <w:pPr>
                      <w:rPr>
                        <w:szCs w:val="24"/>
                      </w:rPr>
                    </w:pPr>
                    <w:r>
                      <w:rPr>
                        <w:szCs w:val="24"/>
                      </w:rPr>
                      <w:t xml:space="preserve">Ikimokyklinio, priešmokyklinio, pradinio ir pagrindinio ugdymo individualizuotos; socialinių įgūdžių </w:t>
                    </w:r>
                  </w:p>
                </w:tc>
                <w:tc>
                  <w:tcPr>
                    <w:tcW w:w="1778" w:type="pct"/>
                  </w:tcPr>
                  <w:p>
                    <w:pPr>
                      <w:rPr>
                        <w:color w:val="000000"/>
                        <w:szCs w:val="24"/>
                      </w:rPr>
                    </w:pPr>
                    <w:r>
                      <w:rPr>
                        <w:color w:val="000000"/>
                        <w:szCs w:val="24"/>
                      </w:rPr>
                      <w:t>Teritorija nepriskiriama</w:t>
                    </w:r>
                  </w:p>
                </w:tc>
              </w:tr>
              <w:tr>
                <w:trPr>
                  <w:cantSplit/>
                  <w:trHeight w:val="864"/>
                </w:trPr>
                <w:tc>
                  <w:tcPr>
                    <w:tcW w:w="307" w:type="pct"/>
                  </w:tcPr>
                  <w:p>
                    <w:pPr>
                      <w:jc w:val="center"/>
                      <w:rPr>
                        <w:szCs w:val="24"/>
                      </w:rPr>
                    </w:pPr>
                    <w:r>
                      <w:rPr>
                        <w:szCs w:val="24"/>
                      </w:rPr>
                      <w:t>3.</w:t>
                    </w:r>
                  </w:p>
                </w:tc>
                <w:tc>
                  <w:tcPr>
                    <w:tcW w:w="1267" w:type="pct"/>
                  </w:tcPr>
                  <w:p>
                    <w:pPr>
                      <w:rPr>
                        <w:szCs w:val="24"/>
                      </w:rPr>
                    </w:pPr>
                    <w:r>
                      <w:rPr>
                        <w:szCs w:val="24"/>
                      </w:rPr>
                      <w:t>Zarasų „Ąžuolo“ gimnazija</w:t>
                    </w:r>
                  </w:p>
                </w:tc>
                <w:tc>
                  <w:tcPr>
                    <w:tcW w:w="1648" w:type="pct"/>
                  </w:tcPr>
                  <w:p>
                    <w:pPr>
                      <w:rPr>
                        <w:szCs w:val="24"/>
                      </w:rPr>
                    </w:pPr>
                    <w:r>
                      <w:rPr>
                        <w:szCs w:val="24"/>
                      </w:rPr>
                      <w:t>Pagrindinio ugdymo programos II dalis, vidurinio ugdymo</w:t>
                    </w:r>
                  </w:p>
                </w:tc>
                <w:tc>
                  <w:tcPr>
                    <w:tcW w:w="1778" w:type="pct"/>
                  </w:tcPr>
                  <w:p>
                    <w:pPr>
                      <w:rPr>
                        <w:color w:val="000000"/>
                        <w:szCs w:val="24"/>
                      </w:rPr>
                    </w:pPr>
                    <w:r>
                      <w:rPr>
                        <w:color w:val="000000"/>
                        <w:szCs w:val="24"/>
                      </w:rPr>
                      <w:t>Salako, Turmanto, Zarasų seniūnijos, Imbrado seniūnija, išskyrus Avilių ir Šniukštų seniūnaitijas</w:t>
                    </w:r>
                  </w:p>
                </w:tc>
              </w:tr>
              <w:tr>
                <w:trPr>
                  <w:trHeight w:val="1136"/>
                </w:trPr>
                <w:tc>
                  <w:tcPr>
                    <w:tcW w:w="307" w:type="pct"/>
                  </w:tcPr>
                  <w:p>
                    <w:pPr>
                      <w:jc w:val="center"/>
                      <w:rPr>
                        <w:szCs w:val="24"/>
                      </w:rPr>
                    </w:pPr>
                    <w:r>
                      <w:rPr>
                        <w:szCs w:val="24"/>
                      </w:rPr>
                      <w:t>4.</w:t>
                    </w:r>
                  </w:p>
                </w:tc>
                <w:tc>
                  <w:tcPr>
                    <w:tcW w:w="1267" w:type="pct"/>
                  </w:tcPr>
                  <w:p>
                    <w:pPr>
                      <w:rPr>
                        <w:szCs w:val="24"/>
                      </w:rPr>
                    </w:pPr>
                    <w:r>
                      <w:rPr>
                        <w:szCs w:val="24"/>
                      </w:rPr>
                      <w:t>Zarasų Pauliaus Širvio progimnazija</w:t>
                    </w:r>
                  </w:p>
                </w:tc>
                <w:tc>
                  <w:tcPr>
                    <w:tcW w:w="1648" w:type="pct"/>
                  </w:tcPr>
                  <w:p>
                    <w:pPr>
                      <w:rPr>
                        <w:szCs w:val="24"/>
                      </w:rPr>
                    </w:pPr>
                    <w:r>
                      <w:rPr>
                        <w:szCs w:val="24"/>
                      </w:rPr>
                      <w:t>Pagrindinio ugdymo I dalis</w:t>
                    </w:r>
                  </w:p>
                </w:tc>
                <w:tc>
                  <w:tcPr>
                    <w:tcW w:w="1778" w:type="pct"/>
                  </w:tcPr>
                  <w:p>
                    <w:pPr>
                      <w:rPr>
                        <w:color w:val="000000"/>
                        <w:szCs w:val="24"/>
                      </w:rPr>
                    </w:pPr>
                    <w:r>
                      <w:rPr>
                        <w:color w:val="000000"/>
                        <w:szCs w:val="24"/>
                      </w:rPr>
                      <w:t>Salako, Turmanto, Zarasų seniūnijos, Imbrado seniūnija, išskyrus Avilių ir Šniukštų seniūnaitijas</w:t>
                    </w:r>
                  </w:p>
                </w:tc>
              </w:tr>
              <w:tr>
                <w:trPr>
                  <w:cantSplit/>
                  <w:trHeight w:val="1133"/>
                </w:trPr>
                <w:tc>
                  <w:tcPr>
                    <w:tcW w:w="307" w:type="pct"/>
                  </w:tcPr>
                  <w:p>
                    <w:pPr>
                      <w:tabs>
                        <w:tab w:val="left" w:pos="567"/>
                      </w:tabs>
                      <w:jc w:val="center"/>
                      <w:rPr>
                        <w:szCs w:val="24"/>
                      </w:rPr>
                    </w:pPr>
                    <w:r>
                      <w:rPr>
                        <w:szCs w:val="24"/>
                      </w:rPr>
                      <w:t>5.</w:t>
                    </w:r>
                  </w:p>
                </w:tc>
                <w:tc>
                  <w:tcPr>
                    <w:tcW w:w="1267" w:type="pct"/>
                  </w:tcPr>
                  <w:p>
                    <w:pPr>
                      <w:tabs>
                        <w:tab w:val="left" w:pos="567"/>
                      </w:tabs>
                      <w:rPr>
                        <w:szCs w:val="24"/>
                      </w:rPr>
                    </w:pPr>
                    <w:r>
                      <w:rPr>
                        <w:szCs w:val="24"/>
                      </w:rPr>
                      <w:t>Zarasų „Santarvės“ pradinė mokykla</w:t>
                    </w:r>
                  </w:p>
                </w:tc>
                <w:tc>
                  <w:tcPr>
                    <w:tcW w:w="1648" w:type="pct"/>
                  </w:tcPr>
                  <w:p>
                    <w:pPr>
                      <w:tabs>
                        <w:tab w:val="left" w:pos="567"/>
                      </w:tabs>
                      <w:rPr>
                        <w:szCs w:val="24"/>
                      </w:rPr>
                    </w:pPr>
                    <w:r>
                      <w:rPr>
                        <w:szCs w:val="24"/>
                      </w:rPr>
                      <w:t>Priešmokyklinio ir pradinio ugdymo</w:t>
                    </w:r>
                  </w:p>
                </w:tc>
                <w:tc>
                  <w:tcPr>
                    <w:tcW w:w="1778" w:type="pct"/>
                  </w:tcPr>
                  <w:p>
                    <w:pPr>
                      <w:tabs>
                        <w:tab w:val="left" w:pos="567"/>
                      </w:tabs>
                      <w:rPr>
                        <w:szCs w:val="24"/>
                      </w:rPr>
                    </w:pPr>
                    <w:r>
                      <w:rPr>
                        <w:color w:val="000000"/>
                        <w:szCs w:val="24"/>
                      </w:rPr>
                      <w:t>Salako, Turmanto, Zarasų seniūnijos, Imbrado seniūnija, išskyrus Avilių ir Šniukštų seniūnaitijas</w:t>
                    </w:r>
                  </w:p>
                </w:tc>
              </w:tr>
              <w:tr>
                <w:trPr>
                  <w:cantSplit/>
                  <w:trHeight w:val="823"/>
                </w:trPr>
                <w:tc>
                  <w:tcPr>
                    <w:tcW w:w="307" w:type="pct"/>
                    <w:vMerge w:val="restart"/>
                  </w:tcPr>
                  <w:p>
                    <w:pPr>
                      <w:jc w:val="center"/>
                      <w:rPr>
                        <w:szCs w:val="24"/>
                      </w:rPr>
                    </w:pPr>
                    <w:r>
                      <w:rPr>
                        <w:szCs w:val="24"/>
                      </w:rPr>
                      <w:t>6.</w:t>
                    </w:r>
                  </w:p>
                </w:tc>
                <w:tc>
                  <w:tcPr>
                    <w:tcW w:w="1267" w:type="pct"/>
                    <w:vMerge w:val="restart"/>
                  </w:tcPr>
                  <w:p>
                    <w:pPr>
                      <w:rPr>
                        <w:szCs w:val="24"/>
                      </w:rPr>
                    </w:pPr>
                    <w:r>
                      <w:rPr>
                        <w:szCs w:val="24"/>
                      </w:rPr>
                      <w:t>Zarasų „Lakštingalos“ mokykla</w:t>
                    </w:r>
                  </w:p>
                </w:tc>
                <w:tc>
                  <w:tcPr>
                    <w:tcW w:w="1648" w:type="pct"/>
                  </w:tcPr>
                  <w:p>
                    <w:pPr>
                      <w:rPr>
                        <w:szCs w:val="24"/>
                      </w:rPr>
                    </w:pPr>
                    <w:r>
                      <w:rPr>
                        <w:szCs w:val="24"/>
                      </w:rPr>
                      <w:t>Ikimokyklinio ugdymo</w:t>
                    </w:r>
                  </w:p>
                </w:tc>
                <w:tc>
                  <w:tcPr>
                    <w:tcW w:w="1778" w:type="pct"/>
                  </w:tcPr>
                  <w:p>
                    <w:pPr>
                      <w:rPr>
                        <w:szCs w:val="24"/>
                      </w:rPr>
                    </w:pPr>
                    <w:r>
                      <w:rPr>
                        <w:color w:val="000000"/>
                        <w:szCs w:val="24"/>
                      </w:rPr>
                      <w:t>Salako, Turmanto, Zarasų seniūnijos, Imbrado seniūnija, išskyrus Avilių ir Šniukštų seniūnaitijas</w:t>
                    </w:r>
                  </w:p>
                </w:tc>
              </w:tr>
              <w:tr>
                <w:trPr>
                  <w:cantSplit/>
                  <w:trHeight w:val="750"/>
                </w:trPr>
                <w:tc>
                  <w:tcPr>
                    <w:tcW w:w="307" w:type="pct"/>
                    <w:vMerge/>
                  </w:tcPr>
                  <w:p>
                    <w:pPr>
                      <w:jc w:val="center"/>
                      <w:rPr>
                        <w:szCs w:val="24"/>
                      </w:rPr>
                    </w:pPr>
                  </w:p>
                </w:tc>
                <w:tc>
                  <w:tcPr>
                    <w:tcW w:w="1267" w:type="pct"/>
                    <w:vMerge/>
                  </w:tcPr>
                  <w:p>
                    <w:pPr>
                      <w:rPr>
                        <w:szCs w:val="24"/>
                      </w:rPr>
                    </w:pPr>
                  </w:p>
                </w:tc>
                <w:tc>
                  <w:tcPr>
                    <w:tcW w:w="1648" w:type="pct"/>
                  </w:tcPr>
                  <w:p>
                    <w:pPr>
                      <w:rPr>
                        <w:szCs w:val="24"/>
                      </w:rPr>
                    </w:pPr>
                    <w:r>
                      <w:rPr>
                        <w:szCs w:val="24"/>
                      </w:rPr>
                      <w:t>Ikimokyklinio, priešmokyklinio, pradinio ir pagrindinio ugdymo individualizuotos; socialinių įgūdžių</w:t>
                    </w:r>
                  </w:p>
                </w:tc>
                <w:tc>
                  <w:tcPr>
                    <w:tcW w:w="1778" w:type="pct"/>
                  </w:tcPr>
                  <w:p>
                    <w:pPr>
                      <w:rPr>
                        <w:szCs w:val="24"/>
                      </w:rPr>
                    </w:pPr>
                    <w:r>
                      <w:rPr>
                        <w:szCs w:val="24"/>
                      </w:rPr>
                      <w:t>Teritorija nepriskiriama</w:t>
                    </w:r>
                  </w:p>
                </w:tc>
              </w:tr>
            </w:tbl>
            <w:p>
              <w:pPr>
                <w:jc w:val="center"/>
                <w:rPr>
                  <w:szCs w:val="24"/>
                </w:rPr>
              </w:pPr>
            </w:p>
            <w:p>
              <w:pPr>
                <w:jc w:val="center"/>
                <w:rPr>
                  <w:szCs w:val="24"/>
                </w:rPr>
              </w:pPr>
            </w:p>
          </w:sdtContent>
        </w:sdt>
        <w:sdt>
          <w:sdtPr>
            <w:alias w:val="pabaiga"/>
            <w:tag w:val="part_8925db19b44c4a3fb04a0c6da96ecd09"/>
            <w:lock w:val="sdtLocked"/>
            <w:richText/>
          </w:sdtPr>
          <w:sdtContent>
            <w:p>
              <w:pPr>
                <w:jc w:val="center"/>
                <w:rPr>
                  <w:szCs w:val="24"/>
                </w:rPr>
              </w:pPr>
              <w:r>
                <w:rPr>
                  <w:szCs w:val="24"/>
                </w:rPr>
                <w:t>________________</w:t>
              </w:r>
            </w:p>
            <w:p>
              <w:pPr>
                <w:tabs>
                  <w:tab w:val="left" w:pos="1276"/>
                </w:tabs>
                <w:rPr>
                  <w:szCs w:val="24"/>
                </w:rPr>
              </w:pPr>
            </w:p>
            <w:p>
              <w:pPr>
                <w:tabs>
                  <w:tab w:val="left" w:pos="1276"/>
                </w:tabs>
                <w:rPr>
                  <w:szCs w:val="24"/>
                </w:rPr>
              </w:pPr>
            </w:p>
            <w:p>
              <w:pPr>
                <w:tabs>
                  <w:tab w:val="left" w:pos="1276"/>
                </w:tabs>
                <w:ind w:firstLine="851"/>
                <w:rPr>
                  <w:szCs w:val="24"/>
                </w:rPr>
              </w:pPr>
            </w:p>
            <w:p>
              <w:pPr>
                <w:tabs>
                  <w:tab w:val="left" w:pos="1276"/>
                </w:tabs>
                <w:ind w:firstLine="851"/>
                <w:rPr>
                  <w:szCs w:val="24"/>
                </w:rPr>
              </w:pPr>
            </w:p>
            <w:p>
              <w:pPr>
                <w:tabs>
                  <w:tab w:val="left" w:pos="1276"/>
                </w:tabs>
                <w:ind w:firstLine="851"/>
                <w:rPr>
                  <w:szCs w:val="24"/>
                </w:rPr>
              </w:pPr>
            </w:p>
            <w:p>
              <w:pPr>
                <w:tabs>
                  <w:tab w:val="center" w:pos="4819"/>
                  <w:tab w:val="right" w:pos="9638"/>
                </w:tabs>
              </w:pPr>
            </w:p>
          </w:sdtContent>
        </w:sdt>
      </w:sdtContent>
    </w:sdt>
    <w:sdt>
      <w:sdtPr>
        <w:alias w:val="pr."/>
        <w:tag w:val="part_8fd71505cc734cb0b024617a6064c7d4"/>
        <w:lock w:val="sdtLocked"/>
        <w:richText/>
      </w:sdtPr>
      <w:sdtContent>
        <w:p>
          <w:pPr>
            <w:tabs>
              <w:tab w:val="center" w:pos="4819"/>
              <w:tab w:val="right" w:pos="9638"/>
            </w:tabs>
          </w:pPr>
          <w:r>
            <w:t>Zarasų rajono savivaldybės tarybai</w:t>
          </w:r>
        </w:p>
        <w:p>
          <w:pPr>
            <w:jc w:val="both"/>
            <w:rPr>
              <w:szCs w:val="24"/>
              <w:lang w:eastAsia="lt-LT"/>
            </w:rPr>
          </w:pPr>
        </w:p>
        <w:tbl>
          <w:tblPr>
            <w:tblW w:w="0" w:type="auto"/>
            <w:tblLayout w:type="fixed"/>
            <w:tblCellMar>
              <w:left w:w="107" w:type="dxa"/>
              <w:right w:w="107" w:type="dxa"/>
            </w:tblCellMar>
            <w:tblLook w:val="0000" w:firstRow="0" w:lastRow="0" w:firstColumn="0" w:lastColumn="0" w:noHBand="0" w:noVBand="0"/>
          </w:tblPr>
          <w:tblGrid>
            <w:gridCol w:w="9498"/>
          </w:tblGrid>
          <w:tr>
            <w:trPr>
              <w:cantSplit/>
              <w:trHeight w:val="352"/>
            </w:trPr>
            <w:tc>
              <w:tcPr>
                <w:tcW w:w="9498" w:type="dxa"/>
              </w:tcPr>
              <w:p>
                <w:pPr>
                  <w:jc w:val="center"/>
                  <w:rPr>
                    <w:b/>
                    <w:bCs/>
                    <w:szCs w:val="24"/>
                    <w:lang w:eastAsia="lt-LT"/>
                  </w:rPr>
                </w:pPr>
                <w:r>
                  <w:rPr>
                    <w:b/>
                    <w:bCs/>
                    <w:szCs w:val="24"/>
                    <w:lang w:eastAsia="lt-LT"/>
                  </w:rPr>
                  <w:t>PAAIŠKINAMASIS RAŠTAS</w:t>
                </w:r>
              </w:p>
              <w:p>
                <w:pPr>
                  <w:widowControl w:val="0"/>
                  <w:tabs>
                    <w:tab w:val="left" w:pos="1293"/>
                  </w:tabs>
                  <w:overflowPunct w:val="0"/>
                  <w:jc w:val="center"/>
                  <w:rPr>
                    <w:b/>
                  </w:rPr>
                </w:pPr>
                <w:r>
                  <w:rPr>
                    <w:b/>
                    <w:bCs/>
                    <w:caps/>
                  </w:rPr>
                  <w:t xml:space="preserve">DĖL ZARASŲ RAJONO SAVIVALDYBĖS SPRENDIMO „DĖL </w:t>
                </w:r>
                <w:r>
                  <w:rPr>
                    <w:b/>
                  </w:rPr>
                  <w:t>ZARASŲ RAJONO SAVIVALDYBĖS TARYBOS 2024 M. RUGSĖJO 23 D. SPRENDIMO NR. T-189 „DĖL MOKINIŲ PRIĖMIMO Į ZARASŲ RAJONO SAVIVALDYBĖS BENDROJO UGDYMO MOKYKLAS TVARKOS APRAŠO PATVIRTINIMO“ PAKEITIMO“ PROJEKTO</w:t>
                </w:r>
              </w:p>
            </w:tc>
          </w:tr>
        </w:tbl>
        <w:p>
          <w:pPr>
            <w:ind w:firstLine="1276"/>
            <w:jc w:val="both"/>
            <w:rPr>
              <w:b/>
            </w:rPr>
          </w:pPr>
        </w:p>
        <w:sdt>
          <w:sdtPr>
            <w:alias w:val="skirsnis"/>
            <w:tag w:val="part_575122a670374ac2984c7ff201973d90"/>
            <w:lock w:val="sdtLocked"/>
            <w:richText/>
          </w:sdtPr>
          <w:sdtContent>
            <w:p>
              <w:pPr>
                <w:ind w:firstLine="1276"/>
                <w:jc w:val="both"/>
                <w:rPr>
                  <w:bCs/>
                </w:rPr>
              </w:pPr>
              <w:sdt>
                <w:sdtPr>
                  <w:alias w:val="Pavadinimas"/>
                  <w:tag w:val="title_575122a670374ac2984c7ff201973d90"/>
                  <w:lock w:val="sdtLocked"/>
                  <w:richText/>
                </w:sdtPr>
                <w:sdtContent>
                  <w:r>
                    <w:rPr>
                      <w:b/>
                    </w:rPr>
                    <w:t>Parengto sprendimo projekto tikslas.</w:t>
                  </w:r>
                  <w:r>
                    <w:t xml:space="preserve"> </w:t>
                  </w:r>
                </w:sdtContent>
              </w:sdt>
            </w:p>
            <w:p>
              <w:pPr>
                <w:ind w:firstLine="1276"/>
                <w:jc w:val="both"/>
                <w:rPr>
                  <w:bCs/>
                </w:rPr>
              </w:pPr>
              <w:r>
                <w:rPr>
                  <w:bCs/>
                </w:rPr>
                <w:t xml:space="preserve">Atsižvelgiant į Zarasų rajono bendrojo ugdymo mokyklų vadovų  išsakytus pastebėjimus patikslinti M</w:t>
              </w:r>
              <w:r>
                <w:t>okinių priėmimo į Zarasų rajono savivaldybės bendrojo ugdymo mokyklas tvarkos aprašo</w:t>
              </w:r>
              <w:r>
                <w:rPr>
                  <w:bCs/>
                </w:rPr>
                <w:t xml:space="preserve"> (toliau – Aprašas) 7 ir 23 punktus bei papildyti priedu „</w:t>
              </w:r>
              <w:r>
                <w:rPr>
                  <w:szCs w:val="24"/>
                </w:rPr>
                <w:t>Bendrojo ugdymo mokyklų aptarnavimo teritorijų sąrašas“</w:t>
              </w:r>
              <w:r>
                <w:rPr>
                  <w:bCs/>
                </w:rPr>
                <w:t xml:space="preserve">. </w:t>
              </w:r>
            </w:p>
          </w:sdtContent>
        </w:sdt>
        <w:sdt>
          <w:sdtPr>
            <w:alias w:val="skirsnis"/>
            <w:tag w:val="part_41f229627e3a40158caf35ee64cec7ca"/>
            <w:lock w:val="sdtLocked"/>
            <w:richText/>
          </w:sdtPr>
          <w:sdtContent>
            <w:p>
              <w:pPr>
                <w:ind w:firstLine="1276"/>
                <w:jc w:val="both"/>
              </w:pPr>
              <w:sdt>
                <w:sdtPr>
                  <w:alias w:val="Pavadinimas"/>
                  <w:tag w:val="title_41f229627e3a40158caf35ee64cec7ca"/>
                  <w:lock w:val="sdtLocked"/>
                  <w:richText/>
                </w:sdtPr>
                <w:sdtContent>
                  <w:r>
                    <w:rPr>
                      <w:b/>
                    </w:rPr>
                    <w:t>Sprendimo projekto šiuo metu esantis teisinis reglamentavimas.</w:t>
                  </w:r>
                  <w:r>
                    <w:t xml:space="preserve"> </w:t>
                  </w:r>
                </w:sdtContent>
              </w:sdt>
            </w:p>
            <w:p>
              <w:pPr>
                <w:ind w:firstLine="1276"/>
                <w:jc w:val="both"/>
                <w:rPr>
                  <w:bCs/>
                  <w:szCs w:val="24"/>
                  <w:lang w:eastAsia="lt-LT"/>
                </w:rPr>
              </w:pPr>
              <w:r>
                <w:rPr>
                  <w:szCs w:val="24"/>
                  <w:lang w:eastAsia="lt-LT"/>
                </w:rPr>
                <w:t xml:space="preserve">Lietuvos Respublikos vietos savivaldos įstatymo </w:t>
              </w:r>
              <w:r>
                <w:rPr>
                  <w:bCs/>
                  <w:szCs w:val="24"/>
                  <w:lang w:eastAsia="lt-LT"/>
                </w:rPr>
                <w:t>15 straipsnio 4 dalis reglamentuoja, jeigu teisės aktuose yra nustatyta papildomų įgaliojimų savivaldybei, sprendimų dėl tokių įgaliojimų vykdymo priėmimo iniciatyva, neperžengiant nustatytų įgaliojimų , priklauso savivaldybės tarybai.</w:t>
              </w:r>
            </w:p>
            <w:p>
              <w:pPr>
                <w:ind w:firstLine="1276"/>
                <w:jc w:val="both"/>
                <w:rPr>
                  <w:bCs/>
                  <w:szCs w:val="24"/>
                  <w:lang w:eastAsia="lt-LT"/>
                </w:rPr>
              </w:pPr>
              <w:r>
                <w:rPr>
                  <w:szCs w:val="24"/>
                  <w:lang w:eastAsia="lt-LT"/>
                </w:rPr>
                <w:t>Lietuvos Respublikos švietimo įstatymo 29 straipsnio 2 dalis nustato, kad priėmimo į valstybinę ir savivaldybės bendrojo ugdymo mokyklą mokytis pagal priešmokyklinio ugdymo, bendrojo ugdymo programas, ikimokyklinio ugdymo mokyklą mokytis pagal priešmokyklinio ugdymo programą tvarką nustato savininko teises ir pareigas įgyvendinanti institucija (dalyvių susirinkimas), vadovaudamasi švietimo, mokslo ir sporto ministro patvirtintais priėmimo kriterijais.</w:t>
              </w:r>
            </w:p>
            <w:p>
              <w:pPr>
                <w:ind w:firstLine="1276"/>
                <w:jc w:val="both"/>
                <w:rPr>
                  <w:szCs w:val="24"/>
                  <w:lang w:eastAsia="lt-LT"/>
                </w:rPr>
              </w:pPr>
              <w:r>
                <w:rPr>
                  <w:szCs w:val="24"/>
                  <w:lang w:eastAsia="lt-LT"/>
                </w:rPr>
                <w:t>Lietuvos Respublikos švietimo įstatymo 29 straipsnio 3 dalis nustato, kad į valstybinę ir savivaldybės bendrojo ugdymo mokyklą mokytis pagal priešmokyklinio, bendrojo ugdymo programas, ikimokyklinio ugdymo mokyklą mokytis pagal priešmokyklinio ugdymo programą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pPr>
                <w:ind w:firstLine="1276"/>
                <w:jc w:val="both"/>
                <w:rPr>
                  <w:b/>
                  <w:bCs/>
                  <w:szCs w:val="24"/>
                  <w:lang w:eastAsia="lt-LT"/>
                </w:rPr>
              </w:pPr>
              <w:r>
                <w:rPr>
                  <w:szCs w:val="24"/>
                  <w:lang w:eastAsia="lt-LT"/>
                </w:rPr>
                <w:t>Priėmimo į valstybinę ir savivaldybės bendrojo ugdymo mokyklą, profesinio mokymo įstaigą bendrųjų kriterijų sąrašo, patvirtinto Lietuvos Respublikos švietimo ir mokslo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priedo 2.2 papunktis nurodo, kad reikia priskirti mokykloms aptarnavimo teritorijas mokyti asmenis pagal priešmokyklinio ugdymo programą, pradinio ugdymo, pagrindinio ugdymo ir vidurinio ugdymo programas. Prireikus savivaldybės tarybos argumentuotu sprendimu mokytis pagal vidurinio ugdymo programą gali būti priimami asmenys iš visos savivaldybės teritorijos, užtikrinant mokyklų tinklo balansuotumą ir prieinamumą visiems asmenims.</w:t>
              </w:r>
            </w:p>
          </w:sdtContent>
        </w:sdt>
        <w:sdt>
          <w:sdtPr>
            <w:alias w:val="skirsnis"/>
            <w:tag w:val="part_b8222101bcbd43b18c9aaef8a3939632"/>
            <w:lock w:val="sdtLocked"/>
            <w:richText/>
          </w:sdtPr>
          <w:sdtContent>
            <w:p>
              <w:pPr>
                <w:ind w:firstLine="1276"/>
                <w:jc w:val="both"/>
                <w:rPr>
                  <w:b/>
                  <w:bCs/>
                  <w:szCs w:val="24"/>
                  <w:lang w:eastAsia="lt-LT"/>
                </w:rPr>
              </w:pPr>
              <w:sdt>
                <w:sdtPr>
                  <w:alias w:val="Pavadinimas"/>
                  <w:tag w:val="title_b8222101bcbd43b18c9aaef8a3939632"/>
                  <w:lock w:val="sdtLocked"/>
                  <w:richText/>
                </w:sdtPr>
                <w:sdtContent>
                  <w:r>
                    <w:rPr>
                      <w:b/>
                      <w:bCs/>
                      <w:szCs w:val="24"/>
                      <w:lang w:eastAsia="lt-LT"/>
                    </w:rPr>
                    <w:t>Galiojantys teisės aktai, kuriuos būtina pakeisti ar panaikinti, priėmus teikiamą Savivaldybės sprendimą.</w:t>
                  </w:r>
                </w:sdtContent>
              </w:sdt>
            </w:p>
            <w:p>
              <w:pPr>
                <w:ind w:firstLine="1276"/>
                <w:jc w:val="both"/>
                <w:rPr>
                  <w:szCs w:val="24"/>
                  <w:lang w:eastAsia="lt-LT"/>
                </w:rPr>
              </w:pPr>
              <w:r>
                <w:rPr>
                  <w:szCs w:val="24"/>
                  <w:lang w:eastAsia="lt-LT"/>
                </w:rPr>
                <w:t>Teisės aktų keisti nereikės.</w:t>
              </w:r>
            </w:p>
            <w:p>
              <w:pPr>
                <w:ind w:firstLine="1276"/>
                <w:jc w:val="both"/>
                <w:rPr>
                  <w:b/>
                  <w:szCs w:val="24"/>
                  <w:lang w:eastAsia="lt-LT"/>
                </w:rPr>
              </w:pPr>
              <w:r>
                <w:rPr>
                  <w:b/>
                  <w:szCs w:val="24"/>
                  <w:lang w:eastAsia="lt-LT"/>
                </w:rPr>
                <w:t xml:space="preserve">Biudžeto lėšų poreikis. </w:t>
              </w:r>
              <w:r>
                <w:rPr>
                  <w:bCs/>
                  <w:szCs w:val="24"/>
                  <w:lang w:eastAsia="lt-LT"/>
                </w:rPr>
                <w:t>Biudžeto lėšų</w:t>
              </w:r>
              <w:r>
                <w:rPr>
                  <w:szCs w:val="24"/>
                  <w:lang w:eastAsia="lt-LT"/>
                </w:rPr>
                <w:t xml:space="preserve"> poreikio nėra.</w:t>
              </w:r>
            </w:p>
          </w:sdtContent>
        </w:sdt>
        <w:sdt>
          <w:sdtPr>
            <w:alias w:val="skirsnis"/>
            <w:tag w:val="part_9e5e0631474b41d5a04e5f1a72898677"/>
            <w:lock w:val="sdtLocked"/>
            <w:richText/>
          </w:sdtPr>
          <w:sdtContent>
            <w:p>
              <w:pPr>
                <w:ind w:firstLine="1276"/>
                <w:jc w:val="both"/>
                <w:rPr>
                  <w:b/>
                  <w:szCs w:val="24"/>
                  <w:lang w:eastAsia="lt-LT"/>
                </w:rPr>
              </w:pPr>
              <w:sdt>
                <w:sdtPr>
                  <w:alias w:val="Pavadinimas"/>
                  <w:tag w:val="title_9e5e0631474b41d5a04e5f1a72898677"/>
                  <w:lock w:val="sdtLocked"/>
                  <w:richText/>
                </w:sdtPr>
                <w:sdtContent>
                  <w:r>
                    <w:rPr>
                      <w:b/>
                      <w:szCs w:val="24"/>
                      <w:lang w:eastAsia="lt-LT"/>
                    </w:rPr>
                    <w:t xml:space="preserve">Sprendimo projekto autoriai (rengėjai),  iniciatoriai: institucija, asmenys ar piliečių įgalioti atstovai bei priimto teisės akto nauda Savivaldybei.</w:t>
                  </w:r>
                </w:sdtContent>
              </w:sdt>
            </w:p>
            <w:p>
              <w:pPr>
                <w:ind w:firstLine="1276"/>
                <w:jc w:val="both"/>
                <w:rPr>
                  <w:bCs/>
                  <w:szCs w:val="24"/>
                  <w:lang w:eastAsia="lt-LT"/>
                </w:rPr>
              </w:pPr>
              <w:r>
                <w:rPr>
                  <w:bCs/>
                  <w:szCs w:val="24"/>
                  <w:lang w:eastAsia="lt-LT"/>
                </w:rPr>
                <w:t xml:space="preserve">Sprendimo projekto iniciatorius yra rajono Savivaldybės administracijos Švietimo, kultūros  ir sporto skyrius, rengėja – Renata Šatrovienė, rajono Savivaldybės administracijos Švietimo, kultūros ir sporto skyriaus vyriausioji specialistė. </w:t>
              </w:r>
            </w:p>
            <w:p>
              <w:pPr>
                <w:ind w:firstLine="1276"/>
                <w:jc w:val="both"/>
                <w:rPr>
                  <w:bCs/>
                  <w:szCs w:val="24"/>
                  <w:lang w:eastAsia="lt-LT"/>
                </w:rPr>
              </w:pPr>
              <w:r>
                <w:rPr>
                  <w:bCs/>
                  <w:szCs w:val="24"/>
                  <w:lang w:eastAsia="lt-LT"/>
                </w:rPr>
                <w:t>Priėmus šį sprendimą bus vykdomi teisės aktai bei užtikrinamas sklandus mokinių priėmimas į mokyklas.</w:t>
              </w:r>
            </w:p>
            <w:p>
              <w:pPr>
                <w:ind w:firstLine="1276"/>
                <w:jc w:val="both"/>
              </w:pPr>
              <w:r>
                <w:rPr>
                  <w:b/>
                  <w:bCs/>
                </w:rPr>
                <w:t xml:space="preserve">Sprendimo projekto rengimo metu gauti specialistų vertinimai ir išvados. </w:t>
              </w:r>
              <w:r>
                <w:t xml:space="preserve">Pareigos kreiptis į specialistus dėl vertinimų ar išvadų pateikimo nėra. </w:t>
              </w:r>
            </w:p>
            <w:p>
              <w:pPr>
                <w:ind w:firstLine="1276"/>
                <w:jc w:val="both"/>
              </w:pPr>
              <w:r>
                <w:rPr>
                  <w:b/>
                </w:rPr>
                <w:t>Priėmus šį sprendimo projektą galimos pasekmės</w:t>
              </w:r>
              <w:r>
                <w:t xml:space="preserve">: </w:t>
              </w:r>
            </w:p>
            <w:p>
              <w:pPr>
                <w:ind w:firstLine="1276"/>
                <w:jc w:val="both"/>
              </w:pPr>
              <w:r>
                <w:rPr>
                  <w:b/>
                </w:rPr>
                <w:t>teigiamos</w:t>
              </w:r>
              <w:r>
                <w:t xml:space="preserve"> – teisės aktų vykdymas, </w:t>
              </w:r>
            </w:p>
            <w:p>
              <w:pPr>
                <w:ind w:firstLine="1276"/>
                <w:jc w:val="both"/>
              </w:pPr>
              <w:r>
                <w:rPr>
                  <w:b/>
                </w:rPr>
                <w:t>neigiamos</w:t>
              </w:r>
              <w:r>
                <w:t xml:space="preserve"> – nėra duomenų apie galimas (tikėtinas) neigiamas pasekmes priėmus teikiamą sprendimo projektą.</w:t>
              </w:r>
            </w:p>
            <w:p>
              <w:pPr>
                <w:ind w:firstLine="1276"/>
                <w:jc w:val="both"/>
              </w:pPr>
            </w:p>
            <w:p>
              <w:pPr>
                <w:ind w:firstLine="1276"/>
                <w:jc w:val="both"/>
              </w:pPr>
            </w:p>
            <w:p>
              <w:pPr>
                <w:jc w:val="both"/>
                <w:rPr>
                  <w:szCs w:val="24"/>
                  <w:lang w:eastAsia="lt-LT"/>
                </w:rPr>
              </w:pPr>
              <w:r>
                <w:rPr>
                  <w:szCs w:val="24"/>
                  <w:lang w:eastAsia="lt-LT"/>
                </w:rPr>
                <w:t>Vedėja</w:t>
                <w:tab/>
                <w:tab/>
                <w:tab/>
                <w:tab/>
                <w:tab/>
                <w:tab/>
                <w:t>Sigita Keršienė</w:t>
              </w:r>
            </w:p>
            <w:p>
              <w:pPr>
                <w:jc w:val="both"/>
              </w:pPr>
            </w:p>
            <w:p>
              <w:pPr>
                <w:jc w:val="both"/>
                <w:rPr>
                  <w:szCs w:val="24"/>
                  <w:lang w:eastAsia="lt-LT"/>
                </w:rPr>
              </w:pPr>
            </w:p>
            <w:p/>
            <w:p/>
            <w:p/>
            <w:p/>
            <w:p/>
            <w:p/>
            <w:p/>
            <w:p/>
            <w:p/>
            <w:p/>
            <w:p>
              <w:pPr>
                <w:tabs>
                  <w:tab w:val="left" w:pos="1276"/>
                </w:tabs>
                <w:rPr>
                  <w:szCs w:val="24"/>
                </w:rPr>
              </w:pPr>
              <w:r>
                <w:t xml:space="preserve">Renata Šatrovienė, + 370 385  37 179, el. p. renata.satroviene@zarasai.lt</w:t>
              </w:r>
            </w:p>
          </w:sdtContent>
        </w:sdt>
      </w:sdtContent>
    </w:sdt>
    <w:sectPr>
      <w:headerReference w:type="default" r:id="rId13"/>
      <w:headerReference w:type="first" r:id="rId14"/>
      <w:pgSz w:w="11906" w:h="16838"/>
      <w:pgMar w:top="1134" w:right="851" w:bottom="1077"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tabs>
          <w:tab w:val="left" w:pos="1293"/>
        </w:tabs>
        <w:overflowPunct w:val="0"/>
      </w:pPr>
      <w:r>
        <w:separator/>
      </w:r>
    </w:p>
  </w:endnote>
  <w:endnote w:type="continuationSeparator" w:id="0">
    <w:p>
      <w:pPr>
        <w:widowControl w:val="0"/>
        <w:tabs>
          <w:tab w:val="left" w:pos="1293"/>
        </w:tabs>
        <w:overflowPunct w:val="0"/>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tabs>
          <w:tab w:val="left" w:pos="1293"/>
        </w:tabs>
        <w:overflowPunct w:val="0"/>
      </w:pPr>
      <w:r>
        <w:separator/>
      </w:r>
    </w:p>
  </w:footnote>
  <w:footnote w:type="continuationSeparator" w:id="0">
    <w:p>
      <w:pPr>
        <w:widowControl w:val="0"/>
        <w:tabs>
          <w:tab w:val="left" w:pos="1293"/>
        </w:tabs>
        <w:overflowPunct w:val="0"/>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1575"/>
        <w:tab w:val="left" w:pos="3780"/>
        <w:tab w:val="left" w:pos="6075"/>
      </w:tabs>
      <w:jc w:val="center"/>
    </w:pPr>
    <w:r>
      <w:t>2</w:t>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36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71CE036-E301-47EC-BF89-EC154EBA8A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611993">
      <w:bodyDiv w:val="1"/>
      <w:marLeft w:val="0"/>
      <w:marRight w:val="0"/>
      <w:marTop w:val="0"/>
      <w:marBottom w:val="0"/>
      <w:divBdr>
        <w:top w:val="none" w:sz="0" w:space="0" w:color="auto"/>
        <w:left w:val="none" w:sz="0" w:space="0" w:color="auto"/>
        <w:bottom w:val="none" w:sz="0" w:space="0" w:color="auto"/>
        <w:right w:val="none" w:sz="0" w:space="0" w:color="auto"/>
      </w:divBdr>
    </w:div>
    <w:div w:id="217472879">
      <w:bodyDiv w:val="1"/>
      <w:marLeft w:val="0"/>
      <w:marRight w:val="0"/>
      <w:marTop w:val="0"/>
      <w:marBottom w:val="0"/>
      <w:divBdr>
        <w:top w:val="none" w:sz="0" w:space="0" w:color="auto"/>
        <w:left w:val="none" w:sz="0" w:space="0" w:color="auto"/>
        <w:bottom w:val="none" w:sz="0" w:space="0" w:color="auto"/>
        <w:right w:val="none" w:sz="0" w:space="0" w:color="auto"/>
      </w:divBdr>
      <w:divsChild>
        <w:div w:id="2103531553">
          <w:marLeft w:val="0"/>
          <w:marRight w:val="0"/>
          <w:marTop w:val="0"/>
          <w:marBottom w:val="0"/>
          <w:divBdr>
            <w:top w:val="none" w:sz="0" w:space="0" w:color="auto"/>
            <w:left w:val="none" w:sz="0" w:space="0" w:color="auto"/>
            <w:bottom w:val="none" w:sz="0" w:space="0" w:color="auto"/>
            <w:right w:val="none" w:sz="0" w:space="0" w:color="auto"/>
          </w:divBdr>
          <w:divsChild>
            <w:div w:id="435832383">
              <w:marLeft w:val="0"/>
              <w:marRight w:val="0"/>
              <w:marTop w:val="0"/>
              <w:marBottom w:val="0"/>
              <w:divBdr>
                <w:top w:val="none" w:sz="0" w:space="0" w:color="auto"/>
                <w:left w:val="none" w:sz="0" w:space="0" w:color="auto"/>
                <w:bottom w:val="none" w:sz="0" w:space="0" w:color="auto"/>
                <w:right w:val="none" w:sz="0" w:space="0" w:color="auto"/>
              </w:divBdr>
              <w:divsChild>
                <w:div w:id="467015252">
                  <w:marLeft w:val="0"/>
                  <w:marRight w:val="0"/>
                  <w:marTop w:val="0"/>
                  <w:marBottom w:val="0"/>
                  <w:divBdr>
                    <w:top w:val="none" w:sz="0" w:space="0" w:color="auto"/>
                    <w:left w:val="none" w:sz="0" w:space="0" w:color="auto"/>
                    <w:bottom w:val="none" w:sz="0" w:space="0" w:color="auto"/>
                    <w:right w:val="none" w:sz="0" w:space="0" w:color="auto"/>
                  </w:divBdr>
                  <w:divsChild>
                    <w:div w:id="1418985773">
                      <w:marLeft w:val="0"/>
                      <w:marRight w:val="0"/>
                      <w:marTop w:val="0"/>
                      <w:marBottom w:val="0"/>
                      <w:divBdr>
                        <w:top w:val="none" w:sz="0" w:space="0" w:color="auto"/>
                        <w:left w:val="none" w:sz="0" w:space="0" w:color="auto"/>
                        <w:bottom w:val="none" w:sz="0" w:space="0" w:color="auto"/>
                        <w:right w:val="none" w:sz="0" w:space="0" w:color="auto"/>
                      </w:divBdr>
                      <w:divsChild>
                        <w:div w:id="2110084404">
                          <w:marLeft w:val="0"/>
                          <w:marRight w:val="0"/>
                          <w:marTop w:val="0"/>
                          <w:marBottom w:val="0"/>
                          <w:divBdr>
                            <w:top w:val="none" w:sz="0" w:space="0" w:color="auto"/>
                            <w:left w:val="none" w:sz="0" w:space="0" w:color="auto"/>
                            <w:bottom w:val="none" w:sz="0" w:space="0" w:color="auto"/>
                            <w:right w:val="none" w:sz="0" w:space="0" w:color="auto"/>
                          </w:divBdr>
                          <w:divsChild>
                            <w:div w:id="184859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7035420">
      <w:bodyDiv w:val="1"/>
      <w:marLeft w:val="0"/>
      <w:marRight w:val="0"/>
      <w:marTop w:val="0"/>
      <w:marBottom w:val="0"/>
      <w:divBdr>
        <w:top w:val="none" w:sz="0" w:space="0" w:color="auto"/>
        <w:left w:val="none" w:sz="0" w:space="0" w:color="auto"/>
        <w:bottom w:val="none" w:sz="0" w:space="0" w:color="auto"/>
        <w:right w:val="none" w:sz="0" w:space="0" w:color="auto"/>
      </w:divBdr>
    </w:div>
    <w:div w:id="258176270">
      <w:bodyDiv w:val="1"/>
      <w:marLeft w:val="0"/>
      <w:marRight w:val="0"/>
      <w:marTop w:val="0"/>
      <w:marBottom w:val="0"/>
      <w:divBdr>
        <w:top w:val="none" w:sz="0" w:space="0" w:color="auto"/>
        <w:left w:val="none" w:sz="0" w:space="0" w:color="auto"/>
        <w:bottom w:val="none" w:sz="0" w:space="0" w:color="auto"/>
        <w:right w:val="none" w:sz="0" w:space="0" w:color="auto"/>
      </w:divBdr>
      <w:divsChild>
        <w:div w:id="339546964">
          <w:marLeft w:val="0"/>
          <w:marRight w:val="0"/>
          <w:marTop w:val="0"/>
          <w:marBottom w:val="0"/>
          <w:divBdr>
            <w:top w:val="none" w:sz="0" w:space="0" w:color="auto"/>
            <w:left w:val="none" w:sz="0" w:space="0" w:color="auto"/>
            <w:bottom w:val="none" w:sz="0" w:space="0" w:color="auto"/>
            <w:right w:val="none" w:sz="0" w:space="0" w:color="auto"/>
          </w:divBdr>
        </w:div>
      </w:divsChild>
    </w:div>
    <w:div w:id="346103729">
      <w:bodyDiv w:val="1"/>
      <w:marLeft w:val="0"/>
      <w:marRight w:val="0"/>
      <w:marTop w:val="0"/>
      <w:marBottom w:val="0"/>
      <w:divBdr>
        <w:top w:val="none" w:sz="0" w:space="0" w:color="auto"/>
        <w:left w:val="none" w:sz="0" w:space="0" w:color="auto"/>
        <w:bottom w:val="none" w:sz="0" w:space="0" w:color="auto"/>
        <w:right w:val="none" w:sz="0" w:space="0" w:color="auto"/>
      </w:divBdr>
    </w:div>
    <w:div w:id="361589714">
      <w:bodyDiv w:val="1"/>
      <w:marLeft w:val="0"/>
      <w:marRight w:val="0"/>
      <w:marTop w:val="0"/>
      <w:marBottom w:val="0"/>
      <w:divBdr>
        <w:top w:val="none" w:sz="0" w:space="0" w:color="auto"/>
        <w:left w:val="none" w:sz="0" w:space="0" w:color="auto"/>
        <w:bottom w:val="none" w:sz="0" w:space="0" w:color="auto"/>
        <w:right w:val="none" w:sz="0" w:space="0" w:color="auto"/>
      </w:divBdr>
      <w:divsChild>
        <w:div w:id="1964193401">
          <w:marLeft w:val="0"/>
          <w:marRight w:val="0"/>
          <w:marTop w:val="0"/>
          <w:marBottom w:val="0"/>
          <w:divBdr>
            <w:top w:val="none" w:sz="0" w:space="0" w:color="auto"/>
            <w:left w:val="none" w:sz="0" w:space="0" w:color="auto"/>
            <w:bottom w:val="none" w:sz="0" w:space="0" w:color="auto"/>
            <w:right w:val="none" w:sz="0" w:space="0" w:color="auto"/>
          </w:divBdr>
        </w:div>
        <w:div w:id="1159879562">
          <w:marLeft w:val="0"/>
          <w:marRight w:val="0"/>
          <w:marTop w:val="0"/>
          <w:marBottom w:val="0"/>
          <w:divBdr>
            <w:top w:val="none" w:sz="0" w:space="0" w:color="auto"/>
            <w:left w:val="none" w:sz="0" w:space="0" w:color="auto"/>
            <w:bottom w:val="none" w:sz="0" w:space="0" w:color="auto"/>
            <w:right w:val="none" w:sz="0" w:space="0" w:color="auto"/>
          </w:divBdr>
        </w:div>
        <w:div w:id="1573194948">
          <w:marLeft w:val="0"/>
          <w:marRight w:val="0"/>
          <w:marTop w:val="0"/>
          <w:marBottom w:val="0"/>
          <w:divBdr>
            <w:top w:val="none" w:sz="0" w:space="0" w:color="auto"/>
            <w:left w:val="none" w:sz="0" w:space="0" w:color="auto"/>
            <w:bottom w:val="none" w:sz="0" w:space="0" w:color="auto"/>
            <w:right w:val="none" w:sz="0" w:space="0" w:color="auto"/>
          </w:divBdr>
        </w:div>
        <w:div w:id="1194925360">
          <w:marLeft w:val="0"/>
          <w:marRight w:val="0"/>
          <w:marTop w:val="0"/>
          <w:marBottom w:val="0"/>
          <w:divBdr>
            <w:top w:val="none" w:sz="0" w:space="0" w:color="auto"/>
            <w:left w:val="none" w:sz="0" w:space="0" w:color="auto"/>
            <w:bottom w:val="none" w:sz="0" w:space="0" w:color="auto"/>
            <w:right w:val="none" w:sz="0" w:space="0" w:color="auto"/>
          </w:divBdr>
        </w:div>
        <w:div w:id="1269460738">
          <w:marLeft w:val="0"/>
          <w:marRight w:val="0"/>
          <w:marTop w:val="0"/>
          <w:marBottom w:val="0"/>
          <w:divBdr>
            <w:top w:val="none" w:sz="0" w:space="0" w:color="auto"/>
            <w:left w:val="none" w:sz="0" w:space="0" w:color="auto"/>
            <w:bottom w:val="none" w:sz="0" w:space="0" w:color="auto"/>
            <w:right w:val="none" w:sz="0" w:space="0" w:color="auto"/>
          </w:divBdr>
        </w:div>
        <w:div w:id="1318999961">
          <w:marLeft w:val="0"/>
          <w:marRight w:val="0"/>
          <w:marTop w:val="0"/>
          <w:marBottom w:val="0"/>
          <w:divBdr>
            <w:top w:val="none" w:sz="0" w:space="0" w:color="auto"/>
            <w:left w:val="none" w:sz="0" w:space="0" w:color="auto"/>
            <w:bottom w:val="none" w:sz="0" w:space="0" w:color="auto"/>
            <w:right w:val="none" w:sz="0" w:space="0" w:color="auto"/>
          </w:divBdr>
        </w:div>
        <w:div w:id="412355655">
          <w:marLeft w:val="0"/>
          <w:marRight w:val="0"/>
          <w:marTop w:val="0"/>
          <w:marBottom w:val="0"/>
          <w:divBdr>
            <w:top w:val="none" w:sz="0" w:space="0" w:color="auto"/>
            <w:left w:val="none" w:sz="0" w:space="0" w:color="auto"/>
            <w:bottom w:val="none" w:sz="0" w:space="0" w:color="auto"/>
            <w:right w:val="none" w:sz="0" w:space="0" w:color="auto"/>
          </w:divBdr>
        </w:div>
        <w:div w:id="314601680">
          <w:marLeft w:val="0"/>
          <w:marRight w:val="0"/>
          <w:marTop w:val="0"/>
          <w:marBottom w:val="0"/>
          <w:divBdr>
            <w:top w:val="none" w:sz="0" w:space="0" w:color="auto"/>
            <w:left w:val="none" w:sz="0" w:space="0" w:color="auto"/>
            <w:bottom w:val="none" w:sz="0" w:space="0" w:color="auto"/>
            <w:right w:val="none" w:sz="0" w:space="0" w:color="auto"/>
          </w:divBdr>
        </w:div>
        <w:div w:id="151217533">
          <w:marLeft w:val="0"/>
          <w:marRight w:val="0"/>
          <w:marTop w:val="0"/>
          <w:marBottom w:val="0"/>
          <w:divBdr>
            <w:top w:val="none" w:sz="0" w:space="0" w:color="auto"/>
            <w:left w:val="none" w:sz="0" w:space="0" w:color="auto"/>
            <w:bottom w:val="none" w:sz="0" w:space="0" w:color="auto"/>
            <w:right w:val="none" w:sz="0" w:space="0" w:color="auto"/>
          </w:divBdr>
        </w:div>
        <w:div w:id="109126630">
          <w:marLeft w:val="0"/>
          <w:marRight w:val="0"/>
          <w:marTop w:val="0"/>
          <w:marBottom w:val="0"/>
          <w:divBdr>
            <w:top w:val="none" w:sz="0" w:space="0" w:color="auto"/>
            <w:left w:val="none" w:sz="0" w:space="0" w:color="auto"/>
            <w:bottom w:val="none" w:sz="0" w:space="0" w:color="auto"/>
            <w:right w:val="none" w:sz="0" w:space="0" w:color="auto"/>
          </w:divBdr>
        </w:div>
        <w:div w:id="808517844">
          <w:marLeft w:val="0"/>
          <w:marRight w:val="0"/>
          <w:marTop w:val="0"/>
          <w:marBottom w:val="0"/>
          <w:divBdr>
            <w:top w:val="none" w:sz="0" w:space="0" w:color="auto"/>
            <w:left w:val="none" w:sz="0" w:space="0" w:color="auto"/>
            <w:bottom w:val="none" w:sz="0" w:space="0" w:color="auto"/>
            <w:right w:val="none" w:sz="0" w:space="0" w:color="auto"/>
          </w:divBdr>
        </w:div>
        <w:div w:id="1267231578">
          <w:marLeft w:val="0"/>
          <w:marRight w:val="0"/>
          <w:marTop w:val="0"/>
          <w:marBottom w:val="0"/>
          <w:divBdr>
            <w:top w:val="none" w:sz="0" w:space="0" w:color="auto"/>
            <w:left w:val="none" w:sz="0" w:space="0" w:color="auto"/>
            <w:bottom w:val="none" w:sz="0" w:space="0" w:color="auto"/>
            <w:right w:val="none" w:sz="0" w:space="0" w:color="auto"/>
          </w:divBdr>
        </w:div>
        <w:div w:id="256837191">
          <w:marLeft w:val="0"/>
          <w:marRight w:val="0"/>
          <w:marTop w:val="0"/>
          <w:marBottom w:val="0"/>
          <w:divBdr>
            <w:top w:val="none" w:sz="0" w:space="0" w:color="auto"/>
            <w:left w:val="none" w:sz="0" w:space="0" w:color="auto"/>
            <w:bottom w:val="none" w:sz="0" w:space="0" w:color="auto"/>
            <w:right w:val="none" w:sz="0" w:space="0" w:color="auto"/>
          </w:divBdr>
        </w:div>
        <w:div w:id="1373117102">
          <w:marLeft w:val="0"/>
          <w:marRight w:val="0"/>
          <w:marTop w:val="0"/>
          <w:marBottom w:val="0"/>
          <w:divBdr>
            <w:top w:val="none" w:sz="0" w:space="0" w:color="auto"/>
            <w:left w:val="none" w:sz="0" w:space="0" w:color="auto"/>
            <w:bottom w:val="none" w:sz="0" w:space="0" w:color="auto"/>
            <w:right w:val="none" w:sz="0" w:space="0" w:color="auto"/>
          </w:divBdr>
        </w:div>
      </w:divsChild>
    </w:div>
    <w:div w:id="376589030">
      <w:bodyDiv w:val="1"/>
      <w:marLeft w:val="0"/>
      <w:marRight w:val="0"/>
      <w:marTop w:val="0"/>
      <w:marBottom w:val="0"/>
      <w:divBdr>
        <w:top w:val="none" w:sz="0" w:space="0" w:color="auto"/>
        <w:left w:val="none" w:sz="0" w:space="0" w:color="auto"/>
        <w:bottom w:val="none" w:sz="0" w:space="0" w:color="auto"/>
        <w:right w:val="none" w:sz="0" w:space="0" w:color="auto"/>
      </w:divBdr>
    </w:div>
    <w:div w:id="385884876">
      <w:bodyDiv w:val="1"/>
      <w:marLeft w:val="0"/>
      <w:marRight w:val="0"/>
      <w:marTop w:val="0"/>
      <w:marBottom w:val="0"/>
      <w:divBdr>
        <w:top w:val="none" w:sz="0" w:space="0" w:color="auto"/>
        <w:left w:val="none" w:sz="0" w:space="0" w:color="auto"/>
        <w:bottom w:val="none" w:sz="0" w:space="0" w:color="auto"/>
        <w:right w:val="none" w:sz="0" w:space="0" w:color="auto"/>
      </w:divBdr>
    </w:div>
    <w:div w:id="395473889">
      <w:bodyDiv w:val="1"/>
      <w:marLeft w:val="0"/>
      <w:marRight w:val="0"/>
      <w:marTop w:val="0"/>
      <w:marBottom w:val="0"/>
      <w:divBdr>
        <w:top w:val="none" w:sz="0" w:space="0" w:color="auto"/>
        <w:left w:val="none" w:sz="0" w:space="0" w:color="auto"/>
        <w:bottom w:val="none" w:sz="0" w:space="0" w:color="auto"/>
        <w:right w:val="none" w:sz="0" w:space="0" w:color="auto"/>
      </w:divBdr>
    </w:div>
    <w:div w:id="499582547">
      <w:bodyDiv w:val="1"/>
      <w:marLeft w:val="0"/>
      <w:marRight w:val="0"/>
      <w:marTop w:val="0"/>
      <w:marBottom w:val="0"/>
      <w:divBdr>
        <w:top w:val="none" w:sz="0" w:space="0" w:color="auto"/>
        <w:left w:val="none" w:sz="0" w:space="0" w:color="auto"/>
        <w:bottom w:val="none" w:sz="0" w:space="0" w:color="auto"/>
        <w:right w:val="none" w:sz="0" w:space="0" w:color="auto"/>
      </w:divBdr>
    </w:div>
    <w:div w:id="670793270">
      <w:bodyDiv w:val="1"/>
      <w:marLeft w:val="0"/>
      <w:marRight w:val="0"/>
      <w:marTop w:val="0"/>
      <w:marBottom w:val="0"/>
      <w:divBdr>
        <w:top w:val="none" w:sz="0" w:space="0" w:color="auto"/>
        <w:left w:val="none" w:sz="0" w:space="0" w:color="auto"/>
        <w:bottom w:val="none" w:sz="0" w:space="0" w:color="auto"/>
        <w:right w:val="none" w:sz="0" w:space="0" w:color="auto"/>
      </w:divBdr>
      <w:divsChild>
        <w:div w:id="315651369">
          <w:marLeft w:val="0"/>
          <w:marRight w:val="0"/>
          <w:marTop w:val="0"/>
          <w:marBottom w:val="0"/>
          <w:divBdr>
            <w:top w:val="none" w:sz="0" w:space="0" w:color="auto"/>
            <w:left w:val="none" w:sz="0" w:space="0" w:color="auto"/>
            <w:bottom w:val="none" w:sz="0" w:space="0" w:color="auto"/>
            <w:right w:val="none" w:sz="0" w:space="0" w:color="auto"/>
          </w:divBdr>
        </w:div>
      </w:divsChild>
    </w:div>
    <w:div w:id="728845691">
      <w:bodyDiv w:val="1"/>
      <w:marLeft w:val="0"/>
      <w:marRight w:val="0"/>
      <w:marTop w:val="0"/>
      <w:marBottom w:val="0"/>
      <w:divBdr>
        <w:top w:val="none" w:sz="0" w:space="0" w:color="auto"/>
        <w:left w:val="none" w:sz="0" w:space="0" w:color="auto"/>
        <w:bottom w:val="none" w:sz="0" w:space="0" w:color="auto"/>
        <w:right w:val="none" w:sz="0" w:space="0" w:color="auto"/>
      </w:divBdr>
    </w:div>
    <w:div w:id="918640783">
      <w:bodyDiv w:val="1"/>
      <w:marLeft w:val="0"/>
      <w:marRight w:val="0"/>
      <w:marTop w:val="0"/>
      <w:marBottom w:val="0"/>
      <w:divBdr>
        <w:top w:val="none" w:sz="0" w:space="0" w:color="auto"/>
        <w:left w:val="none" w:sz="0" w:space="0" w:color="auto"/>
        <w:bottom w:val="none" w:sz="0" w:space="0" w:color="auto"/>
        <w:right w:val="none" w:sz="0" w:space="0" w:color="auto"/>
      </w:divBdr>
    </w:div>
    <w:div w:id="926960029">
      <w:bodyDiv w:val="1"/>
      <w:marLeft w:val="0"/>
      <w:marRight w:val="0"/>
      <w:marTop w:val="0"/>
      <w:marBottom w:val="0"/>
      <w:divBdr>
        <w:top w:val="none" w:sz="0" w:space="0" w:color="auto"/>
        <w:left w:val="none" w:sz="0" w:space="0" w:color="auto"/>
        <w:bottom w:val="none" w:sz="0" w:space="0" w:color="auto"/>
        <w:right w:val="none" w:sz="0" w:space="0" w:color="auto"/>
      </w:divBdr>
    </w:div>
    <w:div w:id="995885851">
      <w:bodyDiv w:val="1"/>
      <w:marLeft w:val="0"/>
      <w:marRight w:val="0"/>
      <w:marTop w:val="0"/>
      <w:marBottom w:val="0"/>
      <w:divBdr>
        <w:top w:val="none" w:sz="0" w:space="0" w:color="auto"/>
        <w:left w:val="none" w:sz="0" w:space="0" w:color="auto"/>
        <w:bottom w:val="none" w:sz="0" w:space="0" w:color="auto"/>
        <w:right w:val="none" w:sz="0" w:space="0" w:color="auto"/>
      </w:divBdr>
      <w:divsChild>
        <w:div w:id="684139154">
          <w:marLeft w:val="0"/>
          <w:marRight w:val="0"/>
          <w:marTop w:val="0"/>
          <w:marBottom w:val="0"/>
          <w:divBdr>
            <w:top w:val="none" w:sz="0" w:space="0" w:color="auto"/>
            <w:left w:val="none" w:sz="0" w:space="0" w:color="auto"/>
            <w:bottom w:val="none" w:sz="0" w:space="0" w:color="auto"/>
            <w:right w:val="none" w:sz="0" w:space="0" w:color="auto"/>
          </w:divBdr>
        </w:div>
      </w:divsChild>
    </w:div>
    <w:div w:id="1082222170">
      <w:bodyDiv w:val="1"/>
      <w:marLeft w:val="0"/>
      <w:marRight w:val="0"/>
      <w:marTop w:val="0"/>
      <w:marBottom w:val="0"/>
      <w:divBdr>
        <w:top w:val="none" w:sz="0" w:space="0" w:color="auto"/>
        <w:left w:val="none" w:sz="0" w:space="0" w:color="auto"/>
        <w:bottom w:val="none" w:sz="0" w:space="0" w:color="auto"/>
        <w:right w:val="none" w:sz="0" w:space="0" w:color="auto"/>
      </w:divBdr>
      <w:divsChild>
        <w:div w:id="1302924250">
          <w:marLeft w:val="0"/>
          <w:marRight w:val="0"/>
          <w:marTop w:val="0"/>
          <w:marBottom w:val="0"/>
          <w:divBdr>
            <w:top w:val="none" w:sz="0" w:space="0" w:color="auto"/>
            <w:left w:val="none" w:sz="0" w:space="0" w:color="auto"/>
            <w:bottom w:val="none" w:sz="0" w:space="0" w:color="auto"/>
            <w:right w:val="none" w:sz="0" w:space="0" w:color="auto"/>
          </w:divBdr>
        </w:div>
      </w:divsChild>
    </w:div>
    <w:div w:id="1085372825">
      <w:bodyDiv w:val="1"/>
      <w:marLeft w:val="0"/>
      <w:marRight w:val="0"/>
      <w:marTop w:val="0"/>
      <w:marBottom w:val="0"/>
      <w:divBdr>
        <w:top w:val="none" w:sz="0" w:space="0" w:color="auto"/>
        <w:left w:val="none" w:sz="0" w:space="0" w:color="auto"/>
        <w:bottom w:val="none" w:sz="0" w:space="0" w:color="auto"/>
        <w:right w:val="none" w:sz="0" w:space="0" w:color="auto"/>
      </w:divBdr>
    </w:div>
    <w:div w:id="1123109303">
      <w:bodyDiv w:val="1"/>
      <w:marLeft w:val="0"/>
      <w:marRight w:val="0"/>
      <w:marTop w:val="0"/>
      <w:marBottom w:val="0"/>
      <w:divBdr>
        <w:top w:val="none" w:sz="0" w:space="0" w:color="auto"/>
        <w:left w:val="none" w:sz="0" w:space="0" w:color="auto"/>
        <w:bottom w:val="none" w:sz="0" w:space="0" w:color="auto"/>
        <w:right w:val="none" w:sz="0" w:space="0" w:color="auto"/>
      </w:divBdr>
    </w:div>
    <w:div w:id="1151363733">
      <w:bodyDiv w:val="1"/>
      <w:marLeft w:val="0"/>
      <w:marRight w:val="0"/>
      <w:marTop w:val="0"/>
      <w:marBottom w:val="0"/>
      <w:divBdr>
        <w:top w:val="none" w:sz="0" w:space="0" w:color="auto"/>
        <w:left w:val="none" w:sz="0" w:space="0" w:color="auto"/>
        <w:bottom w:val="none" w:sz="0" w:space="0" w:color="auto"/>
        <w:right w:val="none" w:sz="0" w:space="0" w:color="auto"/>
      </w:divBdr>
      <w:divsChild>
        <w:div w:id="926186403">
          <w:marLeft w:val="0"/>
          <w:marRight w:val="0"/>
          <w:marTop w:val="0"/>
          <w:marBottom w:val="0"/>
          <w:divBdr>
            <w:top w:val="none" w:sz="0" w:space="0" w:color="auto"/>
            <w:left w:val="none" w:sz="0" w:space="0" w:color="auto"/>
            <w:bottom w:val="none" w:sz="0" w:space="0" w:color="auto"/>
            <w:right w:val="none" w:sz="0" w:space="0" w:color="auto"/>
          </w:divBdr>
        </w:div>
      </w:divsChild>
    </w:div>
    <w:div w:id="1157113249">
      <w:bodyDiv w:val="1"/>
      <w:marLeft w:val="0"/>
      <w:marRight w:val="0"/>
      <w:marTop w:val="0"/>
      <w:marBottom w:val="0"/>
      <w:divBdr>
        <w:top w:val="none" w:sz="0" w:space="0" w:color="auto"/>
        <w:left w:val="none" w:sz="0" w:space="0" w:color="auto"/>
        <w:bottom w:val="none" w:sz="0" w:space="0" w:color="auto"/>
        <w:right w:val="none" w:sz="0" w:space="0" w:color="auto"/>
      </w:divBdr>
      <w:divsChild>
        <w:div w:id="405687126">
          <w:marLeft w:val="0"/>
          <w:marRight w:val="0"/>
          <w:marTop w:val="0"/>
          <w:marBottom w:val="0"/>
          <w:divBdr>
            <w:top w:val="none" w:sz="0" w:space="0" w:color="auto"/>
            <w:left w:val="none" w:sz="0" w:space="0" w:color="auto"/>
            <w:bottom w:val="none" w:sz="0" w:space="0" w:color="auto"/>
            <w:right w:val="none" w:sz="0" w:space="0" w:color="auto"/>
          </w:divBdr>
        </w:div>
      </w:divsChild>
    </w:div>
    <w:div w:id="1230188979">
      <w:bodyDiv w:val="1"/>
      <w:marLeft w:val="0"/>
      <w:marRight w:val="0"/>
      <w:marTop w:val="0"/>
      <w:marBottom w:val="0"/>
      <w:divBdr>
        <w:top w:val="none" w:sz="0" w:space="0" w:color="auto"/>
        <w:left w:val="none" w:sz="0" w:space="0" w:color="auto"/>
        <w:bottom w:val="none" w:sz="0" w:space="0" w:color="auto"/>
        <w:right w:val="none" w:sz="0" w:space="0" w:color="auto"/>
      </w:divBdr>
      <w:divsChild>
        <w:div w:id="142431287">
          <w:marLeft w:val="0"/>
          <w:marRight w:val="0"/>
          <w:marTop w:val="0"/>
          <w:marBottom w:val="0"/>
          <w:divBdr>
            <w:top w:val="none" w:sz="0" w:space="0" w:color="auto"/>
            <w:left w:val="none" w:sz="0" w:space="0" w:color="auto"/>
            <w:bottom w:val="none" w:sz="0" w:space="0" w:color="auto"/>
            <w:right w:val="none" w:sz="0" w:space="0" w:color="auto"/>
          </w:divBdr>
        </w:div>
      </w:divsChild>
    </w:div>
    <w:div w:id="1291941058">
      <w:bodyDiv w:val="1"/>
      <w:marLeft w:val="0"/>
      <w:marRight w:val="0"/>
      <w:marTop w:val="0"/>
      <w:marBottom w:val="0"/>
      <w:divBdr>
        <w:top w:val="none" w:sz="0" w:space="0" w:color="auto"/>
        <w:left w:val="none" w:sz="0" w:space="0" w:color="auto"/>
        <w:bottom w:val="none" w:sz="0" w:space="0" w:color="auto"/>
        <w:right w:val="none" w:sz="0" w:space="0" w:color="auto"/>
      </w:divBdr>
      <w:divsChild>
        <w:div w:id="518349447">
          <w:marLeft w:val="0"/>
          <w:marRight w:val="0"/>
          <w:marTop w:val="0"/>
          <w:marBottom w:val="0"/>
          <w:divBdr>
            <w:top w:val="none" w:sz="0" w:space="0" w:color="auto"/>
            <w:left w:val="none" w:sz="0" w:space="0" w:color="auto"/>
            <w:bottom w:val="none" w:sz="0" w:space="0" w:color="auto"/>
            <w:right w:val="none" w:sz="0" w:space="0" w:color="auto"/>
          </w:divBdr>
        </w:div>
      </w:divsChild>
    </w:div>
    <w:div w:id="1293824961">
      <w:bodyDiv w:val="1"/>
      <w:marLeft w:val="0"/>
      <w:marRight w:val="0"/>
      <w:marTop w:val="0"/>
      <w:marBottom w:val="0"/>
      <w:divBdr>
        <w:top w:val="none" w:sz="0" w:space="0" w:color="auto"/>
        <w:left w:val="none" w:sz="0" w:space="0" w:color="auto"/>
        <w:bottom w:val="none" w:sz="0" w:space="0" w:color="auto"/>
        <w:right w:val="none" w:sz="0" w:space="0" w:color="auto"/>
      </w:divBdr>
      <w:divsChild>
        <w:div w:id="1012339715">
          <w:marLeft w:val="0"/>
          <w:marRight w:val="0"/>
          <w:marTop w:val="0"/>
          <w:marBottom w:val="0"/>
          <w:divBdr>
            <w:top w:val="none" w:sz="0" w:space="0" w:color="auto"/>
            <w:left w:val="none" w:sz="0" w:space="0" w:color="auto"/>
            <w:bottom w:val="none" w:sz="0" w:space="0" w:color="auto"/>
            <w:right w:val="none" w:sz="0" w:space="0" w:color="auto"/>
          </w:divBdr>
          <w:divsChild>
            <w:div w:id="331378360">
              <w:marLeft w:val="0"/>
              <w:marRight w:val="0"/>
              <w:marTop w:val="0"/>
              <w:marBottom w:val="0"/>
              <w:divBdr>
                <w:top w:val="none" w:sz="0" w:space="0" w:color="auto"/>
                <w:left w:val="none" w:sz="0" w:space="0" w:color="auto"/>
                <w:bottom w:val="none" w:sz="0" w:space="0" w:color="auto"/>
                <w:right w:val="none" w:sz="0" w:space="0" w:color="auto"/>
              </w:divBdr>
              <w:divsChild>
                <w:div w:id="6491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632926">
      <w:bodyDiv w:val="1"/>
      <w:marLeft w:val="0"/>
      <w:marRight w:val="0"/>
      <w:marTop w:val="0"/>
      <w:marBottom w:val="0"/>
      <w:divBdr>
        <w:top w:val="none" w:sz="0" w:space="0" w:color="auto"/>
        <w:left w:val="none" w:sz="0" w:space="0" w:color="auto"/>
        <w:bottom w:val="none" w:sz="0" w:space="0" w:color="auto"/>
        <w:right w:val="none" w:sz="0" w:space="0" w:color="auto"/>
      </w:divBdr>
    </w:div>
    <w:div w:id="1313176140">
      <w:bodyDiv w:val="1"/>
      <w:marLeft w:val="0"/>
      <w:marRight w:val="0"/>
      <w:marTop w:val="0"/>
      <w:marBottom w:val="0"/>
      <w:divBdr>
        <w:top w:val="none" w:sz="0" w:space="0" w:color="auto"/>
        <w:left w:val="none" w:sz="0" w:space="0" w:color="auto"/>
        <w:bottom w:val="none" w:sz="0" w:space="0" w:color="auto"/>
        <w:right w:val="none" w:sz="0" w:space="0" w:color="auto"/>
      </w:divBdr>
    </w:div>
    <w:div w:id="1324048590">
      <w:bodyDiv w:val="1"/>
      <w:marLeft w:val="0"/>
      <w:marRight w:val="0"/>
      <w:marTop w:val="0"/>
      <w:marBottom w:val="0"/>
      <w:divBdr>
        <w:top w:val="none" w:sz="0" w:space="0" w:color="auto"/>
        <w:left w:val="none" w:sz="0" w:space="0" w:color="auto"/>
        <w:bottom w:val="none" w:sz="0" w:space="0" w:color="auto"/>
        <w:right w:val="none" w:sz="0" w:space="0" w:color="auto"/>
      </w:divBdr>
    </w:div>
    <w:div w:id="1350177239">
      <w:bodyDiv w:val="1"/>
      <w:marLeft w:val="0"/>
      <w:marRight w:val="0"/>
      <w:marTop w:val="0"/>
      <w:marBottom w:val="0"/>
      <w:divBdr>
        <w:top w:val="none" w:sz="0" w:space="0" w:color="auto"/>
        <w:left w:val="none" w:sz="0" w:space="0" w:color="auto"/>
        <w:bottom w:val="none" w:sz="0" w:space="0" w:color="auto"/>
        <w:right w:val="none" w:sz="0" w:space="0" w:color="auto"/>
      </w:divBdr>
    </w:div>
    <w:div w:id="1389188628">
      <w:bodyDiv w:val="1"/>
      <w:marLeft w:val="0"/>
      <w:marRight w:val="0"/>
      <w:marTop w:val="0"/>
      <w:marBottom w:val="0"/>
      <w:divBdr>
        <w:top w:val="none" w:sz="0" w:space="0" w:color="auto"/>
        <w:left w:val="none" w:sz="0" w:space="0" w:color="auto"/>
        <w:bottom w:val="none" w:sz="0" w:space="0" w:color="auto"/>
        <w:right w:val="none" w:sz="0" w:space="0" w:color="auto"/>
      </w:divBdr>
    </w:div>
    <w:div w:id="1389576169">
      <w:bodyDiv w:val="1"/>
      <w:marLeft w:val="225"/>
      <w:marRight w:val="225"/>
      <w:marTop w:val="0"/>
      <w:marBottom w:val="0"/>
      <w:divBdr>
        <w:top w:val="none" w:sz="0" w:space="0" w:color="auto"/>
        <w:left w:val="none" w:sz="0" w:space="0" w:color="auto"/>
        <w:bottom w:val="none" w:sz="0" w:space="0" w:color="auto"/>
        <w:right w:val="none" w:sz="0" w:space="0" w:color="auto"/>
      </w:divBdr>
      <w:divsChild>
        <w:div w:id="912549831">
          <w:marLeft w:val="0"/>
          <w:marRight w:val="0"/>
          <w:marTop w:val="0"/>
          <w:marBottom w:val="0"/>
          <w:divBdr>
            <w:top w:val="none" w:sz="0" w:space="0" w:color="auto"/>
            <w:left w:val="none" w:sz="0" w:space="0" w:color="auto"/>
            <w:bottom w:val="none" w:sz="0" w:space="0" w:color="auto"/>
            <w:right w:val="none" w:sz="0" w:space="0" w:color="auto"/>
          </w:divBdr>
        </w:div>
      </w:divsChild>
    </w:div>
    <w:div w:id="1418600133">
      <w:bodyDiv w:val="1"/>
      <w:marLeft w:val="0"/>
      <w:marRight w:val="0"/>
      <w:marTop w:val="0"/>
      <w:marBottom w:val="0"/>
      <w:divBdr>
        <w:top w:val="none" w:sz="0" w:space="0" w:color="auto"/>
        <w:left w:val="none" w:sz="0" w:space="0" w:color="auto"/>
        <w:bottom w:val="none" w:sz="0" w:space="0" w:color="auto"/>
        <w:right w:val="none" w:sz="0" w:space="0" w:color="auto"/>
      </w:divBdr>
      <w:divsChild>
        <w:div w:id="134301531">
          <w:marLeft w:val="0"/>
          <w:marRight w:val="0"/>
          <w:marTop w:val="0"/>
          <w:marBottom w:val="0"/>
          <w:divBdr>
            <w:top w:val="none" w:sz="0" w:space="0" w:color="auto"/>
            <w:left w:val="none" w:sz="0" w:space="0" w:color="auto"/>
            <w:bottom w:val="none" w:sz="0" w:space="0" w:color="auto"/>
            <w:right w:val="none" w:sz="0" w:space="0" w:color="auto"/>
          </w:divBdr>
        </w:div>
      </w:divsChild>
    </w:div>
    <w:div w:id="1428230742">
      <w:bodyDiv w:val="1"/>
      <w:marLeft w:val="0"/>
      <w:marRight w:val="0"/>
      <w:marTop w:val="0"/>
      <w:marBottom w:val="0"/>
      <w:divBdr>
        <w:top w:val="none" w:sz="0" w:space="0" w:color="auto"/>
        <w:left w:val="none" w:sz="0" w:space="0" w:color="auto"/>
        <w:bottom w:val="none" w:sz="0" w:space="0" w:color="auto"/>
        <w:right w:val="none" w:sz="0" w:space="0" w:color="auto"/>
      </w:divBdr>
      <w:divsChild>
        <w:div w:id="1404403506">
          <w:marLeft w:val="0"/>
          <w:marRight w:val="0"/>
          <w:marTop w:val="0"/>
          <w:marBottom w:val="0"/>
          <w:divBdr>
            <w:top w:val="none" w:sz="0" w:space="0" w:color="auto"/>
            <w:left w:val="none" w:sz="0" w:space="0" w:color="auto"/>
            <w:bottom w:val="none" w:sz="0" w:space="0" w:color="auto"/>
            <w:right w:val="none" w:sz="0" w:space="0" w:color="auto"/>
          </w:divBdr>
        </w:div>
      </w:divsChild>
    </w:div>
    <w:div w:id="1470897786">
      <w:bodyDiv w:val="1"/>
      <w:marLeft w:val="0"/>
      <w:marRight w:val="0"/>
      <w:marTop w:val="0"/>
      <w:marBottom w:val="0"/>
      <w:divBdr>
        <w:top w:val="none" w:sz="0" w:space="0" w:color="auto"/>
        <w:left w:val="none" w:sz="0" w:space="0" w:color="auto"/>
        <w:bottom w:val="none" w:sz="0" w:space="0" w:color="auto"/>
        <w:right w:val="none" w:sz="0" w:space="0" w:color="auto"/>
      </w:divBdr>
    </w:div>
    <w:div w:id="1579248253">
      <w:bodyDiv w:val="1"/>
      <w:marLeft w:val="0"/>
      <w:marRight w:val="0"/>
      <w:marTop w:val="0"/>
      <w:marBottom w:val="0"/>
      <w:divBdr>
        <w:top w:val="none" w:sz="0" w:space="0" w:color="auto"/>
        <w:left w:val="none" w:sz="0" w:space="0" w:color="auto"/>
        <w:bottom w:val="none" w:sz="0" w:space="0" w:color="auto"/>
        <w:right w:val="none" w:sz="0" w:space="0" w:color="auto"/>
      </w:divBdr>
      <w:divsChild>
        <w:div w:id="1022122297">
          <w:marLeft w:val="0"/>
          <w:marRight w:val="0"/>
          <w:marTop w:val="0"/>
          <w:marBottom w:val="0"/>
          <w:divBdr>
            <w:top w:val="none" w:sz="0" w:space="0" w:color="auto"/>
            <w:left w:val="none" w:sz="0" w:space="0" w:color="auto"/>
            <w:bottom w:val="none" w:sz="0" w:space="0" w:color="auto"/>
            <w:right w:val="none" w:sz="0" w:space="0" w:color="auto"/>
          </w:divBdr>
        </w:div>
      </w:divsChild>
    </w:div>
    <w:div w:id="1635283215">
      <w:bodyDiv w:val="1"/>
      <w:marLeft w:val="0"/>
      <w:marRight w:val="0"/>
      <w:marTop w:val="0"/>
      <w:marBottom w:val="0"/>
      <w:divBdr>
        <w:top w:val="none" w:sz="0" w:space="0" w:color="auto"/>
        <w:left w:val="none" w:sz="0" w:space="0" w:color="auto"/>
        <w:bottom w:val="none" w:sz="0" w:space="0" w:color="auto"/>
        <w:right w:val="none" w:sz="0" w:space="0" w:color="auto"/>
      </w:divBdr>
    </w:div>
    <w:div w:id="1716466732">
      <w:bodyDiv w:val="1"/>
      <w:marLeft w:val="0"/>
      <w:marRight w:val="0"/>
      <w:marTop w:val="0"/>
      <w:marBottom w:val="0"/>
      <w:divBdr>
        <w:top w:val="none" w:sz="0" w:space="0" w:color="auto"/>
        <w:left w:val="none" w:sz="0" w:space="0" w:color="auto"/>
        <w:bottom w:val="none" w:sz="0" w:space="0" w:color="auto"/>
        <w:right w:val="none" w:sz="0" w:space="0" w:color="auto"/>
      </w:divBdr>
    </w:div>
    <w:div w:id="1786847636">
      <w:bodyDiv w:val="1"/>
      <w:marLeft w:val="0"/>
      <w:marRight w:val="0"/>
      <w:marTop w:val="0"/>
      <w:marBottom w:val="0"/>
      <w:divBdr>
        <w:top w:val="none" w:sz="0" w:space="0" w:color="auto"/>
        <w:left w:val="none" w:sz="0" w:space="0" w:color="auto"/>
        <w:bottom w:val="none" w:sz="0" w:space="0" w:color="auto"/>
        <w:right w:val="none" w:sz="0" w:space="0" w:color="auto"/>
      </w:divBdr>
    </w:div>
    <w:div w:id="1839343559">
      <w:bodyDiv w:val="1"/>
      <w:marLeft w:val="0"/>
      <w:marRight w:val="0"/>
      <w:marTop w:val="0"/>
      <w:marBottom w:val="0"/>
      <w:divBdr>
        <w:top w:val="none" w:sz="0" w:space="0" w:color="auto"/>
        <w:left w:val="none" w:sz="0" w:space="0" w:color="auto"/>
        <w:bottom w:val="none" w:sz="0" w:space="0" w:color="auto"/>
        <w:right w:val="none" w:sz="0" w:space="0" w:color="auto"/>
      </w:divBdr>
    </w:div>
    <w:div w:id="1839344931">
      <w:bodyDiv w:val="1"/>
      <w:marLeft w:val="0"/>
      <w:marRight w:val="0"/>
      <w:marTop w:val="0"/>
      <w:marBottom w:val="0"/>
      <w:divBdr>
        <w:top w:val="none" w:sz="0" w:space="0" w:color="auto"/>
        <w:left w:val="none" w:sz="0" w:space="0" w:color="auto"/>
        <w:bottom w:val="none" w:sz="0" w:space="0" w:color="auto"/>
        <w:right w:val="none" w:sz="0" w:space="0" w:color="auto"/>
      </w:divBdr>
    </w:div>
    <w:div w:id="1866551423">
      <w:bodyDiv w:val="1"/>
      <w:marLeft w:val="0"/>
      <w:marRight w:val="0"/>
      <w:marTop w:val="0"/>
      <w:marBottom w:val="0"/>
      <w:divBdr>
        <w:top w:val="none" w:sz="0" w:space="0" w:color="auto"/>
        <w:left w:val="none" w:sz="0" w:space="0" w:color="auto"/>
        <w:bottom w:val="none" w:sz="0" w:space="0" w:color="auto"/>
        <w:right w:val="none" w:sz="0" w:space="0" w:color="auto"/>
      </w:divBdr>
    </w:div>
    <w:div w:id="2068065139">
      <w:bodyDiv w:val="1"/>
      <w:marLeft w:val="0"/>
      <w:marRight w:val="0"/>
      <w:marTop w:val="0"/>
      <w:marBottom w:val="0"/>
      <w:divBdr>
        <w:top w:val="none" w:sz="0" w:space="0" w:color="auto"/>
        <w:left w:val="none" w:sz="0" w:space="0" w:color="auto"/>
        <w:bottom w:val="none" w:sz="0" w:space="0" w:color="auto"/>
        <w:right w:val="none" w:sz="0" w:space="0" w:color="auto"/>
      </w:divBdr>
    </w:div>
    <w:div w:id="2078354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lentele" DocPartId="c8749e25543c4524bf692740005af6ad" PartId="1b035212b958482185ac8bdc8d62cf51"/>
  <Part Type="pastraipa" DocPartId="bae09498c0814f7f8d02f170d4b6d13c" PartId="9b97838d85064172948c643816c08157">
    <Part Type="punktas" Nr="1" Abbr="1 p." DocPartId="8978229e37fc42e09a3f457e7c3c6727" PartId="b3e07b771c1045cda24b1cee5b625259">
      <Part Type="papunktis" Nr="1.1" Abbr="1.1 pp." DocPartId="f7be05cb24ea4b57873e1b408bb98fb5" PartId="55b2fc4623854999b44e0fe77c5543c8">
        <Part Type="citata" DocPartId="f96694a2a8684383a9bbe358bccb3989" PartId="b297d52ebad14c64abd741819c668985">
          <Part Type="punktas" Nr="7" Abbr="7 p." DocPartId="0aebfac5888e40a28cd570b7c0457501" PartId="88cb236fd6db48d7ac28ad5ad0c6239b"/>
        </Part>
      </Part>
      <Part Type="papunktis" Nr="1.2" Abbr="1.2 pp." DocPartId="aa9a57d655284d2b89ddf29ff1353ee8" PartId="5a15bdcddb7744609cd5456d70b30f40">
        <Part Type="citata" DocPartId="56d5129777034825a386fa8cd2f9c10b" PartId="a14d8c148a1a4dca8a9af8413b476520">
          <Part Type="punktas" Nr="23" Abbr="23 p." DocPartId="8f65eb12b7f74d8a98755573b13b834d" PartId="45da1ce2e11c4a42b583b98aef9feaa6"/>
        </Part>
      </Part>
      <Part Type="papunktis" Nr="1.3" Abbr="1.3 pp." DocPartId="b59db97118414aafb66606330fbc516b" PartId="c45a7a1ed0e449958b76a532aeb9c523"/>
    </Part>
    <Part Type="punktas" Nr="2" Abbr="2 p." DocPartId="a53e3dfad042499ca6dc0edbf0680bbf" PartId="31c784819f59474cbab78466f8760fd4"/>
    <Part Type="punktas" Nr="3" Abbr="3 p." DocPartId="772ef050dd04485f8e603d52115bbfd2" PartId="3ecdfcbf584e42129e26c4990c81fff6"/>
    <Part Type="pabaiga" DocPartId="0886e96f36d64fe39e188aa96fdf37ef" PartId="8925db19b44c4a3fb04a0c6da96ecd09"/>
  </Part>
  <Part Type="priedas" Abbr="pr." DocPartId="0d9309a06a2b47068f3f4d7f2b24d3c7" PartId="8fd71505cc734cb0b024617a6064c7d4">
    <Part Type="skirsnis" Title="Parengto sprendimo projekto tikslas." DocPartId="cae2b35c374647fe9349ea754a852b01" PartId="575122a670374ac2984c7ff201973d90"/>
    <Part Type="skirsnis" Title="Sprendimo projekto šiuo metu esantis teisinis reglamentavimas." DocPartId="aee6968ecd88416f91aba7bfc1ebcb1e" PartId="41f229627e3a40158caf35ee64cec7ca"/>
    <Part Type="skirsnis" Title="Galiojantys teisės aktai, kuriuos būtina pakeisti ar panaikinti, priėmus teikiamą Savivaldybės sprendimą." DocPartId="5f5dac100e644effaad2c32b62d1739b" PartId="b8222101bcbd43b18c9aaef8a3939632"/>
    <Part Type="skirsnis" Title="Sprendimo projekto autoriai (rengėjai), iniciatoriai: institucija, asmenys ar piliečių įgalioti atstovai bei priimto teisės akto nauda Savivaldybei." DocPartId="4a9f7dfcf3cf4d8c8831ed7b4765cce8" PartId="9e5e0631474b41d5a04e5f1a72898677"/>
  </Part>
</Parts>
</file>

<file path=customXml/itemProps1.xml><?xml version="1.0" encoding="utf-8"?>
<ds:datastoreItem xmlns:ds="http://schemas.openxmlformats.org/officeDocument/2006/customXml" ds:itemID="{05AE6B25-B549-4706-95AC-92FEE25AEC39}">
  <ds:schemaRefs>
    <ds:schemaRef ds:uri="http://schemas.openxmlformats.org/officeDocument/2006/bibliography"/>
  </ds:schemaRefs>
</ds:datastoreItem>
</file>

<file path=customXml/itemProps2.xml><?xml version="1.0" encoding="utf-8"?>
<ds:datastoreItem xmlns:ds="http://schemas.openxmlformats.org/officeDocument/2006/customXml" ds:itemID="{BC98672B-2159-4502-8777-C0CC833F6B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1022</Words>
  <Characters>7354</Characters>
  <Application>Microsoft Office Word</Application>
  <DocSecurity>4</DocSecurity>
  <Lines>237</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IGNALINOS GIMNAZIJOS NAUJOS REDAKCIJOS NUOSTATŲ PATVIRTINIMO</vt:lpstr>
      <vt:lpstr>DĖL IGNALINOS GIMNAZIJOS NAUJOS REDAKCIJOS NUOSTATŲ PATVIRTINIMO</vt:lpstr>
    </vt:vector>
  </TitlesOfParts>
  <Manager>2015-07-09</Manager>
  <Company>Home</Company>
  <LinksUpToDate>false</LinksUpToDate>
  <CharactersWithSpaces>8285</CharactersWithSpaces>
  <SharedDoc>false</SharedDoc>
  <HyperlinkBase/>
  <HLinks>
    <vt:vector size="6" baseType="variant">
      <vt:variant>
        <vt:i4>6226007</vt:i4>
      </vt:variant>
      <vt:variant>
        <vt:i4>0</vt:i4>
      </vt:variant>
      <vt:variant>
        <vt:i4>0</vt:i4>
      </vt:variant>
      <vt:variant>
        <vt:i4>5</vt:i4>
      </vt:variant>
      <vt:variant>
        <vt:lpwstr>http://195.182.92.232/tp/AT2019-1.zip</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2024-12-12T06:56:00Z</dcterms:created>
  <dc:creator>IGNALINOS RAJONO SAVIVALDYBĖS TARYBA</dc:creator>
  <lastModifiedBy>adlibuser</lastModifiedBy>
  <lastPrinted>2024-12-10T07:16:00Z</lastPrinted>
  <dcterms:modified xsi:type="dcterms:W3CDTF">2024-12-12T06:56:00Z</dcterms:modified>
  <revision>2</revision>
  <dc:subject>T-102</dc:subject>
  <dc:title>DĖL IGNALINOS GIMNAZIJOS NAUJOS REDAKCIJOS NUOSTATŲ PATVIRTINIMO</dc:title>
</coreProperties>
</file>