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097fb094dd75416c8bfdd0d3282fb544"/>
        <w:lock w:val="sdtLocked"/>
        <w:richText/>
      </w:sdtPr>
      <w:sdtContent>
        <w:p>
          <w:pPr>
            <w:tabs>
              <w:tab w:val="center" w:pos="4153"/>
              <w:tab w:val="right" w:pos="9100"/>
            </w:tabs>
            <w:suppressAutoHyphens/>
            <w:rPr>
              <w:rFonts w:ascii="Tahoma" w:hAnsi="Tahoma"/>
              <w:spacing w:val="10"/>
              <w:sz w:val="20"/>
              <w:lang w:eastAsia="lt-LT"/>
            </w:rPr>
          </w:pPr>
        </w:p>
        <w:p>
          <w:pPr>
            <w:tabs>
              <w:tab w:val="center" w:pos="4153"/>
              <w:tab w:val="right" w:pos="9100"/>
            </w:tabs>
            <w:suppressAutoHyphens/>
            <w:ind w:firstLine="6804"/>
            <w:jc w:val="right"/>
            <w:rPr>
              <w:b/>
              <w:spacing w:val="10"/>
              <w:szCs w:val="24"/>
              <w:lang w:eastAsia="lt-LT"/>
            </w:rPr>
          </w:pPr>
          <w:r>
            <w:rPr>
              <w:b/>
              <w:spacing w:val="10"/>
              <w:szCs w:val="24"/>
              <w:lang w:eastAsia="lt-LT"/>
            </w:rPr>
            <w:t xml:space="preserve">Projektas </w:t>
          </w:r>
        </w:p>
        <w:p>
          <w:pPr>
            <w:tabs>
              <w:tab w:val="center" w:pos="4153"/>
              <w:tab w:val="right" w:pos="9100"/>
            </w:tabs>
            <w:suppressAutoHyphens/>
            <w:ind w:firstLine="6804"/>
            <w:rPr>
              <w:b/>
              <w:spacing w:val="10"/>
              <w:szCs w:val="24"/>
              <w:lang w:eastAsia="lt-LT"/>
            </w:rPr>
          </w:pPr>
        </w:p>
        <w:p>
          <w:pPr>
            <w:rPr>
              <w:sz w:val="10"/>
              <w:szCs w:val="10"/>
            </w:rPr>
          </w:pPr>
        </w:p>
        <w:p>
          <w:pPr>
            <w:suppressAutoHyphens/>
            <w:jc w:val="center"/>
            <w:rPr>
              <w:b/>
              <w:bCs/>
              <w:lang w:eastAsia="lt-LT"/>
            </w:rPr>
          </w:pPr>
          <w:r>
            <w:rPr>
              <w:b/>
              <w:bCs/>
              <w:lang w:eastAsia="lt-LT"/>
            </w:rPr>
            <w:t>LIETUVOS RESPUBLIKOS APLINKOS MINISTRAS</w:t>
          </w:r>
        </w:p>
        <w:p>
          <w:pPr>
            <w:suppressAutoHyphens/>
            <w:jc w:val="center"/>
            <w:rPr>
              <w:b/>
              <w:bCs/>
              <w:lang w:eastAsia="lt-LT"/>
            </w:rPr>
          </w:pPr>
        </w:p>
        <w:p>
          <w:pPr>
            <w:rPr>
              <w:sz w:val="6"/>
              <w:szCs w:val="6"/>
            </w:rPr>
          </w:pPr>
        </w:p>
        <w:p>
          <w:pPr>
            <w:suppressAutoHyphens/>
            <w:jc w:val="center"/>
            <w:rPr>
              <w:b/>
              <w:lang w:eastAsia="lt-LT"/>
            </w:rPr>
          </w:pPr>
          <w:r>
            <w:rPr>
              <w:b/>
              <w:lang w:eastAsia="lt-LT"/>
            </w:rPr>
            <w:t>ĮSAKYMAS</w:t>
          </w:r>
        </w:p>
        <w:p>
          <w:pPr>
            <w:suppressAutoHyphens/>
            <w:jc w:val="center"/>
            <w:rPr>
              <w:b/>
              <w:bCs/>
              <w:lang w:eastAsia="lt-LT"/>
            </w:rPr>
          </w:pPr>
          <w:r>
            <w:rPr>
              <w:b/>
              <w:bCs/>
              <w:lang w:eastAsia="lt-LT"/>
            </w:rPr>
            <w:t>DĖL LIETUVOS RESPUBLIKOS APLINKOS MINISTRO 2016 M. LAPKRIČIO 25 D. ĮSAKYMO NR. D1-805 „DĖL ATLIEKŲ DEGINIMO ĮRENGINIUOSE IR BENDRO ATLIEKŲ DEGINIMO ĮRENGINIUOSE SUSIDARIUSIŲ PELENŲ IR ŠLAKO TVARKYMO REIKALAVIMŲ PATVIRTINIMO“</w:t>
          </w:r>
        </w:p>
        <w:p>
          <w:pPr>
            <w:suppressAutoHyphens/>
            <w:jc w:val="center"/>
            <w:rPr>
              <w:b/>
              <w:bCs/>
              <w:lang w:eastAsia="lt-LT"/>
            </w:rPr>
          </w:pPr>
          <w:r>
            <w:rPr>
              <w:b/>
              <w:bCs/>
              <w:lang w:eastAsia="lt-LT"/>
            </w:rPr>
            <w:t>PAKEITIMO</w:t>
          </w:r>
        </w:p>
        <w:p>
          <w:pPr>
            <w:suppressAutoHyphens/>
            <w:jc w:val="center"/>
            <w:rPr>
              <w:b/>
              <w:lang w:eastAsia="lt-LT"/>
            </w:rPr>
          </w:pPr>
        </w:p>
        <w:p>
          <w:pPr>
            <w:suppressAutoHyphens/>
            <w:jc w:val="center"/>
            <w:rPr>
              <w:lang w:eastAsia="lt-LT"/>
            </w:rPr>
          </w:pPr>
          <w:r>
            <w:rPr>
              <w:lang w:eastAsia="lt-LT"/>
            </w:rPr>
            <w:t xml:space="preserve">2021 m.                 d. Nr.      </w:t>
          </w:r>
        </w:p>
        <w:p>
          <w:pPr>
            <w:suppressAutoHyphens/>
            <w:jc w:val="center"/>
            <w:rPr>
              <w:rFonts w:ascii="Tahoma" w:hAnsi="Tahoma"/>
              <w:spacing w:val="10"/>
              <w:sz w:val="20"/>
              <w:lang w:eastAsia="lt-LT"/>
            </w:rPr>
          </w:pPr>
          <w:r>
            <w:rPr>
              <w:lang w:eastAsia="lt-LT"/>
            </w:rPr>
            <w:t>Vilnius</w:t>
            <w:br/>
          </w:r>
        </w:p>
        <w:p>
          <w:pPr>
            <w:suppressAutoHyphens/>
            <w:jc w:val="center"/>
            <w:rPr>
              <w:rFonts w:ascii="Tahoma" w:hAnsi="Tahoma"/>
              <w:spacing w:val="10"/>
              <w:sz w:val="20"/>
              <w:lang w:eastAsia="lt-LT"/>
            </w:rPr>
          </w:pPr>
        </w:p>
        <w:sdt>
          <w:sdtPr>
            <w:alias w:val="1 p."/>
            <w:tag w:val="part_2ffa588086ce4ea39e17af94699f0bf5"/>
            <w:lock w:val="sdtLocked"/>
            <w:richText/>
          </w:sdtPr>
          <w:sdtContent>
            <w:p>
              <w:pPr>
                <w:ind w:firstLine="709"/>
                <w:jc w:val="both"/>
                <w:rPr>
                  <w:szCs w:val="24"/>
                </w:rPr>
              </w:pPr>
              <w:sdt>
                <w:sdtPr>
                  <w:alias w:val="Numeris"/>
                  <w:tag w:val="nr_2ffa588086ce4ea39e17af94699f0bf5"/>
                  <w:lock w:val="sdtLocked"/>
                  <w:richText/>
                </w:sdtPr>
                <w:sdtContent>
                  <w:r>
                    <w:rPr>
                      <w:szCs w:val="24"/>
                    </w:rPr>
                    <w:t>1</w:t>
                  </w:r>
                </w:sdtContent>
              </w:sdt>
              <w:r>
                <w:rPr>
                  <w:szCs w:val="24"/>
                </w:rPr>
                <w:t xml:space="preserve">. P a k e i č i u Lietuvos Respublikos aplinkos ministro 2016 m. lapkričio 25 d. įsakymą            Nr. D1-805 „Dėl Atliekų deginimo </w:t>
              </w:r>
              <w:r>
                <w:rPr>
                  <w:bCs/>
                  <w:szCs w:val="24"/>
                </w:rPr>
                <w:t xml:space="preserve">įrenginiuose ir bendro atliekų deginimo įrenginiuose susidariusių pelenų ir šlako tvarkymo reikalavimų patvirtinimo“ (toliau–Tvarkymo reikalavimai) </w:t>
              </w:r>
              <w:r>
                <w:rPr>
                  <w:szCs w:val="24"/>
                </w:rPr>
                <w:t>ir jį išdėstau nauja redakcija:</w:t>
              </w:r>
            </w:p>
            <w:sdt>
              <w:sdtPr>
                <w:alias w:val="citata"/>
                <w:tag w:val="part_a7b0aa50fa614ef48626c327e7f0f1d4"/>
                <w:lock w:val="sdtLocked"/>
                <w:richText/>
              </w:sdtPr>
              <w:sdtContent>
                <w:sdt>
                  <w:sdtPr>
                    <w:alias w:val="pagrindine"/>
                    <w:tag w:val="part_7cbd609ec02a4cc78d2d223fb4cc4cf0"/>
                    <w:lock w:val="sdtLocked"/>
                    <w:richText/>
                  </w:sdtPr>
                  <w:sdtContent>
                    <w:p>
                      <w:pPr>
                        <w:suppressAutoHyphens/>
                        <w:jc w:val="center"/>
                        <w:rPr>
                          <w:b/>
                          <w:bCs/>
                          <w:lang w:eastAsia="lt-LT"/>
                        </w:rPr>
                      </w:pPr>
                      <w:r>
                        <w:rPr>
                          <w:bCs/>
                          <w:lang w:eastAsia="lt-LT"/>
                        </w:rPr>
                        <w:t>„</w:t>
                      </w:r>
                      <w:r>
                        <w:rPr>
                          <w:b/>
                          <w:bCs/>
                          <w:lang w:eastAsia="lt-LT"/>
                        </w:rPr>
                        <w:t>LIETUVOS RESPUBLIKOS APLINKOS MINISTRAS</w:t>
                      </w:r>
                    </w:p>
                    <w:p>
                      <w:pPr>
                        <w:suppressAutoHyphens/>
                        <w:jc w:val="center"/>
                        <w:rPr>
                          <w:b/>
                          <w:bCs/>
                          <w:lang w:eastAsia="lt-LT"/>
                        </w:rPr>
                      </w:pPr>
                    </w:p>
                    <w:p>
                      <w:pPr>
                        <w:rPr>
                          <w:sz w:val="6"/>
                          <w:szCs w:val="6"/>
                        </w:rPr>
                      </w:pPr>
                    </w:p>
                    <w:p>
                      <w:pPr>
                        <w:suppressAutoHyphens/>
                        <w:jc w:val="center"/>
                        <w:rPr>
                          <w:b/>
                          <w:lang w:eastAsia="lt-LT"/>
                        </w:rPr>
                      </w:pPr>
                      <w:r>
                        <w:rPr>
                          <w:b/>
                          <w:lang w:eastAsia="lt-LT"/>
                        </w:rPr>
                        <w:t>ĮSAKYMAS</w:t>
                      </w:r>
                    </w:p>
                    <w:p>
                      <w:pPr>
                        <w:suppressAutoHyphens/>
                        <w:jc w:val="center"/>
                        <w:rPr>
                          <w:b/>
                          <w:bCs/>
                          <w:lang w:eastAsia="lt-LT"/>
                        </w:rPr>
                      </w:pPr>
                      <w:r>
                        <w:rPr>
                          <w:b/>
                          <w:bCs/>
                          <w:lang w:eastAsia="lt-LT"/>
                        </w:rPr>
                        <w:t>DĖL ATLIEKŲ DEGINIMO ĮRENGINIUOSE IR BENDRO ATLIEKŲ DEGINIMO ĮRENGINIUOSE SUSIDARIUSIŲ NEPAVOJINGŲJŲ PELENŲ IR ŠLAKO TVARKYMO IR PANAUDOJIMO REIKALAVIMŲ PATVIRTINIMO“</w:t>
                      </w:r>
                    </w:p>
                    <w:p>
                      <w:pPr>
                        <w:suppressAutoHyphens/>
                        <w:jc w:val="center"/>
                        <w:rPr>
                          <w:b/>
                          <w:bCs/>
                          <w:lang w:eastAsia="lt-LT"/>
                        </w:rPr>
                      </w:pPr>
                    </w:p>
                  </w:sdtContent>
                </w:sdt>
              </w:sdtContent>
            </w:sdt>
            <w:sdt>
              <w:sdtPr>
                <w:alias w:val="preambule"/>
                <w:tag w:val="part_2d21cc2fcfb345a8a737385997fd4095"/>
                <w:lock w:val="sdtLocked"/>
                <w:richText/>
              </w:sdtPr>
              <w:sdtContent>
                <w:p>
                  <w:pPr>
                    <w:ind w:firstLine="629"/>
                    <w:jc w:val="both"/>
                    <w:rPr>
                      <w:szCs w:val="24"/>
                      <w:lang w:eastAsia="lt-LT"/>
                    </w:rPr>
                  </w:pPr>
                  <w:r>
                    <w:rPr>
                      <w:szCs w:val="24"/>
                      <w:lang w:eastAsia="lt-LT"/>
                    </w:rPr>
                    <w:t xml:space="preserve">Vadovaudamasis Lietuvos Respublikos aplinkos apsaugos įstatymo 6 straipsnio 5 dalies        4 ir 9 punktais, Lietuvos Respublikos atliekų tvarkymo įstatymo </w:t>
                  </w:r>
                  <w:r>
                    <w:rPr>
                      <w:bCs/>
                      <w:szCs w:val="24"/>
                      <w:lang w:eastAsia="lt-LT"/>
                    </w:rPr>
                    <w:t>3</w:t>
                  </w:r>
                  <w:r>
                    <w:rPr>
                      <w:bCs/>
                      <w:szCs w:val="24"/>
                      <w:vertAlign w:val="superscript"/>
                      <w:lang w:eastAsia="lt-LT"/>
                    </w:rPr>
                    <w:t>2</w:t>
                  </w:r>
                  <w:r>
                    <w:rPr>
                      <w:bCs/>
                      <w:szCs w:val="24"/>
                      <w:lang w:eastAsia="lt-LT"/>
                    </w:rPr>
                    <w:t xml:space="preserve"> straipsniu ir </w:t>
                  </w:r>
                  <w:r>
                    <w:rPr>
                      <w:szCs w:val="24"/>
                      <w:lang w:eastAsia="lt-LT"/>
                    </w:rPr>
                    <w:t>20 straipsnio 1 dalimi ir atsižvelgdamas į</w:t>
                  </w:r>
                  <w:r>
                    <w:t xml:space="preserve"> </w:t>
                  </w:r>
                  <w:r>
                    <w:rPr>
                      <w:szCs w:val="24"/>
                      <w:lang w:eastAsia="lt-LT"/>
                    </w:rPr>
                    <w:t>Atliekų deginimo aplinkosauginiais reikalavimus, patvirtintus Lietuvos Respublikos aplinkos ministro 2002 m. gruodžio 31 d. įsakymu Nr. 699 „Dėl Atliekų deginimo aplinkosauginių reikalavimų patvirtinimo“:</w:t>
                  </w:r>
                </w:p>
              </w:sdtContent>
            </w:sdt>
          </w:sdtContent>
        </w:sdt>
        <w:sdt>
          <w:sdtPr>
            <w:alias w:val="1 p."/>
            <w:tag w:val="part_63a88836f1104ab58381efff78712318"/>
            <w:lock w:val="sdtLocked"/>
            <w:richText/>
          </w:sdtPr>
          <w:sdtContent>
            <w:p>
              <w:pPr>
                <w:ind w:firstLine="567"/>
                <w:jc w:val="both"/>
                <w:rPr>
                  <w:szCs w:val="24"/>
                  <w:lang w:eastAsia="lt-LT"/>
                </w:rPr>
              </w:pPr>
              <w:sdt>
                <w:sdtPr>
                  <w:alias w:val="Numeris"/>
                  <w:tag w:val="nr_63a88836f1104ab58381efff78712318"/>
                  <w:lock w:val="sdtLocked"/>
                  <w:richText/>
                </w:sdtPr>
                <w:sdtContent>
                  <w:r>
                    <w:rPr>
                      <w:szCs w:val="24"/>
                      <w:lang w:eastAsia="lt-LT"/>
                    </w:rPr>
                    <w:t>1</w:t>
                  </w:r>
                </w:sdtContent>
              </w:sdt>
              <w:r>
                <w:rPr>
                  <w:szCs w:val="24"/>
                  <w:lang w:eastAsia="lt-LT"/>
                </w:rPr>
                <w:t>. T v i r t i n u Atliekų deginimo įrenginiuose ir bendro atliekų deginimo įrenginiuose susidariusių nepavojingųjų pelenų ir šlako tvarkymo ir panaudojimo reikalavimus (toliau – Reikalavimai) (pridedama).</w:t>
              </w:r>
            </w:p>
          </w:sdtContent>
        </w:sdt>
        <w:sdt>
          <w:sdtPr>
            <w:alias w:val="2 p."/>
            <w:tag w:val="part_ad1ec9df9db1470caa3bd0598a83d6e1"/>
            <w:lock w:val="sdtLocked"/>
            <w:richText/>
          </w:sdtPr>
          <w:sdtContent>
            <w:p>
              <w:pPr>
                <w:ind w:firstLine="567"/>
                <w:jc w:val="both"/>
                <w:rPr>
                  <w:szCs w:val="24"/>
                  <w:lang w:eastAsia="lt-LT"/>
                </w:rPr>
              </w:pPr>
              <w:sdt>
                <w:sdtPr>
                  <w:alias w:val="Numeris"/>
                  <w:tag w:val="nr_ad1ec9df9db1470caa3bd0598a83d6e1"/>
                  <w:lock w:val="sdtLocked"/>
                  <w:richText/>
                </w:sdtPr>
                <w:sdtContent>
                  <w:r>
                    <w:rPr>
                      <w:szCs w:val="24"/>
                      <w:lang w:eastAsia="lt-LT"/>
                    </w:rPr>
                    <w:t>2</w:t>
                  </w:r>
                </w:sdtContent>
              </w:sdt>
              <w:r>
                <w:rPr>
                  <w:szCs w:val="24"/>
                  <w:lang w:eastAsia="lt-LT"/>
                </w:rPr>
                <w:t xml:space="preserve">. P a v e d u Aplinkos apsaugos departamentui prie Aplinkos ministerijos ir Valstybinei </w:t>
              </w:r>
              <w:r>
                <w:rPr>
                  <w:iCs/>
                  <w:szCs w:val="24"/>
                  <w:lang w:eastAsia="lt-LT"/>
                </w:rPr>
                <w:t>teritorijų planavimo</w:t>
              </w:r>
              <w:r>
                <w:rPr>
                  <w:szCs w:val="24"/>
                  <w:lang w:eastAsia="lt-LT"/>
                </w:rPr>
                <w:t xml:space="preserve"> </w:t>
              </w:r>
              <w:r>
                <w:rPr>
                  <w:iCs/>
                  <w:szCs w:val="24"/>
                  <w:lang w:eastAsia="lt-LT"/>
                </w:rPr>
                <w:t>ir statybos inspekcijai</w:t>
              </w:r>
              <w:r>
                <w:rPr>
                  <w:szCs w:val="24"/>
                  <w:lang w:eastAsia="lt-LT"/>
                </w:rPr>
                <w:t xml:space="preserve"> prie Aplinkos ministerijos pagal kompetenciją vykdyti Reikalavimų laikymosi kontrolę.“</w:t>
              </w:r>
            </w:p>
          </w:sdtContent>
        </w:sdt>
        <w:sdt>
          <w:sdtPr>
            <w:alias w:val="2 p."/>
            <w:tag w:val="part_c0872fe89db349158fcc1a850152fce4"/>
            <w:lock w:val="sdtLocked"/>
            <w:richText/>
          </w:sdtPr>
          <w:sdtContent>
            <w:p>
              <w:pPr>
                <w:ind w:firstLine="567"/>
                <w:jc w:val="both"/>
                <w:rPr>
                  <w:szCs w:val="24"/>
                  <w:lang w:eastAsia="lt-LT"/>
                </w:rPr>
              </w:pPr>
              <w:sdt>
                <w:sdtPr>
                  <w:alias w:val="Numeris"/>
                  <w:tag w:val="nr_c0872fe89db349158fcc1a850152fce4"/>
                  <w:lock w:val="sdtLocked"/>
                  <w:richText/>
                </w:sdtPr>
                <w:sdtContent>
                  <w:r>
                    <w:rPr>
                      <w:szCs w:val="24"/>
                      <w:lang w:eastAsia="lt-LT"/>
                    </w:rPr>
                    <w:t>2</w:t>
                  </w:r>
                </w:sdtContent>
              </w:sdt>
              <w:r>
                <w:rPr>
                  <w:szCs w:val="24"/>
                  <w:lang w:eastAsia="lt-LT"/>
                </w:rPr>
                <w:t>. P r i p a ž į s t u netekusiu galios Reikalavimų III skyrių.</w:t>
              </w:r>
            </w:p>
          </w:sdtContent>
        </w:sdt>
        <w:sdt>
          <w:sdtPr>
            <w:alias w:val="3 p."/>
            <w:tag w:val="part_dea0073afa554f8fbc33b1f76908e540"/>
            <w:lock w:val="sdtLocked"/>
            <w:richText/>
          </w:sdtPr>
          <w:sdtContent>
            <w:p>
              <w:pPr>
                <w:ind w:firstLine="567"/>
                <w:jc w:val="both"/>
                <w:rPr>
                  <w:szCs w:val="24"/>
                  <w:lang w:eastAsia="lt-LT"/>
                </w:rPr>
              </w:pPr>
              <w:sdt>
                <w:sdtPr>
                  <w:alias w:val="Numeris"/>
                  <w:tag w:val="nr_dea0073afa554f8fbc33b1f76908e540"/>
                  <w:lock w:val="sdtLocked"/>
                  <w:richText/>
                </w:sdtPr>
                <w:sdtContent>
                  <w:r>
                    <w:rPr>
                      <w:szCs w:val="24"/>
                      <w:lang w:eastAsia="lt-LT"/>
                    </w:rPr>
                    <w:t>3</w:t>
                  </w:r>
                </w:sdtContent>
              </w:sdt>
              <w:r>
                <w:rPr>
                  <w:szCs w:val="24"/>
                  <w:lang w:eastAsia="lt-LT"/>
                </w:rPr>
                <w:t>. P r i p a ž į s t u netekusiu galios Reikalavimų 5 priedą.</w:t>
              </w:r>
            </w:p>
          </w:sdtContent>
        </w:sdt>
        <w:sdt>
          <w:sdtPr>
            <w:alias w:val="4 p."/>
            <w:tag w:val="part_18c0fe44d3684b129c3eeabbdaee7c94"/>
            <w:lock w:val="sdtLocked"/>
            <w:richText/>
          </w:sdtPr>
          <w:sdtContent>
            <w:p>
              <w:pPr>
                <w:ind w:firstLine="567"/>
                <w:jc w:val="both"/>
                <w:rPr>
                  <w:szCs w:val="24"/>
                </w:rPr>
              </w:pPr>
              <w:sdt>
                <w:sdtPr>
                  <w:alias w:val="Numeris"/>
                  <w:tag w:val="nr_18c0fe44d3684b129c3eeabbdaee7c94"/>
                  <w:lock w:val="sdtLocked"/>
                  <w:richText/>
                </w:sdtPr>
                <w:sdtContent>
                  <w:r>
                    <w:rPr>
                      <w:szCs w:val="24"/>
                    </w:rPr>
                    <w:t>4</w:t>
                  </w:r>
                </w:sdtContent>
              </w:sdt>
              <w:r>
                <w:rPr>
                  <w:szCs w:val="24"/>
                </w:rPr>
                <w:t>. N u s t a t a u, kad:</w:t>
              </w:r>
            </w:p>
            <w:sdt>
              <w:sdtPr>
                <w:alias w:val="4.1 pp."/>
                <w:tag w:val="part_cea5be62bc0245f1a21cef1196da4c44"/>
                <w:lock w:val="sdtLocked"/>
                <w:richText/>
              </w:sdtPr>
              <w:sdtContent>
                <w:p>
                  <w:pPr>
                    <w:ind w:firstLine="567"/>
                    <w:jc w:val="both"/>
                    <w:rPr>
                      <w:szCs w:val="24"/>
                    </w:rPr>
                  </w:pPr>
                  <w:sdt>
                    <w:sdtPr>
                      <w:alias w:val="Numeris"/>
                      <w:tag w:val="nr_cea5be62bc0245f1a21cef1196da4c44"/>
                      <w:lock w:val="sdtLocked"/>
                      <w:richText/>
                    </w:sdtPr>
                    <w:sdtContent>
                      <w:r>
                        <w:rPr>
                          <w:szCs w:val="24"/>
                        </w:rPr>
                        <w:t>4.1</w:t>
                      </w:r>
                    </w:sdtContent>
                  </w:sdt>
                  <w:r>
                    <w:rPr>
                      <w:szCs w:val="24"/>
                    </w:rPr>
                    <w:t xml:space="preserve">. teisės aktuose pateiktos nuorodos į </w:t>
                  </w:r>
                  <w:r>
                    <w:rPr>
                      <w:bCs/>
                      <w:szCs w:val="24"/>
                    </w:rPr>
                    <w:t>Tvarkymo reikalavim</w:t>
                  </w:r>
                  <w:r>
                    <w:rPr>
                      <w:szCs w:val="24"/>
                    </w:rPr>
                    <w:t>us reiškia nuorodas į Reikalavimus;</w:t>
                  </w:r>
                </w:p>
              </w:sdtContent>
            </w:sdt>
            <w:sdt>
              <w:sdtPr>
                <w:alias w:val="4.2 pp."/>
                <w:tag w:val="part_eaee171551c8447a912cb1b3d24d6c4f"/>
                <w:lock w:val="sdtLocked"/>
                <w:richText/>
              </w:sdtPr>
              <w:sdtContent>
                <w:p>
                  <w:pPr>
                    <w:ind w:firstLine="567"/>
                    <w:jc w:val="both"/>
                    <w:rPr>
                      <w:szCs w:val="24"/>
                    </w:rPr>
                  </w:pPr>
                  <w:sdt>
                    <w:sdtPr>
                      <w:alias w:val="Numeris"/>
                      <w:tag w:val="nr_eaee171551c8447a912cb1b3d24d6c4f"/>
                      <w:lock w:val="sdtLocked"/>
                      <w:richText/>
                    </w:sdtPr>
                    <w:sdtContent>
                      <w:r>
                        <w:rPr>
                          <w:szCs w:val="24"/>
                        </w:rPr>
                        <w:t>4.2</w:t>
                      </w:r>
                    </w:sdtContent>
                  </w:sdt>
                  <w:r>
                    <w:rPr>
                      <w:szCs w:val="24"/>
                    </w:rPr>
                    <w:t>. šis įsakymas, išskyrus šio įsakymo 2 ir 3 punktus, įsigalioja 2021 m. lapkričio 1 d.;</w:t>
                  </w:r>
                </w:p>
              </w:sdtContent>
            </w:sdt>
            <w:sdt>
              <w:sdtPr>
                <w:alias w:val="4.3 pp."/>
                <w:tag w:val="part_064675d424b74667893e6a5dc7efce4b"/>
                <w:lock w:val="sdtLocked"/>
                <w:richText/>
              </w:sdtPr>
              <w:sdtContent>
                <w:p>
                  <w:pPr>
                    <w:ind w:firstLine="567"/>
                    <w:jc w:val="both"/>
                    <w:rPr>
                      <w:szCs w:val="24"/>
                    </w:rPr>
                  </w:pPr>
                  <w:sdt>
                    <w:sdtPr>
                      <w:alias w:val="Numeris"/>
                      <w:tag w:val="nr_064675d424b74667893e6a5dc7efce4b"/>
                      <w:lock w:val="sdtLocked"/>
                      <w:richText/>
                    </w:sdtPr>
                    <w:sdtContent>
                      <w:r>
                        <w:rPr>
                          <w:szCs w:val="24"/>
                        </w:rPr>
                        <w:t>4.3</w:t>
                      </w:r>
                    </w:sdtContent>
                  </w:sdt>
                  <w:r>
                    <w:rPr>
                      <w:szCs w:val="24"/>
                    </w:rPr>
                    <w:t>. šio įsakymo 2 ir 3 punktai įsigalioja 2024 m. sausio 1 d.</w:t>
                  </w:r>
                </w:p>
                <w:p>
                  <w:pPr>
                    <w:tabs>
                      <w:tab w:val="left" w:pos="709"/>
                    </w:tabs>
                    <w:ind w:firstLine="709"/>
                    <w:jc w:val="both"/>
                    <w:rPr>
                      <w:szCs w:val="24"/>
                    </w:rPr>
                  </w:pPr>
                </w:p>
                <w:p>
                  <w:pPr>
                    <w:tabs>
                      <w:tab w:val="left" w:pos="709"/>
                    </w:tabs>
                    <w:ind w:firstLine="709"/>
                    <w:jc w:val="both"/>
                    <w:rPr>
                      <w:szCs w:val="24"/>
                    </w:rPr>
                  </w:pPr>
                </w:p>
              </w:sdtContent>
            </w:sdt>
          </w:sdtContent>
        </w:sdt>
        <w:sdt>
          <w:sdtPr>
            <w:alias w:val="signatura"/>
            <w:tag w:val="part_a36f8e9e7ab047a5a10e82873cfdf54d"/>
            <w:lock w:val="sdtLocked"/>
            <w:richText/>
          </w:sdtPr>
          <w:sdtContent>
            <w:p>
              <w:pPr>
                <w:jc w:val="both"/>
                <w:rPr>
                  <w:szCs w:val="24"/>
                </w:rPr>
              </w:pPr>
              <w:r>
                <w:rPr>
                  <w:szCs w:val="24"/>
                </w:rPr>
                <w:t xml:space="preserve">Aplinkos ministras </w:t>
              </w:r>
            </w:p>
            <w:p>
              <w:pPr>
                <w:ind w:firstLine="709"/>
                <w:jc w:val="both"/>
                <w:rPr>
                  <w:szCs w:val="24"/>
                </w:rPr>
                <w:sectPr>
                  <w:headerReference w:type="even" r:id="rId11"/>
                  <w:headerReference w:type="default" r:id="rId12"/>
                  <w:footerReference w:type="even" r:id="rId13"/>
                  <w:footerReference w:type="default" r:id="rId14"/>
                  <w:headerReference w:type="first" r:id="rId15"/>
                  <w:footerReference w:type="first" r:id="rId16"/>
                  <w:footnotePr>
                    <w:pos w:val="beneathText"/>
                  </w:footnotePr>
                  <w:pgSz w:w="11905" w:h="16837" w:code="9"/>
                  <w:pgMar w:top="1134" w:right="567" w:bottom="1134" w:left="1701" w:header="794" w:footer="919" w:gutter="0"/>
                  <w:cols w:space="1296"/>
                  <w:formProt w:val="0"/>
                  <w:titlePg/>
                  <w:docGrid w:linePitch="360"/>
                </w:sectPr>
              </w:pPr>
            </w:p>
            <w:p>
              <w:pPr>
                <w:tabs>
                  <w:tab w:val="center" w:pos="4986"/>
                  <w:tab w:val="right" w:pos="9972"/>
                </w:tabs>
              </w:pPr>
            </w:p>
          </w:sdtContent>
        </w:sdt>
      </w:sdtContent>
    </w:sdt>
    <w:sdt>
      <w:sdtPr>
        <w:alias w:val="patvirtinta"/>
        <w:tag w:val="part_7a5fc1554ca9440989c3949e12237ccc"/>
        <w:lock w:val="sdtLocked"/>
        <w:richText/>
      </w:sdtPr>
      <w:sdtContent>
        <w:p>
          <w:pPr>
            <w:tabs>
              <w:tab w:val="left" w:pos="42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ind w:left="5529"/>
            <w:rPr>
              <w:szCs w:val="24"/>
              <w:lang w:eastAsia="lt-LT"/>
            </w:rPr>
          </w:pPr>
          <w:r>
            <w:rPr>
              <w:szCs w:val="24"/>
              <w:lang w:eastAsia="lt-LT"/>
            </w:rPr>
            <w:t>PATVIRTINTA</w:t>
          </w:r>
        </w:p>
        <w:p>
          <w:pPr>
            <w:tabs>
              <w:tab w:val="left" w:pos="42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ind w:left="5529"/>
            <w:rPr>
              <w:szCs w:val="24"/>
              <w:lang w:eastAsia="lt-LT"/>
            </w:rPr>
          </w:pPr>
          <w:r>
            <w:rPr>
              <w:szCs w:val="24"/>
              <w:lang w:eastAsia="lt-LT"/>
            </w:rPr>
            <w:t xml:space="preserve">Lietuvos Respublikos aplinkos ministro 2016 m. lapkričio 25 d. įsakymu </w:t>
          </w:r>
        </w:p>
        <w:p>
          <w:pPr>
            <w:tabs>
              <w:tab w:val="left" w:pos="42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ind w:left="5529"/>
            <w:rPr>
              <w:szCs w:val="24"/>
              <w:lang w:eastAsia="lt-LT"/>
            </w:rPr>
          </w:pPr>
          <w:r>
            <w:rPr>
              <w:szCs w:val="24"/>
              <w:lang w:eastAsia="lt-LT"/>
            </w:rPr>
            <w:t>Nr. D1-805</w:t>
          </w:r>
        </w:p>
        <w:p>
          <w:pPr>
            <w:tabs>
              <w:tab w:val="left" w:pos="42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ind w:left="5529" w:firstLine="62"/>
            <w:rPr>
              <w:bCs/>
              <w:szCs w:val="24"/>
              <w:lang w:eastAsia="lt-LT"/>
            </w:rPr>
          </w:pPr>
          <w:r>
            <w:rPr>
              <w:bCs/>
              <w:szCs w:val="24"/>
              <w:lang w:eastAsia="lt-LT"/>
            </w:rPr>
            <w:t>(Lietuvos Respublikos aplinkos ministro</w:t>
          </w:r>
        </w:p>
        <w:p>
          <w:pPr>
            <w:tabs>
              <w:tab w:val="left" w:pos="42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ind w:left="5529"/>
            <w:rPr>
              <w:szCs w:val="24"/>
              <w:lang w:eastAsia="lt-LT"/>
            </w:rPr>
          </w:pPr>
          <w:r>
            <w:rPr>
              <w:szCs w:val="24"/>
              <w:lang w:eastAsia="lt-LT"/>
            </w:rPr>
            <w:t xml:space="preserve">2021              d. </w:t>
          </w:r>
          <w:r>
            <w:rPr>
              <w:bCs/>
              <w:szCs w:val="24"/>
              <w:lang w:eastAsia="lt-LT"/>
            </w:rPr>
            <w:t xml:space="preserve">įsakymo </w:t>
          </w:r>
          <w:r>
            <w:rPr>
              <w:szCs w:val="24"/>
              <w:lang w:eastAsia="lt-LT"/>
            </w:rPr>
            <w:t>Nr. D1-</w:t>
          </w:r>
          <w:r>
            <w:rPr>
              <w:bCs/>
              <w:szCs w:val="24"/>
              <w:lang w:eastAsia="lt-LT"/>
            </w:rPr>
            <w:t>redakcija).</w:t>
          </w:r>
        </w:p>
        <w:p>
          <w:pPr>
            <w:jc w:val="center"/>
            <w:rPr>
              <w:b/>
              <w:szCs w:val="24"/>
              <w:lang w:eastAsia="lt-LT"/>
            </w:rPr>
          </w:pPr>
        </w:p>
        <w:p>
          <w:pPr>
            <w:jc w:val="center"/>
            <w:rPr>
              <w:b/>
              <w:szCs w:val="24"/>
              <w:lang w:eastAsia="lt-LT"/>
            </w:rPr>
          </w:pPr>
          <w:sdt>
            <w:sdtPr>
              <w:alias w:val="Pavadinimas"/>
              <w:tag w:val="title_7a5fc1554ca9440989c3949e12237ccc"/>
              <w:lock w:val="sdtLocked"/>
              <w:richText/>
            </w:sdtPr>
            <w:sdtContent>
              <w:r>
                <w:rPr>
                  <w:b/>
                  <w:szCs w:val="24"/>
                  <w:lang w:eastAsia="lt-LT"/>
                </w:rPr>
                <w:t xml:space="preserve">ATLIEKŲ DEGINIMO ĮRENGINIUOSE IR BENDRO ATLIEKŲ DEGINIMO ĮRENGINIUOSE SUSIDARIUSIŲ NEPAVOJINGŲJŲ PELENŲ IR ŠLAKO ATLIEKŲ TVARKYMO IR PANAUDOJIMO REIKALAVIMAI </w:t>
              </w:r>
            </w:sdtContent>
          </w:sdt>
        </w:p>
        <w:p>
          <w:pPr>
            <w:jc w:val="center"/>
            <w:rPr>
              <w:b/>
              <w:bCs/>
              <w:color w:val="000000"/>
              <w:szCs w:val="24"/>
            </w:rPr>
          </w:pPr>
        </w:p>
        <w:sdt>
          <w:sdtPr>
            <w:alias w:val="skyrius"/>
            <w:tag w:val="part_600a0af0783f4af1b9ef9394a78892ce"/>
            <w:lock w:val="sdtLocked"/>
            <w:richText/>
          </w:sdtPr>
          <w:sdtContent>
            <w:p>
              <w:pPr>
                <w:jc w:val="center"/>
                <w:rPr>
                  <w:b/>
                  <w:bCs/>
                  <w:color w:val="000000"/>
                  <w:szCs w:val="24"/>
                </w:rPr>
              </w:pPr>
              <w:sdt>
                <w:sdtPr>
                  <w:alias w:val="Numeris"/>
                  <w:tag w:val="nr_600a0af0783f4af1b9ef9394a78892ce"/>
                  <w:lock w:val="sdtLocked"/>
                  <w:richText/>
                </w:sdtPr>
                <w:sdtContent>
                  <w:r>
                    <w:rPr>
                      <w:b/>
                      <w:bCs/>
                      <w:color w:val="000000"/>
                      <w:szCs w:val="24"/>
                    </w:rPr>
                    <w:t>I</w:t>
                  </w:r>
                </w:sdtContent>
              </w:sdt>
              <w:r>
                <w:rPr>
                  <w:b/>
                  <w:bCs/>
                  <w:color w:val="000000"/>
                  <w:szCs w:val="24"/>
                </w:rPr>
                <w:t xml:space="preserve"> SKYRIUS </w:t>
              </w:r>
            </w:p>
            <w:p>
              <w:pPr>
                <w:jc w:val="center"/>
                <w:rPr>
                  <w:b/>
                  <w:bCs/>
                  <w:color w:val="000000"/>
                  <w:szCs w:val="24"/>
                </w:rPr>
              </w:pPr>
              <w:sdt>
                <w:sdtPr>
                  <w:alias w:val="Pavadinimas"/>
                  <w:tag w:val="title_600a0af0783f4af1b9ef9394a78892ce"/>
                  <w:lock w:val="sdtLocked"/>
                  <w:richText/>
                </w:sdtPr>
                <w:sdtContent>
                  <w:r>
                    <w:rPr>
                      <w:b/>
                      <w:bCs/>
                      <w:color w:val="000000"/>
                      <w:szCs w:val="24"/>
                    </w:rPr>
                    <w:t>BENDROSIOS NUOSTATOS</w:t>
                  </w:r>
                </w:sdtContent>
              </w:sdt>
            </w:p>
            <w:p>
              <w:pPr>
                <w:ind w:firstLine="567"/>
                <w:rPr>
                  <w:b/>
                  <w:bCs/>
                  <w:color w:val="000000"/>
                  <w:szCs w:val="24"/>
                </w:rPr>
              </w:pPr>
            </w:p>
            <w:sdt>
              <w:sdtPr>
                <w:alias w:val="1 p."/>
                <w:tag w:val="part_24f2ae0188cf4cd4bc3303df90819fd9"/>
                <w:lock w:val="sdtLocked"/>
                <w:richText/>
              </w:sdtPr>
              <w:sdtContent>
                <w:p>
                  <w:pPr>
                    <w:widowControl w:val="0"/>
                    <w:tabs>
                      <w:tab w:val="left" w:pos="851"/>
                    </w:tabs>
                    <w:ind w:firstLine="567"/>
                    <w:jc w:val="both"/>
                    <w:rPr>
                      <w:color w:val="000000"/>
                      <w:szCs w:val="24"/>
                    </w:rPr>
                  </w:pPr>
                  <w:sdt>
                    <w:sdtPr>
                      <w:alias w:val="Numeris"/>
                      <w:tag w:val="nr_24f2ae0188cf4cd4bc3303df90819fd9"/>
                      <w:lock w:val="sdtLocked"/>
                      <w:richText/>
                    </w:sdtPr>
                    <w:sdtContent>
                      <w:r>
                        <w:rPr>
                          <w:color w:val="000000"/>
                          <w:szCs w:val="24"/>
                        </w:rPr>
                        <w:t>1</w:t>
                      </w:r>
                    </w:sdtContent>
                  </w:sdt>
                  <w:r>
                    <w:rPr>
                      <w:color w:val="000000"/>
                      <w:szCs w:val="24"/>
                    </w:rPr>
                    <w:t>.</w:t>
                    <w:tab/>
                    <w:t>Atliekų deginimo įrenginiuose ir bendro atliekų deginimo įrenginiuose susidariusių nepavojingųjų pelenų ir šlako atliekų tvarkymo ir panaudojimo reikalavimai (toliau – Reikalavimai) nustato atliekų deginimo ir bendro atliekų deginimo įrenginiuose susidariusių nepavojingųjų pelenų ir šlako atliekų tvarkymo ir panaudojimo aplinkos apsaugos reikalavimus, atliekų deginimo ir bendro atliekų deginimo įrenginiuose susidariusių nepavojingųjų pelenų ir šlako atliekų nelaikymo atliekomis kriterijus.</w:t>
                  </w:r>
                </w:p>
              </w:sdtContent>
            </w:sdt>
            <w:sdt>
              <w:sdtPr>
                <w:alias w:val="2 p."/>
                <w:tag w:val="part_5ac135ed6cc44c658a471ce5fe77106f"/>
                <w:lock w:val="sdtLocked"/>
                <w:richText/>
              </w:sdtPr>
              <w:sdtContent>
                <w:p>
                  <w:pPr>
                    <w:widowControl w:val="0"/>
                    <w:tabs>
                      <w:tab w:val="left" w:pos="851"/>
                    </w:tabs>
                    <w:ind w:firstLine="567"/>
                    <w:jc w:val="both"/>
                    <w:rPr>
                      <w:color w:val="000000"/>
                      <w:szCs w:val="24"/>
                    </w:rPr>
                  </w:pPr>
                  <w:sdt>
                    <w:sdtPr>
                      <w:alias w:val="Numeris"/>
                      <w:tag w:val="nr_5ac135ed6cc44c658a471ce5fe77106f"/>
                      <w:lock w:val="sdtLocked"/>
                      <w:richText/>
                    </w:sdtPr>
                    <w:sdtContent>
                      <w:r>
                        <w:rPr>
                          <w:color w:val="000000"/>
                          <w:szCs w:val="24"/>
                        </w:rPr>
                        <w:t>2</w:t>
                      </w:r>
                    </w:sdtContent>
                  </w:sdt>
                  <w:r>
                    <w:rPr>
                      <w:color w:val="000000"/>
                      <w:szCs w:val="24"/>
                    </w:rPr>
                    <w:t>.</w:t>
                    <w:tab/>
                    <w:t>Atliekų deginimo įrenginiuose ir bendro atliekų deginimo įrenginiuose susidariusioms nepavojingųjų pelenų ir šlako atliekoms taikomi Atliekų tvarkymo taisyklių, patvirtintų Lietuvos Respublikos aplinkos apsaugos ministro 1999 m. liepos 14 d. įsakymu Nr. 217 „Dėl Atliekų tvarkymo taisyklių patvirtinimo“ (toliau – Atliekų tvarkymo taisyklės), 1 priede įtvirtinti atliekų sąrašo kodai 19 01 12</w:t>
                  </w:r>
                  <w:r>
                    <w:rPr>
                      <w:sz w:val="22"/>
                      <w:szCs w:val="22"/>
                      <w:lang w:eastAsia="lt-LT"/>
                    </w:rPr>
                    <w:t xml:space="preserve"> (</w:t>
                  </w:r>
                  <w:r>
                    <w:rPr>
                      <w:color w:val="000000"/>
                      <w:szCs w:val="24"/>
                    </w:rPr>
                    <w:t>dugno pelenai ir šlakas, nenurodyti 19 01 11) ir 19 01 16 (garo katilų dulkės, nenurodytos 19 01 15).</w:t>
                  </w:r>
                </w:p>
              </w:sdtContent>
            </w:sdt>
            <w:sdt>
              <w:sdtPr>
                <w:alias w:val="3 p."/>
                <w:tag w:val="part_d08d5b66c5ad430492767c3e2c8b1c24"/>
                <w:lock w:val="sdtLocked"/>
                <w:richText/>
              </w:sdtPr>
              <w:sdtContent>
                <w:p>
                  <w:pPr>
                    <w:widowControl w:val="0"/>
                    <w:tabs>
                      <w:tab w:val="left" w:pos="851"/>
                    </w:tabs>
                    <w:ind w:firstLine="567"/>
                    <w:jc w:val="both"/>
                    <w:rPr>
                      <w:color w:val="000000"/>
                      <w:szCs w:val="24"/>
                    </w:rPr>
                  </w:pPr>
                  <w:sdt>
                    <w:sdtPr>
                      <w:alias w:val="Numeris"/>
                      <w:tag w:val="nr_d08d5b66c5ad430492767c3e2c8b1c24"/>
                      <w:lock w:val="sdtLocked"/>
                      <w:richText/>
                    </w:sdtPr>
                    <w:sdtContent>
                      <w:r>
                        <w:rPr>
                          <w:color w:val="000000"/>
                          <w:szCs w:val="24"/>
                        </w:rPr>
                        <w:t>3</w:t>
                      </w:r>
                    </w:sdtContent>
                  </w:sdt>
                  <w:r>
                    <w:rPr>
                      <w:color w:val="000000"/>
                      <w:szCs w:val="24"/>
                    </w:rPr>
                    <w:t>.</w:t>
                    <w:tab/>
                    <w:t>Reikalavimuose vartojamos sąvokos:</w:t>
                  </w:r>
                </w:p>
                <w:sdt>
                  <w:sdtPr>
                    <w:alias w:val="3.1 pp."/>
                    <w:tag w:val="part_0f7c66734dbd4806af7ec03d8d919803"/>
                    <w:lock w:val="sdtLocked"/>
                    <w:richText/>
                  </w:sdtPr>
                  <w:sdtContent>
                    <w:p>
                      <w:pPr>
                        <w:widowControl w:val="0"/>
                        <w:ind w:firstLine="567"/>
                        <w:jc w:val="both"/>
                        <w:rPr>
                          <w:color w:val="000000"/>
                          <w:szCs w:val="24"/>
                        </w:rPr>
                      </w:pPr>
                      <w:sdt>
                        <w:sdtPr>
                          <w:alias w:val="Numeris"/>
                          <w:tag w:val="nr_0f7c66734dbd4806af7ec03d8d919803"/>
                          <w:lock w:val="sdtLocked"/>
                          <w:richText/>
                        </w:sdtPr>
                        <w:sdtContent>
                          <w:r>
                            <w:rPr>
                              <w:color w:val="000000"/>
                              <w:szCs w:val="24"/>
                            </w:rPr>
                            <w:t>3.1</w:t>
                          </w:r>
                        </w:sdtContent>
                      </w:sdt>
                      <w:r>
                        <w:rPr>
                          <w:color w:val="000000"/>
                          <w:szCs w:val="24"/>
                        </w:rPr>
                        <w:t xml:space="preserve">. </w:t>
                      </w:r>
                      <w:r>
                        <w:rPr>
                          <w:b/>
                          <w:color w:val="000000"/>
                          <w:szCs w:val="24"/>
                        </w:rPr>
                        <w:t>atliekų deginimo įrenginiuose ir bendro atliekų deginimo įrenginiuose susidariusios nepavojingosios pelenų atliekos (toliau – pelenų atliekos</w:t>
                      </w:r>
                      <w:r>
                        <w:rPr>
                          <w:color w:val="000000"/>
                          <w:szCs w:val="24"/>
                        </w:rPr>
                        <w:t xml:space="preserve">) –  atliekų deginimo įrenginiuose ir bendro atliekų deginimo įrenginiuose susidarę dugno pelenai – degimo kameroje degimo proceso pabaigoje iškrentančios deginimo proceso nepavojingosios atliekos ir garo katilų dulkės – deginimo proceso nepavojingosios atliekos, iškrentančios iš katilo šilumokaičių sistemos;</w:t>
                      </w:r>
                    </w:p>
                  </w:sdtContent>
                </w:sdt>
                <w:sdt>
                  <w:sdtPr>
                    <w:alias w:val="3.2 pp."/>
                    <w:tag w:val="part_cdf7702de9354c44a8c3051a4a2beefb"/>
                    <w:lock w:val="sdtLocked"/>
                    <w:richText/>
                  </w:sdtPr>
                  <w:sdtContent>
                    <w:p>
                      <w:pPr>
                        <w:widowControl w:val="0"/>
                        <w:ind w:firstLine="567"/>
                        <w:jc w:val="both"/>
                        <w:rPr>
                          <w:color w:val="000000"/>
                          <w:szCs w:val="24"/>
                        </w:rPr>
                      </w:pPr>
                      <w:sdt>
                        <w:sdtPr>
                          <w:alias w:val="Numeris"/>
                          <w:tag w:val="nr_cdf7702de9354c44a8c3051a4a2beefb"/>
                          <w:lock w:val="sdtLocked"/>
                          <w:richText/>
                        </w:sdtPr>
                        <w:sdtContent>
                          <w:r>
                            <w:rPr>
                              <w:color w:val="000000"/>
                              <w:szCs w:val="24"/>
                            </w:rPr>
                            <w:t>3.2</w:t>
                          </w:r>
                        </w:sdtContent>
                      </w:sdt>
                      <w:r>
                        <w:rPr>
                          <w:color w:val="000000"/>
                          <w:szCs w:val="24"/>
                        </w:rPr>
                        <w:t xml:space="preserve">. </w:t>
                      </w:r>
                      <w:r>
                        <w:rPr>
                          <w:b/>
                          <w:color w:val="000000"/>
                          <w:szCs w:val="24"/>
                        </w:rPr>
                        <w:t>atliekų deginimo įrenginiuose ir bendro atliekų deginimo įrenginiuose susidariusios nepavojingosios šlako atliekos</w:t>
                      </w:r>
                      <w:r>
                        <w:rPr>
                          <w:color w:val="000000"/>
                          <w:szCs w:val="24"/>
                        </w:rPr>
                        <w:t xml:space="preserve"> </w:t>
                      </w:r>
                      <w:r>
                        <w:rPr>
                          <w:b/>
                          <w:color w:val="000000"/>
                          <w:szCs w:val="24"/>
                        </w:rPr>
                        <w:t xml:space="preserve">(toliau – šlako atliekos) </w:t>
                      </w:r>
                      <w:r>
                        <w:rPr>
                          <w:color w:val="000000"/>
                          <w:szCs w:val="24"/>
                        </w:rPr>
                        <w:t>– deginimo proceso nedegančios nepavojingosios atliekos, susikaupusios degimo kameros dugne;</w:t>
                      </w:r>
                    </w:p>
                  </w:sdtContent>
                </w:sdt>
                <w:sdt>
                  <w:sdtPr>
                    <w:alias w:val="3.3 pp."/>
                    <w:tag w:val="part_694594749916423880037115d3e9a03d"/>
                    <w:lock w:val="sdtLocked"/>
                    <w:richText/>
                  </w:sdtPr>
                  <w:sdtContent>
                    <w:p>
                      <w:pPr>
                        <w:widowControl w:val="0"/>
                        <w:ind w:firstLine="567"/>
                        <w:jc w:val="both"/>
                        <w:rPr>
                          <w:color w:val="000000"/>
                          <w:szCs w:val="24"/>
                        </w:rPr>
                      </w:pPr>
                      <w:sdt>
                        <w:sdtPr>
                          <w:alias w:val="Numeris"/>
                          <w:tag w:val="nr_694594749916423880037115d3e9a03d"/>
                          <w:lock w:val="sdtLocked"/>
                          <w:richText/>
                        </w:sdtPr>
                        <w:sdtContent>
                          <w:r>
                            <w:rPr>
                              <w:color w:val="000000"/>
                              <w:szCs w:val="24"/>
                            </w:rPr>
                            <w:t>3.3</w:t>
                          </w:r>
                        </w:sdtContent>
                      </w:sdt>
                      <w:r>
                        <w:rPr>
                          <w:color w:val="000000"/>
                          <w:szCs w:val="24"/>
                        </w:rPr>
                        <w:t xml:space="preserve">. </w:t>
                      </w:r>
                      <w:r>
                        <w:rPr>
                          <w:b/>
                          <w:color w:val="000000"/>
                          <w:szCs w:val="24"/>
                        </w:rPr>
                        <w:t xml:space="preserve">pelenai ir šlakas (toliau – cheminė medžiaga) – </w:t>
                      </w:r>
                      <w:r>
                        <w:rPr>
                          <w:color w:val="000000"/>
                          <w:szCs w:val="24"/>
                        </w:rPr>
                        <w:t>cheminė medžiaga, atitinkanti Reikalavimuose nustatytus nepavojingųjų pelenų ir šlako atliekų nebelaikymo atliekomis kriterijus;</w:t>
                      </w:r>
                    </w:p>
                  </w:sdtContent>
                </w:sdt>
                <w:sdt>
                  <w:sdtPr>
                    <w:alias w:val="3.4 pp."/>
                    <w:tag w:val="part_e574b1926d64474bb34a3dbb0e2b82f0"/>
                    <w:lock w:val="sdtLocked"/>
                    <w:richText/>
                  </w:sdtPr>
                  <w:sdtContent>
                    <w:p>
                      <w:pPr>
                        <w:widowControl w:val="0"/>
                        <w:ind w:firstLine="567"/>
                        <w:jc w:val="both"/>
                        <w:rPr>
                          <w:color w:val="000000"/>
                          <w:szCs w:val="24"/>
                        </w:rPr>
                      </w:pPr>
                      <w:sdt>
                        <w:sdtPr>
                          <w:alias w:val="Numeris"/>
                          <w:tag w:val="nr_e574b1926d64474bb34a3dbb0e2b82f0"/>
                          <w:lock w:val="sdtLocked"/>
                          <w:richText/>
                        </w:sdtPr>
                        <w:sdtContent>
                          <w:r>
                            <w:rPr>
                              <w:color w:val="000000"/>
                              <w:szCs w:val="24"/>
                            </w:rPr>
                            <w:t>3.4</w:t>
                          </w:r>
                        </w:sdtContent>
                      </w:sdt>
                      <w:r>
                        <w:rPr>
                          <w:color w:val="000000"/>
                          <w:szCs w:val="24"/>
                        </w:rPr>
                        <w:t xml:space="preserve">. </w:t>
                      </w:r>
                      <w:r>
                        <w:rPr>
                          <w:b/>
                          <w:color w:val="000000"/>
                          <w:szCs w:val="24"/>
                        </w:rPr>
                        <w:t xml:space="preserve"> pelenų ir šlako siunta (toliau – siunta) – </w:t>
                      </w:r>
                      <w:r>
                        <w:rPr>
                          <w:color w:val="000000"/>
                          <w:szCs w:val="24"/>
                        </w:rPr>
                        <w:t>atliekų tvarkytojo, vykdžiusio pelenų ir šlako apdorojimą, paruošta tiekti ar pateikta vienu metu rinkai apdorotų pelenų ir šlako atliekų arba cheminės medžiagos partija;</w:t>
                      </w:r>
                    </w:p>
                  </w:sdtContent>
                </w:sdt>
                <w:sdt>
                  <w:sdtPr>
                    <w:alias w:val="3.5 pp."/>
                    <w:tag w:val="part_b24e8e3602734e8b99695b82e2f9fac3"/>
                    <w:lock w:val="sdtLocked"/>
                    <w:richText/>
                  </w:sdtPr>
                  <w:sdtContent>
                    <w:p>
                      <w:pPr>
                        <w:widowControl w:val="0"/>
                        <w:ind w:firstLine="567"/>
                        <w:jc w:val="both"/>
                        <w:rPr>
                          <w:color w:val="000000"/>
                          <w:szCs w:val="24"/>
                        </w:rPr>
                      </w:pPr>
                      <w:sdt>
                        <w:sdtPr>
                          <w:alias w:val="Numeris"/>
                          <w:tag w:val="nr_b24e8e3602734e8b99695b82e2f9fac3"/>
                          <w:lock w:val="sdtLocked"/>
                          <w:richText/>
                        </w:sdtPr>
                        <w:sdtContent>
                          <w:r>
                            <w:rPr>
                              <w:color w:val="000000"/>
                              <w:szCs w:val="24"/>
                            </w:rPr>
                            <w:t>3.5</w:t>
                          </w:r>
                        </w:sdtContent>
                      </w:sdt>
                      <w:r>
                        <w:rPr>
                          <w:color w:val="000000"/>
                          <w:szCs w:val="24"/>
                        </w:rPr>
                        <w:t xml:space="preserve">. </w:t>
                      </w:r>
                      <w:r>
                        <w:rPr>
                          <w:b/>
                          <w:color w:val="000000"/>
                          <w:szCs w:val="24"/>
                        </w:rPr>
                        <w:t xml:space="preserve">pelenų  ir šlako atliekų sendinimas</w:t>
                      </w:r>
                      <w:r>
                        <w:rPr>
                          <w:color w:val="000000"/>
                          <w:szCs w:val="24"/>
                        </w:rPr>
                        <w:t xml:space="preserve"> – pelenų ir šlako atliekų apdorojimo veikla, siekiant stabilizuoti pelenų ir šlako atliekas, ir  kurios trukmė – ne mažiau kaip 3 </w:t>
                      </w:r>
                      <w:r>
                        <w:rPr>
                          <w:szCs w:val="24"/>
                        </w:rPr>
                        <w:t xml:space="preserve">(trys) </w:t>
                      </w:r>
                      <w:r>
                        <w:rPr>
                          <w:color w:val="000000"/>
                          <w:szCs w:val="24"/>
                        </w:rPr>
                        <w:t xml:space="preserve">mėnesiai. </w:t>
                      </w:r>
                    </w:p>
                  </w:sdtContent>
                </w:sdt>
                <w:sdt>
                  <w:sdtPr>
                    <w:alias w:val="3.6 pp."/>
                    <w:tag w:val="part_d89ac78ff8fd47f08de4c16760df24c8"/>
                    <w:lock w:val="sdtLocked"/>
                    <w:richText/>
                  </w:sdtPr>
                  <w:sdtContent>
                    <w:p>
                      <w:pPr>
                        <w:widowControl w:val="0"/>
                        <w:tabs>
                          <w:tab w:val="left" w:pos="851"/>
                        </w:tabs>
                        <w:ind w:firstLine="567"/>
                        <w:jc w:val="both"/>
                        <w:rPr>
                          <w:color w:val="000000"/>
                          <w:szCs w:val="24"/>
                        </w:rPr>
                      </w:pPr>
                      <w:sdt>
                        <w:sdtPr>
                          <w:alias w:val="Numeris"/>
                          <w:tag w:val="nr_d89ac78ff8fd47f08de4c16760df24c8"/>
                          <w:lock w:val="sdtLocked"/>
                          <w:richText/>
                        </w:sdtPr>
                        <w:sdtContent>
                          <w:r>
                            <w:rPr>
                              <w:color w:val="000000"/>
                              <w:szCs w:val="24"/>
                            </w:rPr>
                            <w:t>3.6</w:t>
                          </w:r>
                        </w:sdtContent>
                      </w:sdt>
                      <w:r>
                        <w:rPr>
                          <w:color w:val="000000"/>
                          <w:szCs w:val="24"/>
                        </w:rPr>
                        <w:t>. kitos Reikalavimuose vartojamos sąvokos atitinka Lietuvos Respublikos aplinkos apsaugos įstatyme, Lietuvos Respublikos atliekų tvarkymo įstatyme, Lietuvos Respublikos statybos įstatyme,</w:t>
                      </w:r>
                      <w:r>
                        <w:rPr>
                          <w:bCs/>
                          <w:color w:val="000000"/>
                          <w:szCs w:val="24"/>
                          <w:lang w:eastAsia="lt-LT"/>
                        </w:rPr>
                        <w:t xml:space="preserve"> </w:t>
                      </w:r>
                      <w:r>
                        <w:rPr>
                          <w:bCs/>
                          <w:color w:val="000000"/>
                          <w:szCs w:val="24"/>
                        </w:rPr>
                        <w:t>Lietuvos Respublikos cheminių medžiagų ir cheminių mišinių įstatyme,</w:t>
                      </w:r>
                      <w:r>
                        <w:rPr>
                          <w:color w:val="000000"/>
                          <w:szCs w:val="24"/>
                        </w:rPr>
                        <w:t xml:space="preserve"> Atliekų deginimo aplinkosauginiuose reikalavimuose, patvirtintuose Lietuvos Respublikos aplinkos ministro 2002 m. gruodžio 31 d. įsakymu Nr. 699 „Dėl Atliekų deginimo aplinkosauginių reikalavimų patvirtinimo“ (toliau – </w:t>
                      </w:r>
                      <w:r>
                        <w:rPr>
                          <w:bCs/>
                          <w:color w:val="000000"/>
                          <w:szCs w:val="24"/>
                        </w:rPr>
                        <w:t>Atliekų deginimo aplinkosauginių reikalavimai), Minimaliuose reikalavimuose dulkėtumui mažinti laikant, kraunant, vežant palaidas kietąsias medžiagas, patvirtintuose Lietuvos Respublikos aplinkos ministro 2020 m. lapkričio 11 d. įsakymu Nr. D1-682</w:t>
                      </w:r>
                      <w:r>
                        <w:rPr>
                          <w:b/>
                          <w:bCs/>
                          <w:color w:val="000000"/>
                          <w:szCs w:val="24"/>
                        </w:rPr>
                        <w:t xml:space="preserve"> </w:t>
                      </w:r>
                      <w:r>
                        <w:rPr>
                          <w:bCs/>
                          <w:color w:val="000000"/>
                          <w:szCs w:val="24"/>
                        </w:rPr>
                        <w:t>„Dėl Minimalių reikalavimų dulkėtumui mažinti laikant, kraunant, vežant palaidas kietąsias medžiagas patvirtinimo“ (toliau – Minimalūs reikalavimai dulkėtumui mažinti)</w:t>
                      </w:r>
                      <w:r>
                        <w:rPr>
                          <w:color w:val="000000"/>
                          <w:szCs w:val="24"/>
                        </w:rPr>
                        <w:t xml:space="preserve"> ir kituose teisės aktuose, reglamentuojančiuose aplinkos apsaugą, atliekų tvarkymą, statinių statybą ir statybos produktų gamybą nustatytas sąvokas.</w:t>
                      </w:r>
                    </w:p>
                  </w:sdtContent>
                </w:sdt>
              </w:sdtContent>
            </w:sdt>
            <w:sdt>
              <w:sdtPr>
                <w:alias w:val="4 p."/>
                <w:tag w:val="part_a429667ea9ef4a8c84bea3d01049997e"/>
                <w:lock w:val="sdtLocked"/>
                <w:richText/>
              </w:sdtPr>
              <w:sdtContent>
                <w:p>
                  <w:pPr>
                    <w:tabs>
                      <w:tab w:val="left" w:pos="851"/>
                    </w:tabs>
                    <w:ind w:firstLine="567"/>
                    <w:jc w:val="both"/>
                    <w:rPr>
                      <w:color w:val="000000"/>
                      <w:szCs w:val="24"/>
                    </w:rPr>
                  </w:pPr>
                  <w:sdt>
                    <w:sdtPr>
                      <w:alias w:val="Numeris"/>
                      <w:tag w:val="nr_a429667ea9ef4a8c84bea3d01049997e"/>
                      <w:lock w:val="sdtLocked"/>
                      <w:richText/>
                    </w:sdtPr>
                    <w:sdtContent>
                      <w:r>
                        <w:rPr>
                          <w:color w:val="000000"/>
                          <w:szCs w:val="24"/>
                        </w:rPr>
                        <w:t>4</w:t>
                      </w:r>
                    </w:sdtContent>
                  </w:sdt>
                  <w:r>
                    <w:rPr>
                      <w:color w:val="000000"/>
                      <w:szCs w:val="24"/>
                    </w:rPr>
                    <w:t>.</w:t>
                    <w:tab/>
                    <w:t>Reikalavimai nereglamentuoja pelenų ir šlako atliekų, susidariusių kitos rūšies nei atliekų deginimo įrenginiuose ir bendro atliekų deginimo įrenginiuose, tvarkymo ir panaudojimo. Reikalavimai netaikomi pelenų ir šlako atliekoms, susidariusioms pavojingųjų atliekų deginimo įrenginiuose, pavojingųjų pelenų ir šlako atliekų, lakiųjų pelenų atliekų, susidariusių atliekų deginimo įrenginiuose ar bendro atliekų deginimo įrenginiuose, tvarkymui ir panaudojimui.</w:t>
                  </w:r>
                </w:p>
                <w:p>
                  <w:pPr>
                    <w:tabs>
                      <w:tab w:val="left" w:pos="2449"/>
                    </w:tabs>
                    <w:ind w:firstLine="2445"/>
                    <w:rPr>
                      <w:b/>
                      <w:bCs/>
                      <w:color w:val="000000"/>
                      <w:szCs w:val="24"/>
                    </w:rPr>
                  </w:pPr>
                </w:p>
              </w:sdtContent>
            </w:sdt>
          </w:sdtContent>
        </w:sdt>
        <w:sdt>
          <w:sdtPr>
            <w:alias w:val="skyrius"/>
            <w:tag w:val="part_e1ce0475cb934b65bf6ca012e5825213"/>
            <w:lock w:val="sdtLocked"/>
            <w:richText/>
          </w:sdtPr>
          <w:sdtContent>
            <w:p>
              <w:pPr>
                <w:jc w:val="center"/>
                <w:rPr>
                  <w:b/>
                  <w:bCs/>
                  <w:color w:val="000000"/>
                  <w:szCs w:val="24"/>
                </w:rPr>
              </w:pPr>
              <w:sdt>
                <w:sdtPr>
                  <w:alias w:val="Numeris"/>
                  <w:tag w:val="nr_e1ce0475cb934b65bf6ca012e5825213"/>
                  <w:lock w:val="sdtLocked"/>
                  <w:richText/>
                </w:sdtPr>
                <w:sdtContent>
                  <w:r>
                    <w:rPr>
                      <w:b/>
                      <w:bCs/>
                      <w:color w:val="000000"/>
                      <w:szCs w:val="24"/>
                    </w:rPr>
                    <w:t>II</w:t>
                  </w:r>
                </w:sdtContent>
              </w:sdt>
              <w:r>
                <w:rPr>
                  <w:b/>
                  <w:bCs/>
                  <w:color w:val="000000"/>
                  <w:szCs w:val="24"/>
                </w:rPr>
                <w:t xml:space="preserve"> SKYRIUS</w:t>
              </w:r>
            </w:p>
            <w:p>
              <w:pPr>
                <w:ind w:firstLine="62"/>
                <w:jc w:val="center"/>
                <w:rPr>
                  <w:b/>
                  <w:bCs/>
                  <w:color w:val="000000"/>
                  <w:szCs w:val="24"/>
                </w:rPr>
              </w:pPr>
              <w:sdt>
                <w:sdtPr>
                  <w:alias w:val="Pavadinimas"/>
                  <w:tag w:val="title_e1ce0475cb934b65bf6ca012e5825213"/>
                  <w:lock w:val="sdtLocked"/>
                  <w:richText/>
                </w:sdtPr>
                <w:sdtContent>
                  <w:r>
                    <w:rPr>
                      <w:b/>
                      <w:bCs/>
                      <w:color w:val="000000"/>
                      <w:szCs w:val="24"/>
                    </w:rPr>
                    <w:t>REIKALAVIMAI PELENŲ IR ŠLAKO ATLIEKŲ APDOROJIMUI</w:t>
                  </w:r>
                </w:sdtContent>
              </w:sdt>
            </w:p>
            <w:p>
              <w:pPr>
                <w:ind w:firstLine="62"/>
                <w:jc w:val="center"/>
                <w:rPr>
                  <w:b/>
                  <w:bCs/>
                  <w:color w:val="000000"/>
                  <w:szCs w:val="24"/>
                </w:rPr>
              </w:pPr>
            </w:p>
            <w:sdt>
              <w:sdtPr>
                <w:alias w:val="5 p."/>
                <w:tag w:val="part_47d009fc7ea04e249bc5186d613afb8b"/>
                <w:lock w:val="sdtLocked"/>
                <w:richText/>
              </w:sdtPr>
              <w:sdtContent>
                <w:p>
                  <w:pPr>
                    <w:tabs>
                      <w:tab w:val="left" w:pos="851"/>
                      <w:tab w:val="left" w:pos="993"/>
                    </w:tabs>
                    <w:ind w:firstLine="567"/>
                    <w:jc w:val="both"/>
                    <w:rPr>
                      <w:bCs/>
                      <w:color w:val="000000"/>
                      <w:szCs w:val="24"/>
                    </w:rPr>
                  </w:pPr>
                  <w:sdt>
                    <w:sdtPr>
                      <w:alias w:val="Numeris"/>
                      <w:tag w:val="nr_47d009fc7ea04e249bc5186d613afb8b"/>
                      <w:lock w:val="sdtLocked"/>
                      <w:richText/>
                    </w:sdtPr>
                    <w:sdtContent>
                      <w:r>
                        <w:rPr>
                          <w:bCs/>
                          <w:color w:val="000000"/>
                          <w:szCs w:val="24"/>
                        </w:rPr>
                        <w:t>5</w:t>
                      </w:r>
                    </w:sdtContent>
                  </w:sdt>
                  <w:r>
                    <w:rPr>
                      <w:bCs/>
                      <w:color w:val="000000"/>
                      <w:szCs w:val="24"/>
                    </w:rPr>
                    <w:t>.</w:t>
                    <w:tab/>
                    <w:t xml:space="preserve">Pelenų ir šlako atliekos apdorojamos, išskyrus šalinimą sąvartyne, tam skirtuose įrenginiuose, kuriuose turi būti įrengtos neapdorotų pelenų ir šlako atliekų zonos, apdorotų pelenų ir šlako atliekų tvarkymo zonos pagal frakcijas ir pagal pelenų  ir šlako atliekų sendinimo trukmę. </w:t>
                  </w:r>
                </w:p>
              </w:sdtContent>
            </w:sdt>
            <w:sdt>
              <w:sdtPr>
                <w:alias w:val="6 p."/>
                <w:tag w:val="part_553aef95601849cc9f39f71d2ae376bc"/>
                <w:lock w:val="sdtLocked"/>
                <w:richText/>
              </w:sdtPr>
              <w:sdtContent>
                <w:p>
                  <w:pPr>
                    <w:tabs>
                      <w:tab w:val="left" w:pos="851"/>
                      <w:tab w:val="left" w:pos="993"/>
                    </w:tabs>
                    <w:ind w:firstLine="567"/>
                    <w:jc w:val="both"/>
                    <w:rPr>
                      <w:bCs/>
                      <w:color w:val="000000"/>
                      <w:szCs w:val="24"/>
                    </w:rPr>
                  </w:pPr>
                  <w:sdt>
                    <w:sdtPr>
                      <w:alias w:val="Numeris"/>
                      <w:tag w:val="nr_553aef95601849cc9f39f71d2ae376bc"/>
                      <w:lock w:val="sdtLocked"/>
                      <w:richText/>
                    </w:sdtPr>
                    <w:sdtContent>
                      <w:r>
                        <w:rPr>
                          <w:bCs/>
                          <w:color w:val="000000"/>
                          <w:szCs w:val="24"/>
                        </w:rPr>
                        <w:t>6</w:t>
                      </w:r>
                    </w:sdtContent>
                  </w:sdt>
                  <w:r>
                    <w:rPr>
                      <w:bCs/>
                      <w:color w:val="000000"/>
                      <w:szCs w:val="24"/>
                    </w:rPr>
                    <w:t>.</w:t>
                    <w:tab/>
                    <w:t xml:space="preserve">Pelenų ir šlako atliekų apdorojimas, įskaitant jų laikymą, vykdomas uždaruose įrenginiuose su įrengta dulkių filtravimo ir dujų pašalinimo sistema, kitu uždaru būdu arba atviruose įrenginiuose (atvirose aikštelėse), taikant Minimaliuose reikalavimuose dulkėtumui mažinti ir kituose teisės aktuose, reglamentuojančiuose įrenginių veiklą ir atliekų apdorojimą, nustatytus reikalavimus. </w:t>
                  </w:r>
                </w:p>
              </w:sdtContent>
            </w:sdt>
            <w:sdt>
              <w:sdtPr>
                <w:alias w:val="7 p."/>
                <w:tag w:val="part_128ac20993a649ad8b6918aa11d8e491"/>
                <w:lock w:val="sdtLocked"/>
                <w:richText/>
              </w:sdtPr>
              <w:sdtContent>
                <w:p>
                  <w:pPr>
                    <w:tabs>
                      <w:tab w:val="left" w:pos="851"/>
                      <w:tab w:val="left" w:pos="993"/>
                    </w:tabs>
                    <w:ind w:firstLine="567"/>
                    <w:jc w:val="both"/>
                    <w:rPr>
                      <w:bCs/>
                      <w:color w:val="000000"/>
                      <w:szCs w:val="24"/>
                    </w:rPr>
                  </w:pPr>
                  <w:sdt>
                    <w:sdtPr>
                      <w:alias w:val="Numeris"/>
                      <w:tag w:val="nr_128ac20993a649ad8b6918aa11d8e491"/>
                      <w:lock w:val="sdtLocked"/>
                      <w:richText/>
                    </w:sdtPr>
                    <w:sdtContent>
                      <w:r>
                        <w:rPr>
                          <w:bCs/>
                          <w:color w:val="000000"/>
                          <w:szCs w:val="24"/>
                        </w:rPr>
                        <w:t>7</w:t>
                      </w:r>
                    </w:sdtContent>
                  </w:sdt>
                  <w:r>
                    <w:rPr>
                      <w:bCs/>
                      <w:color w:val="000000"/>
                      <w:szCs w:val="24"/>
                    </w:rPr>
                    <w:t>.</w:t>
                    <w:tab/>
                    <w:t>Pelenų ir šlako atliekų apdorojimo įrenginius įrengti draudžiama jei tokia veikla konkrečioje vietoje negalima dėl netinkamos žemės paskirties ar ją riboja Lietuvos Respublikos specialiųjų žemės naudojimo sąlygų įstatymas.</w:t>
                  </w:r>
                </w:p>
              </w:sdtContent>
            </w:sdt>
            <w:sdt>
              <w:sdtPr>
                <w:alias w:val="8 p."/>
                <w:tag w:val="part_70a2176fd23940cda44b21dc27056256"/>
                <w:lock w:val="sdtLocked"/>
                <w:richText/>
              </w:sdtPr>
              <w:sdtContent>
                <w:p>
                  <w:pPr>
                    <w:tabs>
                      <w:tab w:val="left" w:pos="851"/>
                      <w:tab w:val="left" w:pos="993"/>
                    </w:tabs>
                    <w:ind w:firstLine="567"/>
                    <w:jc w:val="both"/>
                    <w:rPr>
                      <w:bCs/>
                      <w:color w:val="000000"/>
                      <w:szCs w:val="24"/>
                    </w:rPr>
                  </w:pPr>
                  <w:sdt>
                    <w:sdtPr>
                      <w:alias w:val="Numeris"/>
                      <w:tag w:val="nr_70a2176fd23940cda44b21dc27056256"/>
                      <w:lock w:val="sdtLocked"/>
                      <w:richText/>
                    </w:sdtPr>
                    <w:sdtContent>
                      <w:r>
                        <w:rPr>
                          <w:bCs/>
                          <w:color w:val="000000"/>
                          <w:szCs w:val="24"/>
                        </w:rPr>
                        <w:t>8</w:t>
                      </w:r>
                    </w:sdtContent>
                  </w:sdt>
                  <w:r>
                    <w:rPr>
                      <w:bCs/>
                      <w:color w:val="000000"/>
                      <w:szCs w:val="24"/>
                    </w:rPr>
                    <w:t>.</w:t>
                    <w:tab/>
                    <w:t>Negalima tarpusavyje maišyti šių pelenų ir šlako atliekų rūšių: neapdorotų, apdorojamų ir apdorotų. Pelenų ir šlako atliekų negalima maišyti su pavojingosiomis pelenų ir šlako atliekomis, medienos kuro pelenų atliekomis, pelenų atliekomis, susidariusiomis pavojingųjų atliekų deginimo įrenginiuose, lakiųjų pelenų atliekomis, susidariusiomis atliekų deginimo įrenginiuose ar bendro atliekų deginimo įrenginiuose, pelenų atliekomis, susidariusiomis namų ūkiuose ir biomase ir kietu iškastiniu kuru kūrenamose katilinėse.</w:t>
                  </w:r>
                  <w:r>
                    <w:rPr>
                      <w:rFonts w:eastAsia="Andale Sans UI"/>
                      <w:b/>
                      <w:bCs/>
                      <w:szCs w:val="24"/>
                      <w:lang w:bidi="en-US"/>
                    </w:rPr>
                    <w:t xml:space="preserve"> </w:t>
                  </w:r>
                </w:p>
              </w:sdtContent>
            </w:sdt>
            <w:sdt>
              <w:sdtPr>
                <w:alias w:val="9 p."/>
                <w:tag w:val="part_b1a82f86945a4546b93fbc6a65e2623e"/>
                <w:lock w:val="sdtLocked"/>
                <w:richText/>
              </w:sdtPr>
              <w:sdtContent>
                <w:p>
                  <w:pPr>
                    <w:tabs>
                      <w:tab w:val="left" w:pos="851"/>
                      <w:tab w:val="left" w:pos="993"/>
                    </w:tabs>
                    <w:ind w:firstLine="567"/>
                    <w:jc w:val="both"/>
                    <w:rPr>
                      <w:bCs/>
                      <w:color w:val="000000"/>
                      <w:szCs w:val="24"/>
                    </w:rPr>
                  </w:pPr>
                  <w:sdt>
                    <w:sdtPr>
                      <w:alias w:val="Numeris"/>
                      <w:tag w:val="nr_b1a82f86945a4546b93fbc6a65e2623e"/>
                      <w:lock w:val="sdtLocked"/>
                      <w:richText/>
                    </w:sdtPr>
                    <w:sdtContent>
                      <w:r>
                        <w:rPr>
                          <w:bCs/>
                          <w:color w:val="000000"/>
                          <w:szCs w:val="24"/>
                        </w:rPr>
                        <w:t>9</w:t>
                      </w:r>
                    </w:sdtContent>
                  </w:sdt>
                  <w:r>
                    <w:rPr>
                      <w:bCs/>
                      <w:color w:val="000000"/>
                      <w:szCs w:val="24"/>
                    </w:rPr>
                    <w:t>.</w:t>
                    <w:tab/>
                    <w:t xml:space="preserve">Pelenų ir šlako atliekų sendinimas turi būti vykdomas kaupuose ne trumpiau kaip 3 </w:t>
                  </w:r>
                  <w:r>
                    <w:rPr>
                      <w:bCs/>
                      <w:szCs w:val="24"/>
                    </w:rPr>
                    <w:t xml:space="preserve">(tris) </w:t>
                  </w:r>
                  <w:r>
                    <w:rPr>
                      <w:bCs/>
                      <w:color w:val="000000"/>
                      <w:szCs w:val="24"/>
                    </w:rPr>
                    <w:t xml:space="preserve">mėnesius nuo  kaupo suformavimo. Pelenų ir šlako atliekų sendinimo kaupas turi būti specialiai pažymėtas, nurodant atliekos pavadinimą, atliekos kodą, sendinimo pradžios datą.  Pelenų ir šlako atliekų sendinimo pradžia turi būti įregistruota ir pelenų ir šlako atliekų apdorojimo žurnale            (1 priedas). </w:t>
                  </w:r>
                  <w:r>
                    <w:rPr>
                      <w:bCs/>
                      <w:szCs w:val="24"/>
                    </w:rPr>
                    <w:t xml:space="preserve">Praėjus 3 (trijų) mėnesių pelenų ir </w:t>
                  </w:r>
                  <w:r>
                    <w:rPr>
                      <w:bCs/>
                      <w:color w:val="000000"/>
                      <w:szCs w:val="24"/>
                    </w:rPr>
                    <w:t>šlako atliekų sendinimo periodui, pelenų ir šlako atliekų tyrimais turi būti nustatyti kiekvieno kaupo rodikliai pagal 34.3 papunktyje pateiktus rodiklius ir (ar)</w:t>
                  </w:r>
                  <w:r>
                    <w:rPr>
                      <w:szCs w:val="24"/>
                    </w:rPr>
                    <w:t xml:space="preserve"> </w:t>
                  </w:r>
                  <w:r>
                    <w:rPr>
                      <w:bCs/>
                      <w:color w:val="000000"/>
                      <w:szCs w:val="24"/>
                    </w:rPr>
                    <w:t xml:space="preserve">Atliekų sąvartynų įrengimo, eksploatavimo, uždarymo ir priežiūros po uždarymo taisyklėse, patvirtintose Lietuvos Respublikos aplinkos ministro 2000 m. spalio 18 d. įsakymu Nr. 444 „Dėl Atliekų sąvartynų įrengimo, eksploatavimo, uždarymo ir priežiūros po uždarymo taisyklių patvirtinimo“ (toliau – Atliekų sąvartynų taisyklės),  nustatytus reikalavimus.</w:t>
                  </w:r>
                </w:p>
              </w:sdtContent>
            </w:sdt>
            <w:sdt>
              <w:sdtPr>
                <w:alias w:val="10 p."/>
                <w:tag w:val="part_1f910a6050c940be9fa1fbf778988d91"/>
                <w:lock w:val="sdtLocked"/>
                <w:richText/>
              </w:sdtPr>
              <w:sdtContent>
                <w:p>
                  <w:pPr>
                    <w:widowControl w:val="0"/>
                    <w:tabs>
                      <w:tab w:val="left" w:pos="851"/>
                      <w:tab w:val="left" w:pos="993"/>
                    </w:tabs>
                    <w:ind w:firstLine="567"/>
                    <w:jc w:val="both"/>
                    <w:rPr>
                      <w:bCs/>
                      <w:color w:val="000000"/>
                      <w:szCs w:val="24"/>
                    </w:rPr>
                  </w:pPr>
                  <w:sdt>
                    <w:sdtPr>
                      <w:alias w:val="Numeris"/>
                      <w:tag w:val="nr_1f910a6050c940be9fa1fbf778988d91"/>
                      <w:lock w:val="sdtLocked"/>
                      <w:richText/>
                    </w:sdtPr>
                    <w:sdtContent>
                      <w:r>
                        <w:rPr>
                          <w:bCs/>
                          <w:color w:val="000000"/>
                          <w:szCs w:val="24"/>
                        </w:rPr>
                        <w:t>10</w:t>
                      </w:r>
                    </w:sdtContent>
                  </w:sdt>
                  <w:r>
                    <w:rPr>
                      <w:bCs/>
                      <w:color w:val="000000"/>
                      <w:szCs w:val="24"/>
                    </w:rPr>
                    <w:t>.</w:t>
                    <w:tab/>
                    <w:t xml:space="preserve">Pelenų ir šlako atliekų apdorojimo įrenginiai, išskyrus šalinimo, turi būti su nelaidžia vandeniui danga arba dugnu ir įrengti, kad paviršinės nuotekos nuo jų nenutekėtų ant šalia esančių teritorijų ir ant jų nepatektų vanduo nuo šalia esančių teritorijų. Paviršinės nuotekos turi būti surenkamos, valomos ir išleidžiamos vadovaujantis Paviršinių nuotekų tvarkymo reglamentu, patvirtintu Lietuvos Respublikos aplinkos ministro 2007 m. balandžio 2 d. įsakymu  Nr. D1-193 „Dėl Paviršinių nuotekų tvarkymo reglamento patvirtinimo“. Pelenų ir šlako atliekų laikymo ir apdorojimo įrenginiuose surenkamos gamybinės nuotekos privalo būti valomos, vadovaujantis Nuotekų tvarkymo reglamentu, patvirtintu Lietuvos Respublikos aplinkos ministro 2006 m. gegužės 17 d. įsakymu Nr. D1-236 „Dėl Nuotekų tvarkymo reglamento patvirtinimo“.</w:t>
                  </w:r>
                </w:p>
              </w:sdtContent>
            </w:sdt>
            <w:sdt>
              <w:sdtPr>
                <w:alias w:val="11 p."/>
                <w:tag w:val="part_3881ddf2703e4e2b819704e17828bc13"/>
                <w:lock w:val="sdtLocked"/>
                <w:richText/>
              </w:sdtPr>
              <w:sdtContent>
                <w:p>
                  <w:pPr>
                    <w:tabs>
                      <w:tab w:val="left" w:pos="851"/>
                      <w:tab w:val="left" w:pos="993"/>
                    </w:tabs>
                    <w:ind w:firstLine="567"/>
                    <w:jc w:val="both"/>
                    <w:rPr>
                      <w:szCs w:val="24"/>
                    </w:rPr>
                  </w:pPr>
                  <w:sdt>
                    <w:sdtPr>
                      <w:alias w:val="Numeris"/>
                      <w:tag w:val="nr_3881ddf2703e4e2b819704e17828bc13"/>
                      <w:lock w:val="sdtLocked"/>
                      <w:richText/>
                    </w:sdtPr>
                    <w:sdtContent>
                      <w:r>
                        <w:rPr>
                          <w:szCs w:val="24"/>
                        </w:rPr>
                        <w:t>11</w:t>
                      </w:r>
                    </w:sdtContent>
                  </w:sdt>
                  <w:r>
                    <w:rPr>
                      <w:szCs w:val="24"/>
                    </w:rPr>
                    <w:t>.</w:t>
                    <w:tab/>
                    <w:t xml:space="preserve">Taršos ar taršos integruotos prevencijos ir kontrolės (toliau – TIPK) leidime, išduotame eksploatuoti pelenų ir šlako atliekų naudojimo ar šalinimo įrenginį, turi būti  nustatytas didžiausias numatomas apdoroti pelenų ir šlako atliekų kiekis, pelenų ir šlako atliekų apdorojimo pajėgumai, leidžiamos pelenų ir šlako atliekų apdorojimo veiklos,  įskaitant atliekų panaudojimą, pelenų ir šlako atliekų laikymo sąlygos, pelenų ir šlako atliekų apdorojimo technologinio proceso aprašymas, apdorotų pelenų ir šlako atliekų kiekis ir kiti reikalavimai, nustatyti vadovaujantis teisės aktais, reglamentuojančiais šių leidimų išdavimą ir pakeitimą.</w:t>
                  </w:r>
                  <w:r>
                    <w:rPr>
                      <w:szCs w:val="24"/>
                      <w:lang w:eastAsia="lt-LT"/>
                    </w:rPr>
                    <w:t xml:space="preserve"> </w:t>
                  </w:r>
                </w:p>
              </w:sdtContent>
            </w:sdt>
            <w:sdt>
              <w:sdtPr>
                <w:alias w:val="12 p."/>
                <w:tag w:val="part_bdd5929b5fbc42af9efd5a1f590d02a1"/>
                <w:lock w:val="sdtLocked"/>
                <w:richText/>
              </w:sdtPr>
              <w:sdtContent>
                <w:p>
                  <w:pPr>
                    <w:tabs>
                      <w:tab w:val="left" w:pos="851"/>
                      <w:tab w:val="left" w:pos="993"/>
                    </w:tabs>
                    <w:ind w:firstLine="567"/>
                    <w:jc w:val="both"/>
                    <w:rPr>
                      <w:bCs/>
                      <w:color w:val="000000"/>
                      <w:szCs w:val="24"/>
                    </w:rPr>
                  </w:pPr>
                  <w:sdt>
                    <w:sdtPr>
                      <w:alias w:val="Numeris"/>
                      <w:tag w:val="nr_bdd5929b5fbc42af9efd5a1f590d02a1"/>
                      <w:lock w:val="sdtLocked"/>
                      <w:richText/>
                    </w:sdtPr>
                    <w:sdtContent>
                      <w:r>
                        <w:rPr>
                          <w:bCs/>
                          <w:color w:val="000000"/>
                          <w:szCs w:val="24"/>
                        </w:rPr>
                        <w:t>12</w:t>
                      </w:r>
                    </w:sdtContent>
                  </w:sdt>
                  <w:r>
                    <w:rPr>
                      <w:bCs/>
                      <w:color w:val="000000"/>
                      <w:szCs w:val="24"/>
                    </w:rPr>
                    <w:t>.</w:t>
                    <w:tab/>
                    <w:t>Prieš šalinant pelenų ir šlako atliekas sąvartyne, atliekų tvarkytojai, įskaitant įmones, kurių veikloje susidaro pelenų ir šlako atliekos, turi užtikrinti, kad pelenų ir šlako atliekos būtų apdorotos, jei tai techniškai įmanoma ir jei tai sumažina atliekų kiekį bei jų keliamą poveikį žmonių sveikatai ir aplinkai.</w:t>
                  </w:r>
                </w:p>
              </w:sdtContent>
            </w:sdt>
            <w:sdt>
              <w:sdtPr>
                <w:alias w:val="13 p."/>
                <w:tag w:val="part_9fddb180b4cf4f7bba7fe808d712cfde"/>
                <w:lock w:val="sdtLocked"/>
                <w:richText/>
              </w:sdtPr>
              <w:sdtContent>
                <w:p>
                  <w:pPr>
                    <w:tabs>
                      <w:tab w:val="left" w:pos="993"/>
                    </w:tabs>
                    <w:ind w:left="-142" w:firstLine="709"/>
                    <w:jc w:val="both"/>
                    <w:rPr>
                      <w:bCs/>
                      <w:color w:val="000000"/>
                      <w:szCs w:val="24"/>
                    </w:rPr>
                  </w:pPr>
                  <w:sdt>
                    <w:sdtPr>
                      <w:alias w:val="Numeris"/>
                      <w:tag w:val="nr_9fddb180b4cf4f7bba7fe808d712cfde"/>
                      <w:lock w:val="sdtLocked"/>
                      <w:richText/>
                    </w:sdtPr>
                    <w:sdtContent>
                      <w:r>
                        <w:rPr>
                          <w:bCs/>
                          <w:color w:val="000000"/>
                          <w:szCs w:val="24"/>
                        </w:rPr>
                        <w:t>13</w:t>
                      </w:r>
                    </w:sdtContent>
                  </w:sdt>
                  <w:r>
                    <w:rPr>
                      <w:bCs/>
                      <w:color w:val="000000"/>
                      <w:szCs w:val="24"/>
                    </w:rPr>
                    <w:t>.</w:t>
                    <w:tab/>
                    <w:t>Pelenų ir šlako atliekos gali būti naudojamos sąvartynuose šalinamų atliekų sluoksnių perdengimui, sąvartynų uždarymui ir kaip užpildas ar konstrukcinė medžiaga laikiniems keliams atliekų sąvartynuose tiesti, jeigu atitinka Atliekų sąvartynų taisyklėse nustatytus reikalavimus.</w:t>
                  </w:r>
                </w:p>
                <w:p>
                  <w:pPr>
                    <w:tabs>
                      <w:tab w:val="left" w:pos="851"/>
                      <w:tab w:val="left" w:pos="993"/>
                    </w:tabs>
                    <w:ind w:left="567"/>
                    <w:jc w:val="both"/>
                    <w:rPr>
                      <w:bCs/>
                      <w:color w:val="000000"/>
                      <w:szCs w:val="24"/>
                    </w:rPr>
                  </w:pPr>
                </w:p>
              </w:sdtContent>
            </w:sdt>
          </w:sdtContent>
        </w:sdt>
        <w:sdt>
          <w:sdtPr>
            <w:alias w:val="skyrius"/>
            <w:tag w:val="part_abdd57f25dba472d92f3f3557bd0aea4"/>
            <w:lock w:val="sdtLocked"/>
            <w:richText/>
          </w:sdtPr>
          <w:sdtContent>
            <w:p>
              <w:pPr>
                <w:tabs>
                  <w:tab w:val="left" w:pos="993"/>
                </w:tabs>
                <w:ind w:left="1287"/>
                <w:jc w:val="center"/>
                <w:rPr>
                  <w:rFonts w:eastAsia="Courier New"/>
                  <w:b/>
                  <w:bCs/>
                  <w:szCs w:val="24"/>
                  <w:shd w:val="clear" w:color="auto" w:fill="FFFFFF"/>
                  <w:lang w:eastAsia="de-DE" w:bidi="de-DE"/>
                </w:rPr>
              </w:pPr>
              <w:sdt>
                <w:sdtPr>
                  <w:alias w:val="Numeris"/>
                  <w:tag w:val="nr_abdd57f25dba472d92f3f3557bd0aea4"/>
                  <w:lock w:val="sdtLocked"/>
                  <w:richText/>
                </w:sdtPr>
                <w:sdtContent>
                  <w:r>
                    <w:rPr>
                      <w:rFonts w:eastAsia="Courier New"/>
                      <w:b/>
                      <w:bCs/>
                      <w:szCs w:val="24"/>
                      <w:shd w:val="clear" w:color="auto" w:fill="FFFFFF"/>
                      <w:lang w:eastAsia="de-DE" w:bidi="de-DE"/>
                    </w:rPr>
                    <w:t>III</w:t>
                  </w:r>
                </w:sdtContent>
              </w:sdt>
              <w:r>
                <w:rPr>
                  <w:rFonts w:eastAsia="Courier New"/>
                  <w:b/>
                  <w:bCs/>
                  <w:szCs w:val="24"/>
                  <w:shd w:val="clear" w:color="auto" w:fill="FFFFFF"/>
                  <w:lang w:eastAsia="de-DE" w:bidi="de-DE"/>
                </w:rPr>
                <w:t xml:space="preserve"> SKYRIUS</w:t>
              </w:r>
            </w:p>
            <w:p>
              <w:pPr>
                <w:tabs>
                  <w:tab w:val="left" w:pos="993"/>
                </w:tabs>
                <w:ind w:left="1287"/>
                <w:jc w:val="center"/>
                <w:rPr>
                  <w:rFonts w:eastAsia="Courier New"/>
                  <w:b/>
                  <w:bCs/>
                  <w:szCs w:val="24"/>
                  <w:shd w:val="clear" w:color="auto" w:fill="FFFFFF"/>
                  <w:lang w:eastAsia="de-DE" w:bidi="de-DE"/>
                </w:rPr>
              </w:pPr>
              <w:sdt>
                <w:sdtPr>
                  <w:alias w:val="Pavadinimas"/>
                  <w:tag w:val="title_abdd57f25dba472d92f3f3557bd0aea4"/>
                  <w:lock w:val="sdtLocked"/>
                  <w:richText/>
                </w:sdtPr>
                <w:sdtContent>
                  <w:r>
                    <w:rPr>
                      <w:rFonts w:eastAsia="Courier New"/>
                      <w:b/>
                      <w:bCs/>
                      <w:szCs w:val="24"/>
                      <w:shd w:val="clear" w:color="auto" w:fill="FFFFFF"/>
                      <w:lang w:eastAsia="de-DE" w:bidi="de-DE"/>
                    </w:rPr>
                    <w:t>APDOROTŲ PELENŲ IR ŠLAKO ATLIEKŲ PANAUDOJIMAS STATINIŲ STATYBOJE</w:t>
                  </w:r>
                </w:sdtContent>
              </w:sdt>
            </w:p>
            <w:p>
              <w:pPr>
                <w:tabs>
                  <w:tab w:val="left" w:pos="0"/>
                  <w:tab w:val="left" w:pos="851"/>
                  <w:tab w:val="left" w:pos="993"/>
                </w:tabs>
                <w:ind w:left="567"/>
                <w:jc w:val="both"/>
                <w:rPr>
                  <w:color w:val="000000"/>
                  <w:szCs w:val="24"/>
                </w:rPr>
              </w:pPr>
            </w:p>
            <w:sdt>
              <w:sdtPr>
                <w:alias w:val="14 p."/>
                <w:tag w:val="part_1bbf1cd537834888a1ecae1c6b4cbc4c"/>
                <w:lock w:val="sdtLocked"/>
                <w:richText/>
              </w:sdtPr>
              <w:sdtContent>
                <w:p>
                  <w:pPr>
                    <w:tabs>
                      <w:tab w:val="left" w:pos="993"/>
                    </w:tabs>
                    <w:ind w:left="-142" w:firstLine="709"/>
                    <w:jc w:val="both"/>
                    <w:rPr>
                      <w:color w:val="000000"/>
                      <w:szCs w:val="24"/>
                    </w:rPr>
                  </w:pPr>
                  <w:sdt>
                    <w:sdtPr>
                      <w:alias w:val="Numeris"/>
                      <w:tag w:val="nr_1bbf1cd537834888a1ecae1c6b4cbc4c"/>
                      <w:lock w:val="sdtLocked"/>
                      <w:richText/>
                    </w:sdtPr>
                    <w:sdtContent>
                      <w:r>
                        <w:rPr>
                          <w:color w:val="000000"/>
                          <w:szCs w:val="24"/>
                        </w:rPr>
                        <w:t>14</w:t>
                      </w:r>
                    </w:sdtContent>
                  </w:sdt>
                  <w:r>
                    <w:rPr>
                      <w:color w:val="000000"/>
                      <w:szCs w:val="24"/>
                    </w:rPr>
                    <w:t>.</w:t>
                    <w:tab/>
                    <w:t xml:space="preserve">Apdorotos, laikantis Reikalavimų II skyriuje nustatytų reikalavimų, pelenų ir šlako atliekos gali būti panaudotos Lietuvos Respublikos teritorijoje statinių statyboje (pavyzdžiui, keliams tiesti ir rekonstruoti, pastatų pamatams), jei įmonė, numatanti panaudoti pelenų ir šlako atliekas (toliau – atliekų naudotojas), pelenų ir šlako atliekų panaudojimui turi taršos ar TIPK leidimą arba parengtą Apdorotų pelenų ir šlako atliekų panaudojimo statinių statyboje planą (toliau ¬ Planas), kurį privaloma turėti, jei planuojama pelenų ir šlako atliekų panaudojimo veikla neatitinka kriterijų, kuriais, vadovaujantis Taršos leidimų išdavimo, pakeitimo ir galiojimo panaikinimo taisyklėmis, patvirtintomis  Lietuvos Respublikos aplinkos ministro 2014 m. kovo 6 d. įsakymu Nr. D1-259 „Dėl Taršos leidimų išdavimo, pakeitimo ir galiojimo panaikinimo taisyklių patvirtinimo“ ar Taršos integruotos prevencijos ir kontrolės leidimų išdavimo, pakeitimo ir galiojimo panaikinimo taisyklėmis , patvirtintomis Lietuvos Respublikos aplinkos ministro 2013 m. liepos 15 d. įsakymu Nr. D1-528 „Dėl Taršos integruotos prevencijos ir kontrolės leidimų išdavimo, pakeitimo ir galiojimo panaikinimo taisyklių patvirtinimo“ atliekų apdorojimo įrenginių eksploatavimui privaloma turėti taršos ar TIPK leidimą. </w:t>
                  </w:r>
                </w:p>
              </w:sdtContent>
            </w:sdt>
            <w:sdt>
              <w:sdtPr>
                <w:alias w:val="15 p."/>
                <w:tag w:val="part_e8c789da82034fac9842cfde90bf91d3"/>
                <w:lock w:val="sdtLocked"/>
                <w:richText/>
              </w:sdtPr>
              <w:sdtContent>
                <w:p>
                  <w:pPr>
                    <w:tabs>
                      <w:tab w:val="left" w:pos="993"/>
                    </w:tabs>
                    <w:ind w:left="-142" w:firstLine="709"/>
                    <w:jc w:val="both"/>
                    <w:rPr>
                      <w:color w:val="000000"/>
                      <w:szCs w:val="24"/>
                    </w:rPr>
                  </w:pPr>
                  <w:sdt>
                    <w:sdtPr>
                      <w:alias w:val="Numeris"/>
                      <w:tag w:val="nr_e8c789da82034fac9842cfde90bf91d3"/>
                      <w:lock w:val="sdtLocked"/>
                      <w:richText/>
                    </w:sdtPr>
                    <w:sdtContent>
                      <w:r>
                        <w:rPr>
                          <w:color w:val="000000"/>
                          <w:szCs w:val="24"/>
                        </w:rPr>
                        <w:t>15</w:t>
                      </w:r>
                    </w:sdtContent>
                  </w:sdt>
                  <w:r>
                    <w:rPr>
                      <w:color w:val="000000"/>
                      <w:szCs w:val="24"/>
                    </w:rPr>
                    <w:t>.</w:t>
                    <w:tab/>
                    <w:t xml:space="preserve">Panaudojamos statinių statyboje apdorotos pelenų ir šlako atliekos turi  atitikti </w:t>
                  </w:r>
                  <w:r>
                    <w:rPr>
                      <w:bCs/>
                      <w:color w:val="000000"/>
                      <w:szCs w:val="24"/>
                    </w:rPr>
                    <w:t xml:space="preserve">techniniuose normatyviniuose statinio saugos ir paskirties dokumentuose, normatyviniuose techniniuose dokumentuose nustatytus statinio projektavimo, statybos, statinio naudojimo, nugriovimo </w:t>
                  </w:r>
                  <w:r>
                    <w:rPr>
                      <w:color w:val="000000"/>
                      <w:szCs w:val="24"/>
                    </w:rPr>
                    <w:t xml:space="preserve">reikalavimus ir kriterijus, nurodytus Reikalavimų 34.2 ir 34.3 papunkčiuose. </w:t>
                  </w:r>
                </w:p>
              </w:sdtContent>
            </w:sdt>
            <w:sdt>
              <w:sdtPr>
                <w:alias w:val="16 p."/>
                <w:tag w:val="part_803de98f384c44bf83d49287613a9734"/>
                <w:lock w:val="sdtLocked"/>
                <w:richText/>
              </w:sdtPr>
              <w:sdtContent>
                <w:p>
                  <w:pPr>
                    <w:tabs>
                      <w:tab w:val="left" w:pos="851"/>
                      <w:tab w:val="left" w:pos="993"/>
                    </w:tabs>
                    <w:ind w:left="-142" w:firstLine="709"/>
                    <w:jc w:val="both"/>
                    <w:rPr>
                      <w:color w:val="000000"/>
                      <w:szCs w:val="24"/>
                    </w:rPr>
                  </w:pPr>
                  <w:sdt>
                    <w:sdtPr>
                      <w:alias w:val="Numeris"/>
                      <w:tag w:val="nr_803de98f384c44bf83d49287613a9734"/>
                      <w:lock w:val="sdtLocked"/>
                      <w:richText/>
                    </w:sdtPr>
                    <w:sdtContent>
                      <w:r>
                        <w:rPr>
                          <w:color w:val="000000"/>
                          <w:szCs w:val="24"/>
                        </w:rPr>
                        <w:t>16</w:t>
                      </w:r>
                    </w:sdtContent>
                  </w:sdt>
                  <w:r>
                    <w:rPr>
                      <w:color w:val="000000"/>
                      <w:szCs w:val="24"/>
                    </w:rPr>
                    <w:t>.</w:t>
                    <w:tab/>
                    <w:t xml:space="preserve">Atliekų tvarkytojas gali perduoti apdorotas pelenų ir šlako atliekas, numatomas naudoti Lietuvos Respublikoje pagal Reikalavimų 14 punkte nurodytą paskirtį, tik teisę jas panaudoti turinčiam atliekų naudotojui, kuris turi parengtą Planą arba taršos ar TIPK leidimą. </w:t>
                  </w:r>
                </w:p>
              </w:sdtContent>
            </w:sdt>
            <w:sdt>
              <w:sdtPr>
                <w:alias w:val="17 p."/>
                <w:tag w:val="part_83a010e09afa4d36836ea4598c25cae3"/>
                <w:lock w:val="sdtLocked"/>
                <w:richText/>
              </w:sdtPr>
              <w:sdtContent>
                <w:p>
                  <w:pPr>
                    <w:tabs>
                      <w:tab w:val="left" w:pos="851"/>
                      <w:tab w:val="left" w:pos="993"/>
                    </w:tabs>
                    <w:ind w:left="-142" w:firstLine="709"/>
                    <w:jc w:val="both"/>
                    <w:rPr>
                      <w:color w:val="000000"/>
                      <w:szCs w:val="24"/>
                    </w:rPr>
                  </w:pPr>
                  <w:sdt>
                    <w:sdtPr>
                      <w:alias w:val="Numeris"/>
                      <w:tag w:val="nr_83a010e09afa4d36836ea4598c25cae3"/>
                      <w:lock w:val="sdtLocked"/>
                      <w:richText/>
                    </w:sdtPr>
                    <w:sdtContent>
                      <w:r>
                        <w:rPr>
                          <w:color w:val="000000"/>
                          <w:szCs w:val="24"/>
                        </w:rPr>
                        <w:t>17</w:t>
                      </w:r>
                    </w:sdtContent>
                  </w:sdt>
                  <w:r>
                    <w:rPr>
                      <w:color w:val="000000"/>
                      <w:szCs w:val="24"/>
                    </w:rPr>
                    <w:t>.</w:t>
                    <w:tab/>
                    <w:t xml:space="preserve">Atliekų tvarkytojas, perduodamas apdorotas pelenų ir šlako atliekas atliekų naudotojui turi užtikrinti, kad nurodytos atliekos atitinka nustatytus reikalavimus ir kriterijus, nurodytus Reikalavimų 34.2 ir 34.3 papunkčiuose. Atliekų tvarkytojas privalo išduoti atliekų naudotojui kiekvienos siuntos eksploatacinių savybių deklaracijos ir apdorotų pelenų ir šlako atliekų laboratorinių tyrimų rezultatų kopijas. </w:t>
                  </w:r>
                </w:p>
              </w:sdtContent>
            </w:sdt>
            <w:sdt>
              <w:sdtPr>
                <w:alias w:val="18 p."/>
                <w:tag w:val="part_c294e780000f421bae2423bb3ab7b744"/>
                <w:lock w:val="sdtLocked"/>
                <w:richText/>
              </w:sdtPr>
              <w:sdtContent>
                <w:p>
                  <w:pPr>
                    <w:tabs>
                      <w:tab w:val="left" w:pos="993"/>
                    </w:tabs>
                    <w:ind w:left="-142" w:firstLine="709"/>
                    <w:jc w:val="both"/>
                    <w:rPr>
                      <w:bCs/>
                      <w:color w:val="000000"/>
                      <w:szCs w:val="24"/>
                    </w:rPr>
                  </w:pPr>
                  <w:sdt>
                    <w:sdtPr>
                      <w:alias w:val="Numeris"/>
                      <w:tag w:val="nr_c294e780000f421bae2423bb3ab7b744"/>
                      <w:lock w:val="sdtLocked"/>
                      <w:richText/>
                    </w:sdtPr>
                    <w:sdtContent>
                      <w:r>
                        <w:rPr>
                          <w:bCs/>
                          <w:color w:val="000000"/>
                          <w:szCs w:val="24"/>
                        </w:rPr>
                        <w:t>18</w:t>
                      </w:r>
                    </w:sdtContent>
                  </w:sdt>
                  <w:r>
                    <w:rPr>
                      <w:bCs/>
                      <w:color w:val="000000"/>
                      <w:szCs w:val="24"/>
                    </w:rPr>
                    <w:t>.</w:t>
                    <w:tab/>
                    <w:t xml:space="preserve">Apdorotų pelenų ir šlako atliekų panaudojimas statinių statyboje turi būti numatytas statinio projekte. Statinio projektuotojas, rengdamas projektą privalo atsižvelgti į atliekų nurodytas savybes ir tinkamumą konkrečiam statiniui. </w:t>
                  </w:r>
                </w:p>
              </w:sdtContent>
            </w:sdt>
            <w:sdt>
              <w:sdtPr>
                <w:alias w:val="19 p."/>
                <w:tag w:val="part_2782179ae76b42079d903e345d7e4c8d"/>
                <w:lock w:val="sdtLocked"/>
                <w:richText/>
              </w:sdtPr>
              <w:sdtContent>
                <w:p>
                  <w:pPr>
                    <w:tabs>
                      <w:tab w:val="left" w:pos="851"/>
                      <w:tab w:val="left" w:pos="993"/>
                    </w:tabs>
                    <w:ind w:left="-142" w:firstLine="709"/>
                    <w:jc w:val="both"/>
                    <w:rPr>
                      <w:color w:val="000000"/>
                      <w:szCs w:val="24"/>
                    </w:rPr>
                  </w:pPr>
                  <w:sdt>
                    <w:sdtPr>
                      <w:alias w:val="Numeris"/>
                      <w:tag w:val="nr_2782179ae76b42079d903e345d7e4c8d"/>
                      <w:lock w:val="sdtLocked"/>
                      <w:richText/>
                    </w:sdtPr>
                    <w:sdtContent>
                      <w:r>
                        <w:rPr>
                          <w:color w:val="000000"/>
                          <w:szCs w:val="24"/>
                        </w:rPr>
                        <w:t>19</w:t>
                      </w:r>
                    </w:sdtContent>
                  </w:sdt>
                  <w:r>
                    <w:rPr>
                      <w:color w:val="000000"/>
                      <w:szCs w:val="24"/>
                    </w:rPr>
                    <w:t>.</w:t>
                    <w:tab/>
                    <w:t>Planas rengiamas pagal Reikalavimų 5 priede pateiktą formą konkrečiam statiniui, kurio statyboje numatoma panaudoti apdorotus pelenus ir šlaką.</w:t>
                  </w:r>
                </w:p>
              </w:sdtContent>
            </w:sdt>
            <w:sdt>
              <w:sdtPr>
                <w:alias w:val="20 p."/>
                <w:tag w:val="part_eabb687d3ee147008c908d63304874ab"/>
                <w:lock w:val="sdtLocked"/>
                <w:richText/>
              </w:sdtPr>
              <w:sdtContent>
                <w:p>
                  <w:pPr>
                    <w:tabs>
                      <w:tab w:val="left" w:pos="851"/>
                      <w:tab w:val="left" w:pos="993"/>
                      <w:tab w:val="left" w:pos="1276"/>
                    </w:tabs>
                    <w:ind w:left="-142" w:firstLine="709"/>
                    <w:jc w:val="both"/>
                    <w:rPr>
                      <w:rFonts w:eastAsia="Calibri"/>
                      <w:szCs w:val="24"/>
                      <w:lang w:eastAsia="lt-LT"/>
                    </w:rPr>
                  </w:pPr>
                  <w:sdt>
                    <w:sdtPr>
                      <w:alias w:val="Numeris"/>
                      <w:tag w:val="nr_eabb687d3ee147008c908d63304874ab"/>
                      <w:lock w:val="sdtLocked"/>
                      <w:richText/>
                    </w:sdtPr>
                    <w:sdtContent>
                      <w:r>
                        <w:rPr>
                          <w:rFonts w:eastAsia="Calibri"/>
                          <w:szCs w:val="24"/>
                          <w:lang w:eastAsia="lt-LT"/>
                        </w:rPr>
                        <w:t>20</w:t>
                      </w:r>
                    </w:sdtContent>
                  </w:sdt>
                  <w:r>
                    <w:rPr>
                      <w:rFonts w:eastAsia="Calibri"/>
                      <w:szCs w:val="24"/>
                      <w:lang w:eastAsia="lt-LT"/>
                    </w:rPr>
                    <w:t>.</w:t>
                    <w:tab/>
                  </w:r>
                  <w:r>
                    <w:rPr>
                      <w:color w:val="000000"/>
                      <w:szCs w:val="24"/>
                    </w:rPr>
                    <w:t xml:space="preserve">   Atliekų naudotojas, likus ne mažiau kaip 1 </w:t>
                  </w:r>
                  <w:r>
                    <w:rPr>
                      <w:szCs w:val="24"/>
                    </w:rPr>
                    <w:t>(vienai) </w:t>
                  </w:r>
                  <w:r>
                    <w:rPr>
                      <w:color w:val="000000"/>
                      <w:szCs w:val="24"/>
                    </w:rPr>
                    <w:t xml:space="preserve">savaitei iki planuojamos pelenų ir šlako atliekų panaudojimo pradžios, </w:t>
                  </w:r>
                  <w:r>
                    <w:rPr>
                      <w:rFonts w:eastAsia="Calibri"/>
                      <w:szCs w:val="24"/>
                      <w:lang w:eastAsia="lt-LT"/>
                    </w:rPr>
                    <w:t>užpildęs</w:t>
                  </w:r>
                  <w:r>
                    <w:rPr>
                      <w:color w:val="000000"/>
                      <w:szCs w:val="24"/>
                    </w:rPr>
                    <w:t xml:space="preserve"> </w:t>
                  </w:r>
                  <w:r>
                    <w:rPr>
                      <w:rFonts w:eastAsia="Calibri"/>
                      <w:szCs w:val="24"/>
                      <w:lang w:eastAsia="lt-LT"/>
                    </w:rPr>
                    <w:t xml:space="preserve">5 priede pateiktą formą, išskyrus šios formos 3 lentelę, apie apdorotų pelenų ir šlako panaudojimą informuoja Aplinkos apsaugos departamentą prie Aplinkos ministerijos (toliau – Aplinkos apsaugos departamentas) ir Aplinkos apsaugos agentūrą (toliau – Agentūra), pateikdamas parengtą Planą el. paštu ar kitomis elektroninėmis ryšio priemonėmis, tiesiogiai ar per kontaktinį centrą, nurodytą Lietuvos Respublikos paslaugų įstatyme, išskyrus atvejus, kai nėra techninių galimybių tokiu būdu pateiktos informacijos atgaminti ar perskaityti. Tokiu atveju įmonės vadovo ar jo įgalioto asmens antspaudu ir parašu patvirtintas Planas teikiamas popieriniu formatu (susegtas ar įrištas). Teikiant dokumentus elektroniniu formatu, Planas turi būti pasirašytas kvalifikuotu elektroniniu parašu arba suformuotas elektroninėmis ryšio priemonėmis, kurios leidžia užtikrinti teksto vientisumą, nepakeičiamumą ir identifikuoti Planą teikiantį asmenį. Planas turi būti pateiktas *.pdf, *.docx, *.xlsx, *.odt, *.ods, *.tif formatais (pasirinktinai). </w:t>
                  </w:r>
                </w:p>
              </w:sdtContent>
            </w:sdt>
            <w:sdt>
              <w:sdtPr>
                <w:alias w:val="21 p."/>
                <w:tag w:val="part_fc016712a9714c3aa3ed11b668e4dcc2"/>
                <w:lock w:val="sdtLocked"/>
                <w:richText/>
              </w:sdtPr>
              <w:sdtContent>
                <w:p>
                  <w:pPr>
                    <w:tabs>
                      <w:tab w:val="left" w:pos="993"/>
                      <w:tab w:val="left" w:pos="1134"/>
                      <w:tab w:val="left" w:pos="1276"/>
                    </w:tabs>
                    <w:ind w:left="-142" w:firstLine="709"/>
                    <w:jc w:val="both"/>
                    <w:rPr>
                      <w:color w:val="000000"/>
                      <w:szCs w:val="24"/>
                    </w:rPr>
                  </w:pPr>
                  <w:sdt>
                    <w:sdtPr>
                      <w:alias w:val="Numeris"/>
                      <w:tag w:val="nr_fc016712a9714c3aa3ed11b668e4dcc2"/>
                      <w:lock w:val="sdtLocked"/>
                      <w:richText/>
                    </w:sdtPr>
                    <w:sdtContent>
                      <w:r>
                        <w:rPr>
                          <w:color w:val="000000"/>
                          <w:szCs w:val="24"/>
                        </w:rPr>
                        <w:t>21</w:t>
                      </w:r>
                    </w:sdtContent>
                  </w:sdt>
                  <w:r>
                    <w:rPr>
                      <w:color w:val="000000"/>
                      <w:szCs w:val="24"/>
                    </w:rPr>
                    <w:t>.</w:t>
                    <w:tab/>
                    <w:t xml:space="preserve">Plano galiojimo terminą nustato atliekų naudotojas, atsižvelgdamas į numatomą apdorotų pelenų ir šlako atliekų panaudojimo trukmę, tačiau Plano galiojimo termino data negali būti nustatyta vėlesnė nei 2023 m. gruodžio 31 d. Jei Planas, kurio galiojimo termino data yra ankstesnė nei           2023 m. gruodžio 31 d., nebuvo įgyvendintas per nustatytą terminą dėl objektyvių priežasčių (nenumatytų aplinkybių, kliūčių), galinčių turėti esminę įtaką Plano galiojimui, atliekų naudotojas, iki Plano galiojimo termino pabaigos atnaujina Planą, nustatydamas Plano galiojimo terminą ne vėlesnį nei 2023 m. gruodžio 31 d., ir informuoja Aplinkos apsaugos departamentą ir Aplinkos apsaugos agentūrą Reikalavimų 20 punkte nustatytu būdu.</w:t>
                  </w:r>
                </w:p>
              </w:sdtContent>
            </w:sdt>
            <w:sdt>
              <w:sdtPr>
                <w:alias w:val="22 p."/>
                <w:tag w:val="part_d2bde52a359641e3852b8246123f0c44"/>
                <w:lock w:val="sdtLocked"/>
                <w:richText/>
              </w:sdtPr>
              <w:sdtContent>
                <w:p>
                  <w:pPr>
                    <w:tabs>
                      <w:tab w:val="left" w:pos="993"/>
                      <w:tab w:val="left" w:pos="1134"/>
                      <w:tab w:val="left" w:pos="1276"/>
                    </w:tabs>
                    <w:ind w:left="-142" w:firstLine="709"/>
                    <w:jc w:val="both"/>
                    <w:rPr>
                      <w:color w:val="000000"/>
                      <w:szCs w:val="24"/>
                    </w:rPr>
                  </w:pPr>
                  <w:sdt>
                    <w:sdtPr>
                      <w:alias w:val="Numeris"/>
                      <w:tag w:val="nr_d2bde52a359641e3852b8246123f0c44"/>
                      <w:lock w:val="sdtLocked"/>
                      <w:richText/>
                    </w:sdtPr>
                    <w:sdtContent>
                      <w:r>
                        <w:rPr>
                          <w:color w:val="000000"/>
                          <w:szCs w:val="24"/>
                        </w:rPr>
                        <w:t>22</w:t>
                      </w:r>
                    </w:sdtContent>
                  </w:sdt>
                  <w:r>
                    <w:rPr>
                      <w:color w:val="000000"/>
                      <w:szCs w:val="24"/>
                    </w:rPr>
                    <w:t>.</w:t>
                    <w:tab/>
                    <w:t xml:space="preserve">Jei Plano galiojimo laikotarpiu pasikeičia atliekų tvarkymo veiklą reglamentuojantys teisės aktai ar atliekų naudotojo veikla, dėl kurių būtina pakeisti Planą, atliekų naudotojas atnaujina Planą. </w:t>
                  </w:r>
                </w:p>
              </w:sdtContent>
            </w:sdt>
            <w:sdt>
              <w:sdtPr>
                <w:alias w:val="23 p."/>
                <w:tag w:val="part_e3fa0bd3ab834ef78b11e580779c08c8"/>
                <w:lock w:val="sdtLocked"/>
                <w:richText/>
              </w:sdtPr>
              <w:sdtContent>
                <w:p>
                  <w:pPr>
                    <w:tabs>
                      <w:tab w:val="left" w:pos="993"/>
                      <w:tab w:val="left" w:pos="1134"/>
                      <w:tab w:val="left" w:pos="1276"/>
                    </w:tabs>
                    <w:ind w:left="-142" w:firstLine="709"/>
                    <w:jc w:val="both"/>
                    <w:rPr>
                      <w:color w:val="000000"/>
                      <w:szCs w:val="24"/>
                    </w:rPr>
                  </w:pPr>
                  <w:sdt>
                    <w:sdtPr>
                      <w:alias w:val="Numeris"/>
                      <w:tag w:val="nr_e3fa0bd3ab834ef78b11e580779c08c8"/>
                      <w:lock w:val="sdtLocked"/>
                      <w:richText/>
                    </w:sdtPr>
                    <w:sdtContent>
                      <w:r>
                        <w:rPr>
                          <w:color w:val="000000"/>
                          <w:szCs w:val="24"/>
                        </w:rPr>
                        <w:t>23</w:t>
                      </w:r>
                    </w:sdtContent>
                  </w:sdt>
                  <w:r>
                    <w:rPr>
                      <w:color w:val="000000"/>
                      <w:szCs w:val="24"/>
                    </w:rPr>
                    <w:t>.</w:t>
                    <w:tab/>
                    <w:t>Atliekų naudotojas privalo pildyti informaciją apie kiekvienos siuntos įsigijimą Plano 3 lentelėje „Pelenų ir šlakų atliekų siuntos paėmimo / naudojimo registracija“, pridėdamas atliekų tvarkytojo išduotų kiekvienai siuntai apdorotų pelenų ir šlako atliekų laboratorinių tyrimų rezultatų ir eksploatacinių savybių deklaracijų patvirtintas kopijas.</w:t>
                  </w:r>
                </w:p>
              </w:sdtContent>
            </w:sdt>
            <w:sdt>
              <w:sdtPr>
                <w:alias w:val="24 p."/>
                <w:tag w:val="part_aae31bcd971d469cb7082362cb0167ec"/>
                <w:lock w:val="sdtLocked"/>
                <w:richText/>
              </w:sdtPr>
              <w:sdtContent>
                <w:p>
                  <w:pPr>
                    <w:tabs>
                      <w:tab w:val="left" w:pos="993"/>
                      <w:tab w:val="left" w:pos="1134"/>
                      <w:tab w:val="left" w:pos="1276"/>
                    </w:tabs>
                    <w:ind w:left="-142" w:firstLine="709"/>
                    <w:jc w:val="both"/>
                    <w:rPr>
                      <w:szCs w:val="24"/>
                    </w:rPr>
                  </w:pPr>
                  <w:sdt>
                    <w:sdtPr>
                      <w:alias w:val="Numeris"/>
                      <w:tag w:val="nr_aae31bcd971d469cb7082362cb0167ec"/>
                      <w:lock w:val="sdtLocked"/>
                      <w:richText/>
                    </w:sdtPr>
                    <w:sdtContent>
                      <w:r>
                        <w:rPr>
                          <w:szCs w:val="24"/>
                        </w:rPr>
                        <w:t>24</w:t>
                      </w:r>
                    </w:sdtContent>
                  </w:sdt>
                  <w:r>
                    <w:rPr>
                      <w:szCs w:val="24"/>
                    </w:rPr>
                    <w:t>.</w:t>
                    <w:tab/>
                  </w:r>
                  <w:r>
                    <w:rPr>
                      <w:color w:val="000000"/>
                      <w:szCs w:val="24"/>
                    </w:rPr>
                    <w:t xml:space="preserve">Atliekų naudotojas privalo saugoti Planą 5 </w:t>
                  </w:r>
                  <w:r>
                    <w:rPr>
                      <w:szCs w:val="24"/>
                    </w:rPr>
                    <w:t>(penkis) metus po jo galiojimo pabaigos.</w:t>
                  </w:r>
                </w:p>
              </w:sdtContent>
            </w:sdt>
            <w:sdt>
              <w:sdtPr>
                <w:alias w:val="25 p."/>
                <w:tag w:val="part_0830e37b077e43718177ff008d424564"/>
                <w:lock w:val="sdtLocked"/>
                <w:richText/>
              </w:sdtPr>
              <w:sdtContent>
                <w:p>
                  <w:pPr>
                    <w:tabs>
                      <w:tab w:val="left" w:pos="993"/>
                      <w:tab w:val="left" w:pos="1134"/>
                      <w:tab w:val="left" w:pos="1276"/>
                    </w:tabs>
                    <w:ind w:left="-142" w:firstLine="709"/>
                    <w:jc w:val="both"/>
                    <w:rPr>
                      <w:szCs w:val="24"/>
                    </w:rPr>
                  </w:pPr>
                  <w:sdt>
                    <w:sdtPr>
                      <w:alias w:val="Numeris"/>
                      <w:tag w:val="nr_0830e37b077e43718177ff008d424564"/>
                      <w:lock w:val="sdtLocked"/>
                      <w:richText/>
                    </w:sdtPr>
                    <w:sdtContent>
                      <w:r>
                        <w:rPr>
                          <w:szCs w:val="24"/>
                        </w:rPr>
                        <w:t>25</w:t>
                      </w:r>
                    </w:sdtContent>
                  </w:sdt>
                  <w:r>
                    <w:rPr>
                      <w:szCs w:val="24"/>
                    </w:rPr>
                    <w:t>.</w:t>
                    <w:tab/>
                    <w:t>Apdorotų pelenų ir šlako atliekų panaudojimas vykdomas tik pagal Plane nustatytas sąlygas.</w:t>
                  </w:r>
                </w:p>
              </w:sdtContent>
            </w:sdt>
            <w:sdt>
              <w:sdtPr>
                <w:alias w:val="26 p."/>
                <w:tag w:val="part_b142186351984599867b6d99c9ae5b39"/>
                <w:lock w:val="sdtLocked"/>
                <w:richText/>
              </w:sdtPr>
              <w:sdtContent>
                <w:p>
                  <w:pPr>
                    <w:tabs>
                      <w:tab w:val="left" w:pos="993"/>
                      <w:tab w:val="left" w:pos="1134"/>
                      <w:tab w:val="left" w:pos="1276"/>
                    </w:tabs>
                    <w:ind w:left="-142" w:firstLine="709"/>
                    <w:jc w:val="both"/>
                    <w:rPr>
                      <w:color w:val="000000"/>
                      <w:szCs w:val="24"/>
                    </w:rPr>
                  </w:pPr>
                  <w:sdt>
                    <w:sdtPr>
                      <w:alias w:val="Numeris"/>
                      <w:tag w:val="nr_b142186351984599867b6d99c9ae5b39"/>
                      <w:lock w:val="sdtLocked"/>
                      <w:richText/>
                    </w:sdtPr>
                    <w:sdtContent>
                      <w:r>
                        <w:rPr>
                          <w:color w:val="000000"/>
                          <w:szCs w:val="24"/>
                        </w:rPr>
                        <w:t>26</w:t>
                      </w:r>
                    </w:sdtContent>
                  </w:sdt>
                  <w:r>
                    <w:rPr>
                      <w:color w:val="000000"/>
                      <w:szCs w:val="24"/>
                    </w:rPr>
                    <w:t>.</w:t>
                    <w:tab/>
                  </w:r>
                  <w:r>
                    <w:rPr>
                      <w:szCs w:val="24"/>
                    </w:rPr>
                    <w:t xml:space="preserve">Aplinkos apsaugos departamentas kontroliuoja Plane nustatytų sąlygų laikymąsi. Apdorotų pelenų ir šlako atliekos negali būti panaudotos  statinių statyboje ir turi būti perduotos atliekų tvarkytojams, jei patikrinimo metu nustatoma, kad Planas vykdomas nesilaikant jame nustatytų sąlygų ir dėl to negali būtų įgyvendinamas, nustatomi pažeidimai, kurie per Aplinkos apsaugos departamento nustatytą terminą nepašalinami,</w:t>
                  </w:r>
                  <w:r>
                    <w:rPr>
                      <w:rFonts w:eastAsia="Courier New"/>
                      <w:szCs w:val="24"/>
                      <w:shd w:val="clear" w:color="auto" w:fill="FFFFFF"/>
                      <w:lang w:eastAsia="de-DE" w:bidi="de-DE"/>
                    </w:rPr>
                    <w:t xml:space="preserve"> pelenų ir šlako </w:t>
                  </w:r>
                  <w:r>
                    <w:rPr>
                      <w:szCs w:val="24"/>
                    </w:rPr>
                    <w:t>atliekos nepanaudojamos pagal nurodytą paskirtį per Plane nurodytą terminą arba jei paaiškėja, kad pelenų ir šlako atliekos neatitinka reikalavimų, nustatytų 15 punkte</w:t>
                  </w:r>
                  <w:r>
                    <w:rPr>
                      <w:bCs/>
                      <w:szCs w:val="24"/>
                    </w:rPr>
                    <w:t>.</w:t>
                  </w:r>
                  <w:r>
                    <w:rPr>
                      <w:szCs w:val="24"/>
                    </w:rPr>
                    <w:t xml:space="preserve">  </w:t>
                  </w:r>
                </w:p>
                <w:p>
                  <w:pPr>
                    <w:tabs>
                      <w:tab w:val="left" w:pos="993"/>
                      <w:tab w:val="left" w:pos="1134"/>
                    </w:tabs>
                    <w:ind w:left="-142" w:firstLine="709"/>
                    <w:jc w:val="both"/>
                    <w:rPr>
                      <w:color w:val="000000"/>
                      <w:szCs w:val="24"/>
                    </w:rPr>
                  </w:pPr>
                </w:p>
              </w:sdtContent>
            </w:sdt>
          </w:sdtContent>
        </w:sdt>
        <w:sdt>
          <w:sdtPr>
            <w:alias w:val="skyrius"/>
            <w:tag w:val="part_951219227b8f48deb7f942c6256506a2"/>
            <w:lock w:val="sdtLocked"/>
            <w:richText/>
          </w:sdtPr>
          <w:sdtContent>
            <w:p>
              <w:pPr>
                <w:jc w:val="center"/>
                <w:rPr>
                  <w:b/>
                  <w:bCs/>
                  <w:color w:val="000000"/>
                  <w:szCs w:val="24"/>
                </w:rPr>
              </w:pPr>
              <w:sdt>
                <w:sdtPr>
                  <w:alias w:val="Numeris"/>
                  <w:tag w:val="nr_951219227b8f48deb7f942c6256506a2"/>
                  <w:lock w:val="sdtLocked"/>
                  <w:richText/>
                </w:sdtPr>
                <w:sdtContent>
                  <w:r>
                    <w:rPr>
                      <w:b/>
                      <w:bCs/>
                      <w:color w:val="000000"/>
                      <w:szCs w:val="24"/>
                    </w:rPr>
                    <w:t>IV</w:t>
                  </w:r>
                </w:sdtContent>
              </w:sdt>
              <w:r>
                <w:rPr>
                  <w:b/>
                  <w:bCs/>
                  <w:color w:val="000000"/>
                  <w:szCs w:val="24"/>
                </w:rPr>
                <w:t xml:space="preserve"> SKYRIUS</w:t>
              </w:r>
            </w:p>
            <w:p>
              <w:pPr>
                <w:ind w:firstLine="62"/>
                <w:jc w:val="center"/>
                <w:rPr>
                  <w:bCs/>
                  <w:color w:val="000000"/>
                  <w:szCs w:val="24"/>
                </w:rPr>
              </w:pPr>
              <w:sdt>
                <w:sdtPr>
                  <w:alias w:val="Pavadinimas"/>
                  <w:tag w:val="title_951219227b8f48deb7f942c6256506a2"/>
                  <w:lock w:val="sdtLocked"/>
                  <w:richText/>
                </w:sdtPr>
                <w:sdtContent>
                  <w:r>
                    <w:rPr>
                      <w:b/>
                      <w:bCs/>
                      <w:color w:val="000000"/>
                      <w:szCs w:val="24"/>
                    </w:rPr>
                    <w:t>REIKALAVIMAI PELENŲ IR ŠLAKO ATLIEKŲ LAIKYMUI, KROVIMUI, VEŽIMUI IR PANAUDOJIMUI</w:t>
                  </w:r>
                </w:sdtContent>
              </w:sdt>
            </w:p>
            <w:p>
              <w:pPr>
                <w:ind w:firstLine="567"/>
                <w:jc w:val="both"/>
                <w:rPr>
                  <w:bCs/>
                  <w:color w:val="000000"/>
                  <w:szCs w:val="24"/>
                </w:rPr>
              </w:pPr>
            </w:p>
            <w:sdt>
              <w:sdtPr>
                <w:alias w:val="27 p."/>
                <w:tag w:val="part_5a89f39588354fd3a154af3d608d65b9"/>
                <w:lock w:val="sdtLocked"/>
                <w:richText/>
              </w:sdtPr>
              <w:sdtContent>
                <w:p>
                  <w:pPr>
                    <w:tabs>
                      <w:tab w:val="left" w:pos="993"/>
                    </w:tabs>
                    <w:ind w:left="-142" w:firstLine="709"/>
                    <w:jc w:val="both"/>
                    <w:rPr>
                      <w:bCs/>
                      <w:color w:val="000000"/>
                      <w:szCs w:val="24"/>
                    </w:rPr>
                  </w:pPr>
                  <w:sdt>
                    <w:sdtPr>
                      <w:alias w:val="Numeris"/>
                      <w:tag w:val="nr_5a89f39588354fd3a154af3d608d65b9"/>
                      <w:lock w:val="sdtLocked"/>
                      <w:richText/>
                    </w:sdtPr>
                    <w:sdtContent>
                      <w:r>
                        <w:rPr>
                          <w:bCs/>
                          <w:color w:val="000000"/>
                          <w:szCs w:val="24"/>
                        </w:rPr>
                        <w:t>27</w:t>
                      </w:r>
                    </w:sdtContent>
                  </w:sdt>
                  <w:r>
                    <w:rPr>
                      <w:bCs/>
                      <w:color w:val="000000"/>
                      <w:szCs w:val="24"/>
                    </w:rPr>
                    <w:t>.</w:t>
                    <w:tab/>
                    <w:t xml:space="preserve">Pelenų ir šlako atliekos turi būti laikomos, kraunamos, vežamos ir naudojamos taip, kad jų neišnešiotų vėjas, tiesiogiai ar netiesiogiai veikiant krituliams ar atodrėkiui pelenų ir šlako atliekos negalėtų patekti į požeminius ir (ar) paviršinius vandens telkinius. </w:t>
                  </w:r>
                </w:p>
              </w:sdtContent>
            </w:sdt>
            <w:sdt>
              <w:sdtPr>
                <w:alias w:val="28 p."/>
                <w:tag w:val="part_37dc2343682e4f7d8f04e0f9f9c5943d"/>
                <w:lock w:val="sdtLocked"/>
                <w:richText/>
              </w:sdtPr>
              <w:sdtContent>
                <w:p>
                  <w:pPr>
                    <w:tabs>
                      <w:tab w:val="left" w:pos="993"/>
                    </w:tabs>
                    <w:ind w:left="-142" w:firstLine="709"/>
                    <w:jc w:val="both"/>
                    <w:rPr>
                      <w:bCs/>
                      <w:color w:val="000000"/>
                      <w:szCs w:val="24"/>
                    </w:rPr>
                  </w:pPr>
                  <w:sdt>
                    <w:sdtPr>
                      <w:alias w:val="Numeris"/>
                      <w:tag w:val="nr_37dc2343682e4f7d8f04e0f9f9c5943d"/>
                      <w:lock w:val="sdtLocked"/>
                      <w:richText/>
                    </w:sdtPr>
                    <w:sdtContent>
                      <w:r>
                        <w:rPr>
                          <w:bCs/>
                          <w:color w:val="000000"/>
                          <w:szCs w:val="24"/>
                        </w:rPr>
                        <w:t>28</w:t>
                      </w:r>
                    </w:sdtContent>
                  </w:sdt>
                  <w:r>
                    <w:rPr>
                      <w:bCs/>
                      <w:color w:val="000000"/>
                      <w:szCs w:val="24"/>
                    </w:rPr>
                    <w:t>.</w:t>
                    <w:tab/>
                    <w:t xml:space="preserve">Palaidų pelenų ir šlako atliekų laikymas atliekų naudojimo ar šalinimo įrenginiuose vykdomas laikantis Reikalavimų 6 punkte išdėstytų reikalavimų. </w:t>
                  </w:r>
                </w:p>
              </w:sdtContent>
            </w:sdt>
            <w:sdt>
              <w:sdtPr>
                <w:alias w:val="29 p."/>
                <w:tag w:val="part_180d44d26aac49298061453e8d36650d"/>
                <w:lock w:val="sdtLocked"/>
                <w:richText/>
              </w:sdtPr>
              <w:sdtContent>
                <w:p>
                  <w:pPr>
                    <w:tabs>
                      <w:tab w:val="left" w:pos="993"/>
                    </w:tabs>
                    <w:ind w:left="-142" w:firstLine="709"/>
                    <w:jc w:val="both"/>
                    <w:rPr>
                      <w:bCs/>
                      <w:color w:val="000000"/>
                      <w:szCs w:val="24"/>
                    </w:rPr>
                  </w:pPr>
                  <w:sdt>
                    <w:sdtPr>
                      <w:alias w:val="Numeris"/>
                      <w:tag w:val="nr_180d44d26aac49298061453e8d36650d"/>
                      <w:lock w:val="sdtLocked"/>
                      <w:richText/>
                    </w:sdtPr>
                    <w:sdtContent>
                      <w:r>
                        <w:rPr>
                          <w:bCs/>
                          <w:color w:val="000000"/>
                          <w:szCs w:val="24"/>
                        </w:rPr>
                        <w:t>29</w:t>
                      </w:r>
                    </w:sdtContent>
                  </w:sdt>
                  <w:r>
                    <w:rPr>
                      <w:bCs/>
                      <w:color w:val="000000"/>
                      <w:szCs w:val="24"/>
                    </w:rPr>
                    <w:t>.</w:t>
                    <w:tab/>
                    <w:t xml:space="preserve">Palaidos apdorotų pelenų ir šlako atliekos negali būti laikomos ilgiau nei 6 </w:t>
                  </w:r>
                  <w:r>
                    <w:rPr>
                      <w:bCs/>
                      <w:szCs w:val="24"/>
                    </w:rPr>
                    <w:t xml:space="preserve">(šešis) </w:t>
                  </w:r>
                  <w:r>
                    <w:rPr>
                      <w:bCs/>
                      <w:color w:val="000000"/>
                      <w:szCs w:val="24"/>
                    </w:rPr>
                    <w:t>mėnesius atviroje aikštelėje prieš panaudojimą pagal Reikalavimų 14 punkte nurodytą paskirtį.</w:t>
                  </w:r>
                </w:p>
              </w:sdtContent>
            </w:sdt>
            <w:sdt>
              <w:sdtPr>
                <w:alias w:val="30 p."/>
                <w:tag w:val="part_28d20ca3fc654f588bfc091a72be7468"/>
                <w:lock w:val="sdtLocked"/>
                <w:richText/>
              </w:sdtPr>
              <w:sdtContent>
                <w:p>
                  <w:pPr>
                    <w:tabs>
                      <w:tab w:val="left" w:pos="993"/>
                    </w:tabs>
                    <w:ind w:left="-142" w:firstLine="709"/>
                    <w:jc w:val="both"/>
                    <w:rPr>
                      <w:bCs/>
                      <w:color w:val="000000"/>
                      <w:szCs w:val="24"/>
                    </w:rPr>
                  </w:pPr>
                  <w:sdt>
                    <w:sdtPr>
                      <w:alias w:val="Numeris"/>
                      <w:tag w:val="nr_28d20ca3fc654f588bfc091a72be7468"/>
                      <w:lock w:val="sdtLocked"/>
                      <w:richText/>
                    </w:sdtPr>
                    <w:sdtContent>
                      <w:r>
                        <w:rPr>
                          <w:bCs/>
                          <w:color w:val="000000"/>
                          <w:szCs w:val="24"/>
                        </w:rPr>
                        <w:t>30</w:t>
                      </w:r>
                    </w:sdtContent>
                  </w:sdt>
                  <w:r>
                    <w:rPr>
                      <w:bCs/>
                      <w:color w:val="000000"/>
                      <w:szCs w:val="24"/>
                    </w:rPr>
                    <w:t>.</w:t>
                    <w:tab/>
                    <w:t>Palaidų pelenų ir šlako atliekų dulkių susidarymui ir (ar) dulkių sklaidai riboti, laikant, kraunat, vežant palaidas atliekas atvirose aikštelėse taikomi Minimaliuose reikalavimuose dulkėtumui mažinti nustatyti reikalavimai.</w:t>
                  </w:r>
                </w:p>
              </w:sdtContent>
            </w:sdt>
            <w:sdt>
              <w:sdtPr>
                <w:alias w:val="31 p."/>
                <w:tag w:val="part_23738e3b98ee4d8f82477a929711e2e1"/>
                <w:lock w:val="sdtLocked"/>
                <w:richText/>
              </w:sdtPr>
              <w:sdtContent>
                <w:p>
                  <w:pPr>
                    <w:tabs>
                      <w:tab w:val="left" w:pos="851"/>
                      <w:tab w:val="left" w:pos="993"/>
                    </w:tabs>
                    <w:ind w:left="-142" w:firstLine="709"/>
                    <w:jc w:val="both"/>
                    <w:rPr>
                      <w:bCs/>
                      <w:color w:val="000000"/>
                      <w:szCs w:val="24"/>
                    </w:rPr>
                  </w:pPr>
                  <w:sdt>
                    <w:sdtPr>
                      <w:alias w:val="Numeris"/>
                      <w:tag w:val="nr_23738e3b98ee4d8f82477a929711e2e1"/>
                      <w:lock w:val="sdtLocked"/>
                      <w:richText/>
                    </w:sdtPr>
                    <w:sdtContent>
                      <w:r>
                        <w:rPr>
                          <w:bCs/>
                          <w:color w:val="000000"/>
                          <w:szCs w:val="24"/>
                        </w:rPr>
                        <w:t>31</w:t>
                      </w:r>
                    </w:sdtContent>
                  </w:sdt>
                  <w:r>
                    <w:rPr>
                      <w:bCs/>
                      <w:color w:val="000000"/>
                      <w:szCs w:val="24"/>
                    </w:rPr>
                    <w:t>.</w:t>
                    <w:tab/>
                    <w:t>Pelenų ir šlako atliekas draudžiama laikyti, krauti, vežti ir panaudoti, jei tokia veiklą konkrečioje vietoje riboja Lietuvos Respublikos specialiųjų žemės naudojimo sąlygų įstatymas.</w:t>
                  </w:r>
                </w:p>
              </w:sdtContent>
            </w:sdt>
            <w:sdt>
              <w:sdtPr>
                <w:alias w:val="32 p."/>
                <w:tag w:val="part_3bd01d34fa4640e18db2803a42bbe188"/>
                <w:lock w:val="sdtLocked"/>
                <w:richText/>
              </w:sdtPr>
              <w:sdtContent>
                <w:p>
                  <w:pPr>
                    <w:tabs>
                      <w:tab w:val="left" w:pos="993"/>
                    </w:tabs>
                    <w:ind w:left="-142" w:firstLine="709"/>
                    <w:jc w:val="both"/>
                    <w:rPr>
                      <w:bCs/>
                      <w:color w:val="000000"/>
                      <w:szCs w:val="24"/>
                    </w:rPr>
                  </w:pPr>
                  <w:sdt>
                    <w:sdtPr>
                      <w:alias w:val="Numeris"/>
                      <w:tag w:val="nr_3bd01d34fa4640e18db2803a42bbe188"/>
                      <w:lock w:val="sdtLocked"/>
                      <w:richText/>
                    </w:sdtPr>
                    <w:sdtContent>
                      <w:r>
                        <w:rPr>
                          <w:bCs/>
                          <w:color w:val="000000"/>
                          <w:szCs w:val="24"/>
                        </w:rPr>
                        <w:t>32</w:t>
                      </w:r>
                    </w:sdtContent>
                  </w:sdt>
                  <w:r>
                    <w:rPr>
                      <w:bCs/>
                      <w:color w:val="000000"/>
                      <w:szCs w:val="24"/>
                    </w:rPr>
                    <w:t>.</w:t>
                    <w:tab/>
                    <w:t xml:space="preserve">Kai numatoma palaidas pelenų ir šlako atliekas laikyti vykdant statinių statybą, laikymo atviroje aikštelėje vieta turi būti </w:t>
                  </w:r>
                  <w:r>
                    <w:rPr>
                      <w:color w:val="000000"/>
                    </w:rPr>
                    <w:t>parinkta tokia, kad aikštelės neapsemtų paviršiniai vandenys liūčių, potvynių metu</w:t>
                  </w:r>
                  <w:r>
                    <w:rPr>
                      <w:bCs/>
                      <w:color w:val="000000"/>
                      <w:szCs w:val="24"/>
                    </w:rPr>
                    <w:t>. Palaidų pelenų ir šlako atliekų laikymas ir krovimas vykdant kelių tiesimo ar rekonstravimo darbus gali būti vykdomas atviroje aikštelėje, kurios:</w:t>
                  </w:r>
                </w:p>
                <w:sdt>
                  <w:sdtPr>
                    <w:alias w:val="32.1 pp."/>
                    <w:tag w:val="part_5eca67a201094fcaac716f48ae507a2d"/>
                    <w:lock w:val="sdtLocked"/>
                    <w:richText/>
                  </w:sdtPr>
                  <w:sdtContent>
                    <w:p>
                      <w:pPr>
                        <w:tabs>
                          <w:tab w:val="left" w:pos="993"/>
                          <w:tab w:val="left" w:pos="1276"/>
                        </w:tabs>
                        <w:ind w:firstLine="567"/>
                        <w:jc w:val="both"/>
                        <w:rPr>
                          <w:bCs/>
                          <w:color w:val="000000"/>
                          <w:szCs w:val="24"/>
                        </w:rPr>
                      </w:pPr>
                      <w:sdt>
                        <w:sdtPr>
                          <w:alias w:val="Numeris"/>
                          <w:tag w:val="nr_5eca67a201094fcaac716f48ae507a2d"/>
                          <w:lock w:val="sdtLocked"/>
                          <w:richText/>
                        </w:sdtPr>
                        <w:sdtContent>
                          <w:r>
                            <w:rPr>
                              <w:bCs/>
                              <w:color w:val="000000"/>
                              <w:szCs w:val="24"/>
                            </w:rPr>
                            <w:t>32.1</w:t>
                          </w:r>
                        </w:sdtContent>
                      </w:sdt>
                      <w:r>
                        <w:rPr>
                          <w:bCs/>
                          <w:color w:val="000000"/>
                          <w:szCs w:val="24"/>
                        </w:rPr>
                        <w:t>. teritorijos (sklypo) (toliau – sklypas) riba nutolusi didesniu kaip 250 m atstumu iki gyvenamojo pastato, negyvenamojo (viešbučių, administracinės, prekybos, paslaugų, maitinimo, kultūros, mokslo, gydymo, poilsio, sporto, religinės ar kitos (sodų) paskirties) pastato ar inžinerinio statinio (žaidimams (futbolui, krepšiniui, beisbolui, regbiui, vandens sportui ir panašiai) atvirame ore naudojamo sporto aikštyno, įrengtos vaikų žaidimo, sporto aikštelės.</w:t>
                      </w:r>
                    </w:p>
                  </w:sdtContent>
                </w:sdt>
                <w:sdt>
                  <w:sdtPr>
                    <w:alias w:val="32.2 pp."/>
                    <w:tag w:val="part_d4fce0ceca604372a3d4ebb97b6a94c5"/>
                    <w:lock w:val="sdtLocked"/>
                    <w:richText/>
                  </w:sdtPr>
                  <w:sdtContent>
                    <w:p>
                      <w:pPr>
                        <w:tabs>
                          <w:tab w:val="left" w:pos="993"/>
                          <w:tab w:val="left" w:pos="1276"/>
                        </w:tabs>
                        <w:ind w:firstLine="567"/>
                        <w:jc w:val="both"/>
                        <w:rPr>
                          <w:bCs/>
                          <w:color w:val="000000"/>
                          <w:szCs w:val="24"/>
                        </w:rPr>
                      </w:pPr>
                      <w:sdt>
                        <w:sdtPr>
                          <w:alias w:val="Numeris"/>
                          <w:tag w:val="nr_d4fce0ceca604372a3d4ebb97b6a94c5"/>
                          <w:lock w:val="sdtLocked"/>
                          <w:richText/>
                        </w:sdtPr>
                        <w:sdtContent>
                          <w:r>
                            <w:rPr>
                              <w:bCs/>
                              <w:color w:val="000000"/>
                              <w:szCs w:val="24"/>
                            </w:rPr>
                            <w:t>32.2</w:t>
                          </w:r>
                        </w:sdtContent>
                      </w:sdt>
                      <w:r>
                        <w:rPr>
                          <w:bCs/>
                          <w:color w:val="000000"/>
                          <w:szCs w:val="24"/>
                        </w:rPr>
                        <w:t xml:space="preserve">.  sklypo riba nutolusi didesniu kaip 100 m atstumu iki paviršinio vandens telkinio, šachtinio šulinio,  požeminio vandens vandenvietės, įskaitant vandens išgavimo įrenginius.</w:t>
                      </w:r>
                    </w:p>
                  </w:sdtContent>
                </w:sdt>
              </w:sdtContent>
            </w:sdt>
            <w:sdt>
              <w:sdtPr>
                <w:alias w:val="33 p."/>
                <w:tag w:val="part_69cb75efade64fec8c6e54f932a5e875"/>
                <w:lock w:val="sdtLocked"/>
                <w:richText/>
              </w:sdtPr>
              <w:sdtContent>
                <w:p>
                  <w:pPr>
                    <w:tabs>
                      <w:tab w:val="left" w:pos="993"/>
                      <w:tab w:val="left" w:pos="1276"/>
                    </w:tabs>
                    <w:ind w:firstLine="567"/>
                    <w:jc w:val="both"/>
                    <w:rPr>
                      <w:bCs/>
                      <w:color w:val="000000"/>
                      <w:szCs w:val="24"/>
                    </w:rPr>
                  </w:pPr>
                  <w:sdt>
                    <w:sdtPr>
                      <w:alias w:val="Numeris"/>
                      <w:tag w:val="nr_69cb75efade64fec8c6e54f932a5e875"/>
                      <w:lock w:val="sdtLocked"/>
                      <w:richText/>
                    </w:sdtPr>
                    <w:sdtContent>
                      <w:r>
                        <w:rPr>
                          <w:bCs/>
                          <w:color w:val="000000"/>
                          <w:szCs w:val="24"/>
                        </w:rPr>
                        <w:t>33</w:t>
                      </w:r>
                    </w:sdtContent>
                  </w:sdt>
                  <w:r>
                    <w:rPr>
                      <w:bCs/>
                      <w:color w:val="000000"/>
                      <w:szCs w:val="24"/>
                    </w:rPr>
                    <w:t>.</w:t>
                    <w:tab/>
                    <w:t xml:space="preserve"> Palaidų pelenų ir šlako atliekų pakuotės, konteineriai (talpos) turi būti sukonstruoti ir pagaminti taip, kad juose esančios palaidų apdorotų pelenų ir šlako atliekos neišsipiltų, neišsibarstytų ar kitaip nepatektų į aplinką. </w:t>
                  </w:r>
                </w:p>
                <w:p>
                  <w:pPr>
                    <w:tabs>
                      <w:tab w:val="left" w:pos="993"/>
                    </w:tabs>
                    <w:ind w:left="-142" w:firstLine="709"/>
                    <w:jc w:val="both"/>
                    <w:rPr>
                      <w:color w:val="000000"/>
                      <w:szCs w:val="24"/>
                    </w:rPr>
                  </w:pPr>
                </w:p>
              </w:sdtContent>
            </w:sdt>
          </w:sdtContent>
        </w:sdt>
        <w:sdt>
          <w:sdtPr>
            <w:alias w:val="skyrius"/>
            <w:tag w:val="part_5d38e26ccc474315bcdf802ce2a92e11"/>
            <w:lock w:val="sdtLocked"/>
            <w:richText/>
          </w:sdtPr>
          <w:sdtContent>
            <w:p>
              <w:pPr>
                <w:jc w:val="center"/>
                <w:rPr>
                  <w:b/>
                  <w:color w:val="000000"/>
                  <w:szCs w:val="24"/>
                </w:rPr>
              </w:pPr>
              <w:sdt>
                <w:sdtPr>
                  <w:alias w:val="Numeris"/>
                  <w:tag w:val="nr_5d38e26ccc474315bcdf802ce2a92e11"/>
                  <w:lock w:val="sdtLocked"/>
                  <w:richText/>
                </w:sdtPr>
                <w:sdtContent>
                  <w:r>
                    <w:rPr>
                      <w:b/>
                      <w:color w:val="000000"/>
                      <w:szCs w:val="24"/>
                    </w:rPr>
                    <w:t>V</w:t>
                  </w:r>
                </w:sdtContent>
              </w:sdt>
              <w:r>
                <w:rPr>
                  <w:b/>
                  <w:color w:val="000000"/>
                  <w:szCs w:val="24"/>
                </w:rPr>
                <w:t xml:space="preserve"> SKYRIUS</w:t>
              </w:r>
            </w:p>
            <w:p>
              <w:pPr>
                <w:ind w:firstLine="629"/>
                <w:jc w:val="center"/>
                <w:rPr>
                  <w:b/>
                  <w:color w:val="000000"/>
                  <w:szCs w:val="24"/>
                </w:rPr>
              </w:pPr>
              <w:sdt>
                <w:sdtPr>
                  <w:alias w:val="Pavadinimas"/>
                  <w:tag w:val="title_5d38e26ccc474315bcdf802ce2a92e11"/>
                  <w:lock w:val="sdtLocked"/>
                  <w:richText/>
                </w:sdtPr>
                <w:sdtContent>
                  <w:r>
                    <w:rPr>
                      <w:b/>
                      <w:color w:val="000000"/>
                      <w:szCs w:val="24"/>
                    </w:rPr>
                    <w:t>PELENŲ IR ŠLAKO ATLIEKŲ NELAIKYMO ATLIEKOMIS KRITERIJAI</w:t>
                  </w:r>
                </w:sdtContent>
              </w:sdt>
            </w:p>
            <w:p>
              <w:pPr>
                <w:ind w:firstLine="629"/>
                <w:jc w:val="center"/>
                <w:rPr>
                  <w:b/>
                  <w:color w:val="000000"/>
                  <w:szCs w:val="24"/>
                </w:rPr>
              </w:pPr>
            </w:p>
            <w:sdt>
              <w:sdtPr>
                <w:alias w:val="34 p."/>
                <w:tag w:val="part_d291d70a6764476a83daaaf419805737"/>
                <w:lock w:val="sdtLocked"/>
                <w:richText/>
              </w:sdtPr>
              <w:sdtContent>
                <w:p>
                  <w:pPr>
                    <w:tabs>
                      <w:tab w:val="left" w:pos="993"/>
                      <w:tab w:val="left" w:pos="1276"/>
                    </w:tabs>
                    <w:ind w:firstLine="567"/>
                    <w:jc w:val="both"/>
                    <w:rPr>
                      <w:bCs/>
                      <w:color w:val="000000"/>
                      <w:szCs w:val="24"/>
                    </w:rPr>
                  </w:pPr>
                  <w:sdt>
                    <w:sdtPr>
                      <w:alias w:val="Numeris"/>
                      <w:tag w:val="nr_d291d70a6764476a83daaaf419805737"/>
                      <w:lock w:val="sdtLocked"/>
                      <w:richText/>
                    </w:sdtPr>
                    <w:sdtContent>
                      <w:r>
                        <w:rPr>
                          <w:bCs/>
                          <w:color w:val="000000"/>
                          <w:szCs w:val="24"/>
                        </w:rPr>
                        <w:t>34</w:t>
                      </w:r>
                    </w:sdtContent>
                  </w:sdt>
                  <w:r>
                    <w:rPr>
                      <w:bCs/>
                      <w:color w:val="000000"/>
                      <w:szCs w:val="24"/>
                    </w:rPr>
                    <w:t>.</w:t>
                    <w:tab/>
                    <w:t>Apdorojus pelenų ir šlako atliekas, laikantis Reikalavimų II skyriuje nustatytų reikalavimų, pelenų ir šlako atliekos, nelaikomos atliekomis, jei atitinka šiuos visus kriterijus:</w:t>
                  </w:r>
                </w:p>
                <w:sdt>
                  <w:sdtPr>
                    <w:alias w:val="34.1 pp."/>
                    <w:tag w:val="part_b4d668cca6c5410e841f658b6258a958"/>
                    <w:lock w:val="sdtLocked"/>
                    <w:richText/>
                  </w:sdtPr>
                  <w:sdtContent>
                    <w:p>
                      <w:pPr>
                        <w:tabs>
                          <w:tab w:val="left" w:pos="1134"/>
                        </w:tabs>
                        <w:ind w:firstLine="567"/>
                        <w:jc w:val="both"/>
                        <w:rPr>
                          <w:color w:val="000000"/>
                          <w:szCs w:val="24"/>
                        </w:rPr>
                      </w:pPr>
                      <w:sdt>
                        <w:sdtPr>
                          <w:alias w:val="Numeris"/>
                          <w:tag w:val="nr_b4d668cca6c5410e841f658b6258a958"/>
                          <w:lock w:val="sdtLocked"/>
                          <w:richText/>
                        </w:sdtPr>
                        <w:sdtContent>
                          <w:r>
                            <w:rPr>
                              <w:color w:val="000000"/>
                              <w:szCs w:val="24"/>
                            </w:rPr>
                            <w:t>34.1</w:t>
                          </w:r>
                        </w:sdtContent>
                      </w:sdt>
                      <w:r>
                        <w:rPr>
                          <w:color w:val="000000"/>
                          <w:szCs w:val="24"/>
                        </w:rPr>
                        <w:t>.</w:t>
                        <w:tab/>
                        <w:t xml:space="preserve">skirtos panaudoti statinių statyboje, statybos produktų gamybai </w:t>
                      </w:r>
                      <w:r>
                        <w:rPr>
                          <w:color w:val="000000"/>
                          <w:szCs w:val="24"/>
                          <w:lang w:val="en-US"/>
                        </w:rPr>
                        <w:t xml:space="preserve"> </w:t>
                      </w:r>
                      <w:r>
                        <w:rPr>
                          <w:color w:val="000000"/>
                          <w:szCs w:val="24"/>
                        </w:rPr>
                        <w:t xml:space="preserve">ir atitinka </w:t>
                      </w:r>
                      <w:r>
                        <w:rPr>
                          <w:bCs/>
                          <w:color w:val="000000"/>
                          <w:szCs w:val="24"/>
                        </w:rPr>
                        <w:t xml:space="preserve">techniniuose normatyviniuose </w:t>
                      </w:r>
                      <w:r>
                        <w:rPr>
                          <w:color w:val="000000"/>
                          <w:szCs w:val="24"/>
                        </w:rPr>
                        <w:t>statinio saugos ir paskirties dokumentuose, normatyviniuose techniniuose dokumentuose nustatytus statinio projektavimo, statybos, statinio naudojimo, nugriovimo reikalavimus.</w:t>
                      </w:r>
                    </w:p>
                  </w:sdtContent>
                </w:sdt>
                <w:sdt>
                  <w:sdtPr>
                    <w:alias w:val="34.2 pp."/>
                    <w:tag w:val="part_671e3976704f48d28732a5695fa669f1"/>
                    <w:lock w:val="sdtLocked"/>
                    <w:richText/>
                  </w:sdtPr>
                  <w:sdtContent>
                    <w:p>
                      <w:pPr>
                        <w:tabs>
                          <w:tab w:val="left" w:pos="1134"/>
                        </w:tabs>
                        <w:ind w:firstLine="567"/>
                        <w:jc w:val="both"/>
                        <w:rPr>
                          <w:color w:val="000000"/>
                          <w:szCs w:val="24"/>
                        </w:rPr>
                      </w:pPr>
                      <w:sdt>
                        <w:sdtPr>
                          <w:alias w:val="Numeris"/>
                          <w:tag w:val="nr_671e3976704f48d28732a5695fa669f1"/>
                          <w:lock w:val="sdtLocked"/>
                          <w:richText/>
                        </w:sdtPr>
                        <w:sdtContent>
                          <w:r>
                            <w:rPr>
                              <w:color w:val="000000"/>
                              <w:szCs w:val="24"/>
                            </w:rPr>
                            <w:t>34.2</w:t>
                          </w:r>
                        </w:sdtContent>
                      </w:sdt>
                      <w:r>
                        <w:rPr>
                          <w:color w:val="000000"/>
                          <w:szCs w:val="24"/>
                        </w:rPr>
                        <w:t>.</w:t>
                        <w:tab/>
                        <w:t xml:space="preserve"> įmonė, vykdžiusi p</w:t>
                      </w:r>
                      <w:r>
                        <w:rPr>
                          <w:bCs/>
                          <w:color w:val="000000"/>
                          <w:szCs w:val="24"/>
                        </w:rPr>
                        <w:t xml:space="preserve">elenų ir šlako atliekų apdorojimą, (toliau – cheminės medžiagos gamintojas) tiekia juos rinkai kaip statybos produktą pagal šių produktų pateikimo Lietuvos Respublikos rinkai reikalavimus nustatančius teisės aktus. Vadovaudamasi Statybos įstatymu ar 2011 m. kovo 9 d. Europos Parlamento ir Tarybos reglamentu </w:t>
                      </w:r>
                      <w:fldSimple w:instr="HYPERLINK http://eur-lex.europa.eu/legal-content/LIT/TXT/?uri=CELEX:32011R0305&amp;locale=lt \t _blank">
                        <w:r>
                          <w:rPr>
                            <w:bCs/>
                            <w:color w:val="0000FF" w:themeColor="hyperlink"/>
                            <w:szCs w:val="24"/>
                            <w:u w:val="single"/>
                          </w:rPr>
                          <w:t>(ES) Nr. 305/2011</w:t>
                        </w:r>
                      </w:fldSimple>
                      <w:r>
                        <w:rPr>
                          <w:bCs/>
                          <w:color w:val="000000"/>
                          <w:szCs w:val="24"/>
                        </w:rPr>
                        <w:t xml:space="preserve">, kuriuo nustatomos suderintos statybos produktų rinkodaros sąlygos ir panaikinama Tarybos direktyva </w:t>
                      </w:r>
                      <w:fldSimple w:instr="HYPERLINK http://eur-lex.europa.eu/legal-content/LIT/TXT/?uri=CELEX:31989L0106&amp;locale=lt \t _blank">
                        <w:r>
                          <w:rPr>
                            <w:bCs/>
                            <w:color w:val="0000FF" w:themeColor="hyperlink"/>
                            <w:szCs w:val="24"/>
                            <w:u w:val="single"/>
                          </w:rPr>
                          <w:t>89/106/EEB</w:t>
                        </w:r>
                      </w:fldSimple>
                      <w:r>
                        <w:rPr>
                          <w:bCs/>
                          <w:color w:val="000000"/>
                          <w:szCs w:val="24"/>
                        </w:rPr>
                        <w:t xml:space="preserve"> (toliau – Reglamentas </w:t>
                      </w:r>
                      <w:fldSimple w:instr="HYPERLINK http://eur-lex.europa.eu/legal-content/LIT/TXT/?uri=CELEX:32011R0305&amp;locale=lt \t _blank">
                        <w:r>
                          <w:rPr>
                            <w:bCs/>
                            <w:color w:val="0000FF" w:themeColor="hyperlink"/>
                            <w:szCs w:val="24"/>
                            <w:u w:val="single"/>
                          </w:rPr>
                          <w:t>(ES) Nr. 305/2011</w:t>
                        </w:r>
                      </w:fldSimple>
                      <w:r>
                        <w:rPr>
                          <w:bCs/>
                          <w:color w:val="000000"/>
                          <w:szCs w:val="24"/>
                        </w:rPr>
                        <w:t xml:space="preserve">), cheminės medžiagos gamintojas siuntai parengia ir patvirtina darniosios ar nedarniosios sričių statybos produkto, tiekiamo Lietuvos rinkai, eksploatacinių savybių deklaraciją. Darniosios srities statybos produktų eksploatacinių savybių deklaracija rengiama pagal Reglamentą </w:t>
                      </w:r>
                      <w:fldSimple w:instr="HYPERLINK http://eur-lex.europa.eu/legal-content/LIT/TXT/?uri=CELEX:32011R0305&amp;locale=lt \t _blank">
                        <w:r>
                          <w:rPr>
                            <w:bCs/>
                            <w:color w:val="0000FF" w:themeColor="hyperlink"/>
                            <w:szCs w:val="24"/>
                            <w:u w:val="single"/>
                          </w:rPr>
                          <w:t>(ES) Nr. 305/2011</w:t>
                        </w:r>
                      </w:fldSimple>
                      <w:r>
                        <w:rPr>
                          <w:bCs/>
                          <w:color w:val="000000"/>
                          <w:szCs w:val="24"/>
                        </w:rPr>
                        <w:t xml:space="preserve"> ir jame nustatytą formą, nedarniosios srities – pagal Statybos techninį reglamentą STR 1.01.04:2015 „Statybos produktų, neturinčių darniųjų techninių specifikacijų, eksploatacinių savybių pastovumo vertinimas, tikrinimas ir deklaravimas. Bandymų laboratorijų ir sertifikavimo įstaigų paskyrimas. Nacionaliniai techniniai įvertinimai ir techninio vertinimo įstaigų paskyrimas ir paskelbimas“, patvirtintą Lietuvos Respublikos aplinkos ministro 2015 m. gruodžio 10 d. įsakymu Nr. D1-901 „Dėl Statybos techninio reglamento STR 1.01.04:2015 „Statybos produktų, neturinčių darniųjų techninių specifikacijų, eksploatacinių savybių pastovumo vertinimas, tikrinimas ir deklaravimas. Bandymų laboratorijų ir sertifikavimo įstaigų paskyrimas. Nacionaliniai techniniai įvertinimai ir techninio vertinimo įstaigų paskyrimas ir paskelbimas“ patvirtinimo“ ir jame nustatytą formą;</w:t>
                      </w:r>
                      <w:r>
                        <w:rPr>
                          <w:lang w:eastAsia="lt-LT"/>
                        </w:rPr>
                        <w:t xml:space="preserve"> </w:t>
                      </w:r>
                    </w:p>
                  </w:sdtContent>
                </w:sdt>
                <w:sdt>
                  <w:sdtPr>
                    <w:alias w:val="34.3 pp."/>
                    <w:tag w:val="part_fa9fce798a664150b20923f458118dc9"/>
                    <w:lock w:val="sdtLocked"/>
                    <w:richText/>
                  </w:sdtPr>
                  <w:sdtContent>
                    <w:p>
                      <w:pPr>
                        <w:tabs>
                          <w:tab w:val="left" w:pos="1134"/>
                        </w:tabs>
                        <w:ind w:firstLine="567"/>
                        <w:jc w:val="both"/>
                        <w:rPr>
                          <w:color w:val="000000"/>
                          <w:szCs w:val="24"/>
                        </w:rPr>
                      </w:pPr>
                      <w:sdt>
                        <w:sdtPr>
                          <w:alias w:val="Numeris"/>
                          <w:tag w:val="nr_fa9fce798a664150b20923f458118dc9"/>
                          <w:lock w:val="sdtLocked"/>
                          <w:richText/>
                        </w:sdtPr>
                        <w:sdtContent>
                          <w:r>
                            <w:rPr>
                              <w:color w:val="000000"/>
                              <w:szCs w:val="24"/>
                            </w:rPr>
                            <w:t>34.3</w:t>
                          </w:r>
                        </w:sdtContent>
                      </w:sdt>
                      <w:r>
                        <w:rPr>
                          <w:color w:val="000000"/>
                          <w:szCs w:val="24"/>
                        </w:rPr>
                        <w:t>.</w:t>
                        <w:tab/>
                        <w:t xml:space="preserve">metalų: </w:t>
                      </w:r>
                      <w:r>
                        <w:rPr>
                          <w:bCs/>
                          <w:color w:val="000000"/>
                          <w:szCs w:val="24"/>
                        </w:rPr>
                        <w:t xml:space="preserve">cinko (Zn), vario (Cu), švino (Pb), bario (Ba), chromo (Cr), gyvsidabris (Hg) nikelio (Ni), alavo (Sn), stroncio (Sr), arseno (As), kadmio (Cd), vanadis  (V) molibdenas (Mo), mangano (Mn) ir kobalto (Co) </w:t>
                      </w:r>
                      <w:r>
                        <w:rPr>
                          <w:color w:val="000000"/>
                          <w:szCs w:val="24"/>
                        </w:rPr>
                        <w:t xml:space="preserve">likutis pelenų ir šlako atliekose sudaro ne daugiau kaip 5 (penkis) procentus pelenų ar šlako svorio, bendros organinės anglies kiekis pelenų ir šlako atliekose –  ne didesnis kaip 3 (trys) procentai pelenų ir šlako atliekų svorio, iškaitinimo nuostolis ne didesnis kaip 6 (šeši) procentai, o išplovimo rodikliai neviršija Reikalavimų 4 priede nurodytų verčių;</w:t>
                      </w:r>
                      <w:r>
                        <w:rPr>
                          <w:rFonts w:ascii="Courier New" w:hAnsi="Courier New" w:cs="Courier New"/>
                          <w:sz w:val="20"/>
                          <w:lang w:eastAsia="lt-LT"/>
                        </w:rPr>
                        <w:t xml:space="preserve"> </w:t>
                      </w:r>
                    </w:p>
                  </w:sdtContent>
                </w:sdt>
                <w:sdt>
                  <w:sdtPr>
                    <w:alias w:val="34.4 pp."/>
                    <w:tag w:val="part_81b81a5346154645a0f74039650cb7d7"/>
                    <w:lock w:val="sdtLocked"/>
                    <w:richText/>
                  </w:sdtPr>
                  <w:sdtContent>
                    <w:p>
                      <w:pPr>
                        <w:tabs>
                          <w:tab w:val="left" w:pos="1134"/>
                        </w:tabs>
                        <w:ind w:firstLine="567"/>
                        <w:jc w:val="both"/>
                        <w:rPr>
                          <w:color w:val="000000"/>
                          <w:szCs w:val="24"/>
                        </w:rPr>
                      </w:pPr>
                      <w:sdt>
                        <w:sdtPr>
                          <w:alias w:val="Numeris"/>
                          <w:tag w:val="nr_81b81a5346154645a0f74039650cb7d7"/>
                          <w:lock w:val="sdtLocked"/>
                          <w:richText/>
                        </w:sdtPr>
                        <w:sdtContent>
                          <w:r>
                            <w:rPr>
                              <w:color w:val="000000"/>
                              <w:szCs w:val="24"/>
                            </w:rPr>
                            <w:t>34.4</w:t>
                          </w:r>
                        </w:sdtContent>
                      </w:sdt>
                      <w:r>
                        <w:rPr>
                          <w:color w:val="000000"/>
                          <w:szCs w:val="24"/>
                        </w:rPr>
                        <w:t>.</w:t>
                        <w:tab/>
                      </w:r>
                      <w:r>
                        <w:rPr>
                          <w:color w:val="000000"/>
                          <w:szCs w:val="24"/>
                        </w:rPr>
                        <w:t xml:space="preserve">atitinka reikalavimus dėl cheminės medžiagos registracijos, nustatytus 2006 m. gruodžio 18 d. Europos Parlamento ir Tarybos reglamente </w:t>
                      </w:r>
                      <w:fldSimple w:instr="HYPERLINK http://eur-lex.europa.eu/legal-content/LIT/TXT/?uri=CELEX:32006R1907&amp;locale=lt \t _blank">
                        <w:r>
                          <w:rPr>
                            <w:color w:val="0000FF" w:themeColor="hyperlink"/>
                            <w:szCs w:val="24"/>
                            <w:u w:val="single"/>
                          </w:rPr>
                          <w:t>(EB) Nr. 1907/2006</w:t>
                        </w:r>
                      </w:fldSimple>
                      <w:r>
                        <w:rPr>
                          <w:color w:val="000000"/>
                          <w:szCs w:val="24"/>
                        </w:rPr>
                        <w:t xml:space="preserve"> dėl cheminių medžiagų registracijos, įvertinimo, autorizacijos ir apribojimų (REACH), įsteigiančio Europos cheminių medžiagų agentūrą, iš dalies keičiančio Direktyvą </w:t>
                      </w:r>
                      <w:fldSimple w:instr="HYPERLINK http://eur-lex.europa.eu/legal-content/LIT/TXT/?uri=CELEX:31999L0045&amp;locale=lt \t _blank">
                        <w:r>
                          <w:rPr>
                            <w:color w:val="0000FF" w:themeColor="hyperlink"/>
                            <w:szCs w:val="24"/>
                            <w:u w:val="single"/>
                          </w:rPr>
                          <w:t>1999/45/EB</w:t>
                        </w:r>
                      </w:fldSimple>
                      <w:r>
                        <w:rPr>
                          <w:color w:val="000000"/>
                          <w:szCs w:val="24"/>
                        </w:rPr>
                        <w:t xml:space="preserve"> bei panaikinančio Tarybos reglamentą </w:t>
                      </w:r>
                      <w:fldSimple w:instr="HYPERLINK http://eur-lex.europa.eu/legal-content/LIT/TXT/?uri=CELEX:31993R0793&amp;locale=lt \t _blank">
                        <w:r>
                          <w:rPr>
                            <w:color w:val="0000FF" w:themeColor="hyperlink"/>
                            <w:szCs w:val="24"/>
                            <w:u w:val="single"/>
                          </w:rPr>
                          <w:t>(EEB) Nr. 793/93</w:t>
                        </w:r>
                      </w:fldSimple>
                      <w:r>
                        <w:rPr>
                          <w:color w:val="000000"/>
                          <w:szCs w:val="24"/>
                        </w:rPr>
                        <w:t xml:space="preserve">, Komisijos reglamentą </w:t>
                      </w:r>
                      <w:fldSimple w:instr="HYPERLINK http://eur-lex.europa.eu/legal-content/LIT/TXT/?uri=CELEX:31994R1488&amp;locale=lt \t _blank">
                        <w:r>
                          <w:rPr>
                            <w:color w:val="0000FF" w:themeColor="hyperlink"/>
                            <w:szCs w:val="24"/>
                            <w:u w:val="single"/>
                          </w:rPr>
                          <w:t>(EB) Nr. 1488/94</w:t>
                        </w:r>
                      </w:fldSimple>
                      <w:r>
                        <w:rPr>
                          <w:color w:val="000000"/>
                          <w:szCs w:val="24"/>
                        </w:rPr>
                        <w:t xml:space="preserve">, Tarybos direktyvą </w:t>
                      </w:r>
                      <w:fldSimple w:instr="HYPERLINK http://eur-lex.europa.eu/legal-content/LIT/TXT/?uri=CELEX:31976L0769&amp;locale=lt \t _blank">
                        <w:r>
                          <w:rPr>
                            <w:color w:val="0000FF" w:themeColor="hyperlink"/>
                            <w:szCs w:val="24"/>
                            <w:u w:val="single"/>
                          </w:rPr>
                          <w:t>76/769/EEB</w:t>
                        </w:r>
                      </w:fldSimple>
                      <w:r>
                        <w:rPr>
                          <w:color w:val="000000"/>
                          <w:szCs w:val="24"/>
                        </w:rPr>
                        <w:t xml:space="preserve"> ir Komisijos direktyvas </w:t>
                      </w:r>
                      <w:fldSimple w:instr="HYPERLINK http://eur-lex.europa.eu/legal-content/LIT/TXT/?uri=CELEX:31991L0155&amp;locale=lt \t _blank">
                        <w:r>
                          <w:rPr>
                            <w:color w:val="0000FF" w:themeColor="hyperlink"/>
                            <w:szCs w:val="24"/>
                            <w:u w:val="single"/>
                          </w:rPr>
                          <w:t>91/155/EEB</w:t>
                        </w:r>
                      </w:fldSimple>
                      <w:r>
                        <w:rPr>
                          <w:color w:val="000000"/>
                          <w:szCs w:val="24"/>
                        </w:rPr>
                        <w:t xml:space="preserve">, </w:t>
                      </w:r>
                      <w:fldSimple w:instr="HYPERLINK http://eur-lex.europa.eu/legal-content/LIT/TXT/?uri=CELEX:31993L0067&amp;locale=lt \t _blank">
                        <w:r>
                          <w:rPr>
                            <w:color w:val="0000FF" w:themeColor="hyperlink"/>
                            <w:szCs w:val="24"/>
                            <w:u w:val="single"/>
                          </w:rPr>
                          <w:t>93/67/EEB</w:t>
                        </w:r>
                      </w:fldSimple>
                      <w:r>
                        <w:rPr>
                          <w:color w:val="000000"/>
                          <w:szCs w:val="24"/>
                        </w:rPr>
                        <w:t xml:space="preserve">, </w:t>
                      </w:r>
                      <w:fldSimple w:instr="HYPERLINK http://eur-lex.europa.eu/legal-content/LIT/TXT/?uri=CELEX:31993L0105&amp;locale=lt \t _blank">
                        <w:r>
                          <w:rPr>
                            <w:color w:val="0000FF" w:themeColor="hyperlink"/>
                            <w:szCs w:val="24"/>
                            <w:u w:val="single"/>
                          </w:rPr>
                          <w:t>93/105/EB</w:t>
                        </w:r>
                      </w:fldSimple>
                      <w:r>
                        <w:rPr>
                          <w:color w:val="000000"/>
                          <w:szCs w:val="24"/>
                        </w:rPr>
                        <w:t xml:space="preserve"> bei </w:t>
                      </w:r>
                      <w:fldSimple w:instr="HYPERLINK http://eur-lex.europa.eu/legal-content/LIT/TXT/?uri=CELEX:32000L0021&amp;locale=lt \t _blank">
                        <w:r>
                          <w:rPr>
                            <w:color w:val="0000FF" w:themeColor="hyperlink"/>
                            <w:szCs w:val="24"/>
                            <w:u w:val="single"/>
                          </w:rPr>
                          <w:t>2000/21/EB</w:t>
                        </w:r>
                      </w:fldSimple>
                      <w:r>
                        <w:rPr>
                          <w:color w:val="000000"/>
                          <w:szCs w:val="24"/>
                        </w:rPr>
                        <w:t xml:space="preserve"> su visais pakeitimais (toliau – REACH reglamentas), išskyrus atvejus, kai pelenų ir šlako gaminama mažiau kaip 1 tona per metus, ar pelenų ir šlako registracijai suteikta išimtis produkto ir technologiniam tyrimui bei plėtrai pagal REACH reglamento 9 straipsnį;</w:t>
                      </w:r>
                    </w:p>
                  </w:sdtContent>
                </w:sdt>
                <w:sdt>
                  <w:sdtPr>
                    <w:alias w:val="34.5 pp."/>
                    <w:tag w:val="part_7652e52e813e442fa0b5237cdbd5c8c6"/>
                    <w:lock w:val="sdtLocked"/>
                    <w:richText/>
                  </w:sdtPr>
                  <w:sdtContent>
                    <w:p>
                      <w:pPr>
                        <w:tabs>
                          <w:tab w:val="left" w:pos="1134"/>
                        </w:tabs>
                        <w:ind w:firstLine="567"/>
                        <w:jc w:val="both"/>
                        <w:rPr>
                          <w:color w:val="000000"/>
                          <w:szCs w:val="24"/>
                        </w:rPr>
                      </w:pPr>
                      <w:sdt>
                        <w:sdtPr>
                          <w:alias w:val="Numeris"/>
                          <w:tag w:val="nr_7652e52e813e442fa0b5237cdbd5c8c6"/>
                          <w:lock w:val="sdtLocked"/>
                          <w:richText/>
                        </w:sdtPr>
                        <w:sdtContent>
                          <w:r>
                            <w:rPr>
                              <w:color w:val="000000"/>
                              <w:szCs w:val="24"/>
                            </w:rPr>
                            <w:t>34.5</w:t>
                          </w:r>
                        </w:sdtContent>
                      </w:sdt>
                      <w:r>
                        <w:rPr>
                          <w:color w:val="000000"/>
                          <w:szCs w:val="24"/>
                        </w:rPr>
                        <w:t>.</w:t>
                        <w:tab/>
                        <w:t xml:space="preserve">cheminės medžiagos gamintojas parengė ir patvirtino cheminės medžiagos siuntos atitikties atliekų nelaikymo atliekomis kriterijams, nurodytiems Reikalavimų 34.1–34.4 papunkčiuose, deklaraciją pagal Reikalavimų 6 priede nustatytą formą (toliau – atitikties deklaracija); </w:t>
                      </w:r>
                    </w:p>
                  </w:sdtContent>
                </w:sdt>
                <w:sdt>
                  <w:sdtPr>
                    <w:alias w:val="34.6 pp."/>
                    <w:tag w:val="part_a450c235f7224138b739655254a4c7d6"/>
                    <w:lock w:val="sdtLocked"/>
                    <w:richText/>
                  </w:sdtPr>
                  <w:sdtContent>
                    <w:p>
                      <w:pPr>
                        <w:widowControl w:val="0"/>
                        <w:tabs>
                          <w:tab w:val="left" w:pos="1134"/>
                        </w:tabs>
                        <w:ind w:firstLine="567"/>
                        <w:jc w:val="both"/>
                        <w:rPr>
                          <w:color w:val="000000"/>
                          <w:szCs w:val="24"/>
                        </w:rPr>
                      </w:pPr>
                      <w:sdt>
                        <w:sdtPr>
                          <w:alias w:val="Numeris"/>
                          <w:tag w:val="nr_a450c235f7224138b739655254a4c7d6"/>
                          <w:lock w:val="sdtLocked"/>
                          <w:richText/>
                        </w:sdtPr>
                        <w:sdtContent>
                          <w:r>
                            <w:rPr>
                              <w:color w:val="000000"/>
                              <w:szCs w:val="24"/>
                            </w:rPr>
                            <w:t>34.6</w:t>
                          </w:r>
                        </w:sdtContent>
                      </w:sdt>
                      <w:r>
                        <w:rPr>
                          <w:color w:val="000000"/>
                          <w:szCs w:val="24"/>
                        </w:rPr>
                        <w:t>.</w:t>
                        <w:tab/>
                        <w:t xml:space="preserve"> cheminės medžiagos gamintojas pats panaudoja pelenus ir šlaką pagal paskirtį, nurodytą Reikalavimų 34.1 papunktyje, arba pateikia rinkai per 1 </w:t>
                      </w:r>
                      <w:r>
                        <w:rPr>
                          <w:szCs w:val="24"/>
                        </w:rPr>
                        <w:t xml:space="preserve">(vieną) </w:t>
                      </w:r>
                      <w:r>
                        <w:rPr>
                          <w:color w:val="000000"/>
                          <w:szCs w:val="24"/>
                        </w:rPr>
                        <w:t>mėnesį nuo atitikties deklaracijos, nurodytos Reikalavimų 34.5 papunktyje, patvirtinimo.</w:t>
                      </w:r>
                    </w:p>
                  </w:sdtContent>
                </w:sdt>
              </w:sdtContent>
            </w:sdt>
            <w:sdt>
              <w:sdtPr>
                <w:alias w:val="35 p."/>
                <w:tag w:val="part_a0615a76629f4437a9489e47762d7aa9"/>
                <w:lock w:val="sdtLocked"/>
                <w:richText/>
              </w:sdtPr>
              <w:sdtContent>
                <w:p>
                  <w:pPr>
                    <w:tabs>
                      <w:tab w:val="left" w:pos="993"/>
                    </w:tabs>
                    <w:ind w:firstLine="567"/>
                    <w:jc w:val="both"/>
                    <w:rPr>
                      <w:rFonts w:eastAsia="Courier New"/>
                      <w:szCs w:val="24"/>
                      <w:shd w:val="clear" w:color="auto" w:fill="FFFFFF"/>
                      <w:lang w:eastAsia="de-DE" w:bidi="de-DE"/>
                    </w:rPr>
                  </w:pPr>
                  <w:sdt>
                    <w:sdtPr>
                      <w:alias w:val="Numeris"/>
                      <w:tag w:val="nr_a0615a76629f4437a9489e47762d7aa9"/>
                      <w:lock w:val="sdtLocked"/>
                      <w:richText/>
                    </w:sdtPr>
                    <w:sdtContent>
                      <w:r>
                        <w:rPr>
                          <w:rFonts w:eastAsia="Courier New"/>
                          <w:szCs w:val="24"/>
                          <w:lang w:eastAsia="de-DE" w:bidi="de-DE"/>
                        </w:rPr>
                        <w:t>35</w:t>
                      </w:r>
                    </w:sdtContent>
                  </w:sdt>
                  <w:r>
                    <w:rPr>
                      <w:rFonts w:eastAsia="Courier New"/>
                      <w:szCs w:val="24"/>
                      <w:lang w:eastAsia="de-DE" w:bidi="de-DE"/>
                    </w:rPr>
                    <w:t>.</w:t>
                    <w:tab/>
                  </w:r>
                  <w:r>
                    <w:rPr>
                      <w:rFonts w:eastAsia="Courier New"/>
                      <w:szCs w:val="24"/>
                      <w:shd w:val="clear" w:color="auto" w:fill="FFFFFF"/>
                      <w:lang w:eastAsia="de-DE" w:bidi="de-DE"/>
                    </w:rPr>
                    <w:t xml:space="preserve"> Cheminė medžiaga laikoma atliekomis ir turi būti perduota atliekų tvarkytojams, turintiems teisę tvarkyti tokias atliekas, jei ši cheminė medžiaga nepanaudojama pagal Reikalavimų 34.1 papunktyje nurodytą paskirtį per 6 (šešis) mėnesius nuo atitikties deklaracijos, nurodytos 34.5 papunktyje, (toliau – cheminės medžiagos panaudojimo terminas) patvirtinimo, arba jei po šios atitikties deklaracijos patvirtinimo paaiškėja, kad </w:t>
                  </w:r>
                  <w:r>
                    <w:rPr>
                      <w:rFonts w:eastAsia="Courier New"/>
                      <w:bCs/>
                      <w:szCs w:val="24"/>
                      <w:shd w:val="clear" w:color="auto" w:fill="FFFFFF"/>
                      <w:lang w:eastAsia="de-DE" w:bidi="de-DE"/>
                    </w:rPr>
                    <w:t xml:space="preserve">atitikties deklaracijoje pateikti melagingi duomenys arba ji išduota neteisėtai. </w:t>
                  </w:r>
                  <w:r>
                    <w:rPr>
                      <w:rFonts w:eastAsia="Courier New"/>
                      <w:szCs w:val="24"/>
                      <w:shd w:val="clear" w:color="auto" w:fill="FFFFFF"/>
                      <w:lang w:eastAsia="de-DE" w:bidi="de-DE"/>
                    </w:rPr>
                    <w:t>Dėl objektyvių priežasčių</w:t>
                  </w:r>
                  <w:r>
                    <w:t xml:space="preserve"> </w:t>
                  </w:r>
                  <w:r>
                    <w:rPr>
                      <w:rFonts w:eastAsia="Courier New"/>
                      <w:szCs w:val="24"/>
                      <w:shd w:val="clear" w:color="auto" w:fill="FFFFFF"/>
                      <w:lang w:eastAsia="de-DE" w:bidi="de-DE"/>
                    </w:rPr>
                    <w:t>(nenumatytų aplinkybių, kliūčių, gamtinių oro sąlygų) Aplinkos apsaugos departamento sprendimu, cheminės medžiagos panaudojimo terminas gali būti pratęstas vieną kartą ne ilgiau kaip 3 (trims) mėnesiams. Cheminės medžiagos naudotojas prašymą cheminės medžiagos panaudojimo termino pratęsimui su nurodytomis objektyviomis aplinkybėmis turi pateikti Aplinkos apsaugos departamentui</w:t>
                  </w:r>
                  <w:r>
                    <w:rPr>
                      <w:rFonts w:eastAsia="Courier New"/>
                      <w:iCs/>
                      <w:szCs w:val="24"/>
                      <w:shd w:val="clear" w:color="auto" w:fill="FFFFFF"/>
                      <w:lang w:eastAsia="de-DE" w:bidi="de-DE"/>
                    </w:rPr>
                    <w:t xml:space="preserve"> ne vėliau</w:t>
                  </w:r>
                  <w:r>
                    <w:rPr>
                      <w:rFonts w:eastAsia="Courier New"/>
                      <w:szCs w:val="24"/>
                      <w:shd w:val="clear" w:color="auto" w:fill="FFFFFF"/>
                      <w:lang w:eastAsia="de-DE" w:bidi="de-DE"/>
                    </w:rPr>
                    <w:t xml:space="preserve"> kaip prieš 20 (dvidešimt) darbo dienų iki termino pabaigos.</w:t>
                  </w:r>
                </w:p>
                <w:p>
                  <w:pPr>
                    <w:jc w:val="center"/>
                    <w:rPr>
                      <w:b/>
                      <w:bCs/>
                      <w:color w:val="000000"/>
                      <w:szCs w:val="24"/>
                    </w:rPr>
                  </w:pPr>
                </w:p>
              </w:sdtContent>
            </w:sdt>
          </w:sdtContent>
        </w:sdt>
        <w:sdt>
          <w:sdtPr>
            <w:alias w:val="skyrius"/>
            <w:tag w:val="part_59f041dca0f648e19255cade48e9e729"/>
            <w:lock w:val="sdtLocked"/>
            <w:richText/>
          </w:sdtPr>
          <w:sdtContent>
            <w:p>
              <w:pPr>
                <w:jc w:val="center"/>
                <w:rPr>
                  <w:b/>
                  <w:bCs/>
                  <w:color w:val="000000"/>
                  <w:szCs w:val="24"/>
                </w:rPr>
              </w:pPr>
              <w:sdt>
                <w:sdtPr>
                  <w:alias w:val="Numeris"/>
                  <w:tag w:val="nr_59f041dca0f648e19255cade48e9e729"/>
                  <w:lock w:val="sdtLocked"/>
                  <w:richText/>
                </w:sdtPr>
                <w:sdtContent>
                  <w:r>
                    <w:rPr>
                      <w:b/>
                      <w:bCs/>
                      <w:color w:val="000000"/>
                      <w:szCs w:val="24"/>
                    </w:rPr>
                    <w:t>VI</w:t>
                  </w:r>
                </w:sdtContent>
              </w:sdt>
              <w:r>
                <w:rPr>
                  <w:b/>
                  <w:bCs/>
                  <w:color w:val="000000"/>
                  <w:szCs w:val="24"/>
                </w:rPr>
                <w:t xml:space="preserve"> SKYRIUS</w:t>
              </w:r>
            </w:p>
            <w:p>
              <w:pPr>
                <w:ind w:firstLine="62"/>
                <w:jc w:val="center"/>
                <w:rPr>
                  <w:b/>
                  <w:bCs/>
                  <w:color w:val="000000"/>
                  <w:szCs w:val="24"/>
                </w:rPr>
              </w:pPr>
              <w:sdt>
                <w:sdtPr>
                  <w:alias w:val="Pavadinimas"/>
                  <w:tag w:val="title_59f041dca0f648e19255cade48e9e729"/>
                  <w:lock w:val="sdtLocked"/>
                  <w:richText/>
                </w:sdtPr>
                <w:sdtContent>
                  <w:r>
                    <w:rPr>
                      <w:b/>
                      <w:bCs/>
                      <w:color w:val="000000"/>
                      <w:szCs w:val="24"/>
                    </w:rPr>
                    <w:t>REIKALAVIMAI CHEMINĖS MEDŽIAGOS LAIKYMUI, KROVIMUI, VEŽIMUI IR PANAUDOJIMUI</w:t>
                  </w:r>
                </w:sdtContent>
              </w:sdt>
            </w:p>
            <w:p>
              <w:pPr>
                <w:ind w:firstLine="62"/>
                <w:jc w:val="center"/>
                <w:rPr>
                  <w:bCs/>
                  <w:color w:val="000000"/>
                  <w:szCs w:val="24"/>
                </w:rPr>
              </w:pPr>
            </w:p>
            <w:sdt>
              <w:sdtPr>
                <w:alias w:val="36 p."/>
                <w:tag w:val="part_fd75068f82a943469c7f0bfcd215194d"/>
                <w:lock w:val="sdtLocked"/>
                <w:richText/>
              </w:sdtPr>
              <w:sdtContent>
                <w:p>
                  <w:pPr>
                    <w:tabs>
                      <w:tab w:val="left" w:pos="993"/>
                    </w:tabs>
                    <w:ind w:firstLine="567"/>
                    <w:jc w:val="both"/>
                    <w:rPr>
                      <w:bCs/>
                      <w:color w:val="000000"/>
                      <w:szCs w:val="24"/>
                    </w:rPr>
                  </w:pPr>
                  <w:sdt>
                    <w:sdtPr>
                      <w:alias w:val="Numeris"/>
                      <w:tag w:val="nr_fd75068f82a943469c7f0bfcd215194d"/>
                      <w:lock w:val="sdtLocked"/>
                      <w:richText/>
                    </w:sdtPr>
                    <w:sdtContent>
                      <w:r>
                        <w:rPr>
                          <w:bCs/>
                          <w:color w:val="000000"/>
                          <w:szCs w:val="24"/>
                        </w:rPr>
                        <w:t>36</w:t>
                      </w:r>
                    </w:sdtContent>
                  </w:sdt>
                  <w:r>
                    <w:rPr>
                      <w:bCs/>
                      <w:color w:val="000000"/>
                      <w:szCs w:val="24"/>
                    </w:rPr>
                    <w:t>.</w:t>
                    <w:tab/>
                    <w:t xml:space="preserve">Cheminė medžiaga turi būti laikoma, kraunama, vežama ir naudojama taip, kad jų neišnešiotų vėjas, tiesiogiai ar netiesiogiai veikiant krituliams ar atodrėkiui pelenų ir šlako atliekos ar cheminė medžiaga negalėtų patekti į požeminius ir (ar) paviršinius vandens telkinius. </w:t>
                  </w:r>
                </w:p>
              </w:sdtContent>
            </w:sdt>
            <w:sdt>
              <w:sdtPr>
                <w:alias w:val="37 p."/>
                <w:tag w:val="part_d31d990665364fb7a2ed0fff34fef6b1"/>
                <w:lock w:val="sdtLocked"/>
                <w:richText/>
              </w:sdtPr>
              <w:sdtContent>
                <w:p>
                  <w:pPr>
                    <w:tabs>
                      <w:tab w:val="left" w:pos="993"/>
                    </w:tabs>
                    <w:ind w:firstLine="567"/>
                    <w:jc w:val="both"/>
                    <w:rPr>
                      <w:bCs/>
                      <w:color w:val="000000"/>
                      <w:szCs w:val="24"/>
                    </w:rPr>
                  </w:pPr>
                  <w:sdt>
                    <w:sdtPr>
                      <w:alias w:val="Numeris"/>
                      <w:tag w:val="nr_d31d990665364fb7a2ed0fff34fef6b1"/>
                      <w:lock w:val="sdtLocked"/>
                      <w:richText/>
                    </w:sdtPr>
                    <w:sdtContent>
                      <w:r>
                        <w:rPr>
                          <w:bCs/>
                          <w:color w:val="000000"/>
                          <w:szCs w:val="24"/>
                        </w:rPr>
                        <w:t>37</w:t>
                      </w:r>
                    </w:sdtContent>
                  </w:sdt>
                  <w:r>
                    <w:rPr>
                      <w:bCs/>
                      <w:color w:val="000000"/>
                      <w:szCs w:val="24"/>
                    </w:rPr>
                    <w:t>.</w:t>
                    <w:tab/>
                    <w:t xml:space="preserve">Palaidos cheminės medžiagos laikymas turi būti vykdomas uždaroje patalpoje su įrengta dulkių filtravimo ir dujų pašalinimo sistema arba kitu uždaru būdu. Palaidos cheminės medžiagos laikymas atviroje aikštelėje galimas vykdant statinių statybos darbus arba cheminės medžiagos gamintojui laikant savo teritorijoje cheminę medžiagą iki jos pateikimo rinkai. </w:t>
                  </w:r>
                </w:p>
              </w:sdtContent>
            </w:sdt>
            <w:sdt>
              <w:sdtPr>
                <w:alias w:val="38 p."/>
                <w:tag w:val="part_cdd5ebfb0bde445ca0ece252d86b216c"/>
                <w:lock w:val="sdtLocked"/>
                <w:richText/>
              </w:sdtPr>
              <w:sdtContent>
                <w:p>
                  <w:pPr>
                    <w:tabs>
                      <w:tab w:val="left" w:pos="993"/>
                    </w:tabs>
                    <w:ind w:firstLine="567"/>
                    <w:jc w:val="both"/>
                    <w:rPr>
                      <w:bCs/>
                      <w:color w:val="000000"/>
                      <w:szCs w:val="24"/>
                    </w:rPr>
                  </w:pPr>
                  <w:sdt>
                    <w:sdtPr>
                      <w:alias w:val="Numeris"/>
                      <w:tag w:val="nr_cdd5ebfb0bde445ca0ece252d86b216c"/>
                      <w:lock w:val="sdtLocked"/>
                      <w:richText/>
                    </w:sdtPr>
                    <w:sdtContent>
                      <w:r>
                        <w:rPr>
                          <w:bCs/>
                          <w:color w:val="000000"/>
                          <w:szCs w:val="24"/>
                        </w:rPr>
                        <w:t>38</w:t>
                      </w:r>
                    </w:sdtContent>
                  </w:sdt>
                  <w:r>
                    <w:rPr>
                      <w:bCs/>
                      <w:color w:val="000000"/>
                      <w:szCs w:val="24"/>
                    </w:rPr>
                    <w:t>.</w:t>
                    <w:tab/>
                    <w:t xml:space="preserve">Palaidos cheminės medžiagos dulkių susidarymui ir (ar) dulkių sklaidai riboti, laikant, kraunant, vežant palaidą cheminę medžiagą taikomi Minimaliuose reikalavimuose dulkėtumui mažinti nustatyti reikalavimai. </w:t>
                  </w:r>
                </w:p>
              </w:sdtContent>
            </w:sdt>
            <w:sdt>
              <w:sdtPr>
                <w:alias w:val="39 p."/>
                <w:tag w:val="part_54310d29344d4802a03c0f3d0515f7b4"/>
                <w:lock w:val="sdtLocked"/>
                <w:richText/>
              </w:sdtPr>
              <w:sdtContent>
                <w:p>
                  <w:pPr>
                    <w:tabs>
                      <w:tab w:val="left" w:pos="0"/>
                      <w:tab w:val="left" w:pos="993"/>
                    </w:tabs>
                    <w:ind w:firstLine="567"/>
                    <w:jc w:val="both"/>
                    <w:rPr>
                      <w:bCs/>
                      <w:color w:val="000000"/>
                      <w:szCs w:val="24"/>
                    </w:rPr>
                  </w:pPr>
                  <w:sdt>
                    <w:sdtPr>
                      <w:alias w:val="Numeris"/>
                      <w:tag w:val="nr_54310d29344d4802a03c0f3d0515f7b4"/>
                      <w:lock w:val="sdtLocked"/>
                      <w:richText/>
                    </w:sdtPr>
                    <w:sdtContent>
                      <w:r>
                        <w:rPr>
                          <w:bCs/>
                          <w:color w:val="000000"/>
                          <w:szCs w:val="24"/>
                        </w:rPr>
                        <w:t>39</w:t>
                      </w:r>
                    </w:sdtContent>
                  </w:sdt>
                  <w:r>
                    <w:rPr>
                      <w:bCs/>
                      <w:color w:val="000000"/>
                      <w:szCs w:val="24"/>
                    </w:rPr>
                    <w:t>.</w:t>
                    <w:tab/>
                    <w:t>Cheminę medžiagą draudžiama laikyti, krauti, vežti ir panaudoti, jei tokią veiklą konkrečioje vietoje riboja Lietuvos Respublikos specialiųjų žemės naudojimo sąlygų įstatymas.</w:t>
                  </w:r>
                </w:p>
              </w:sdtContent>
            </w:sdt>
            <w:sdt>
              <w:sdtPr>
                <w:alias w:val="40 p."/>
                <w:tag w:val="part_2247602df5044346be3ac8492e440a67"/>
                <w:lock w:val="sdtLocked"/>
                <w:richText/>
              </w:sdtPr>
              <w:sdtContent>
                <w:p>
                  <w:pPr>
                    <w:tabs>
                      <w:tab w:val="left" w:pos="993"/>
                    </w:tabs>
                    <w:ind w:firstLine="567"/>
                    <w:jc w:val="both"/>
                    <w:rPr>
                      <w:bCs/>
                      <w:color w:val="000000"/>
                      <w:szCs w:val="24"/>
                    </w:rPr>
                  </w:pPr>
                  <w:sdt>
                    <w:sdtPr>
                      <w:alias w:val="Numeris"/>
                      <w:tag w:val="nr_2247602df5044346be3ac8492e440a67"/>
                      <w:lock w:val="sdtLocked"/>
                      <w:richText/>
                    </w:sdtPr>
                    <w:sdtContent>
                      <w:r>
                        <w:rPr>
                          <w:bCs/>
                          <w:color w:val="000000"/>
                          <w:szCs w:val="24"/>
                        </w:rPr>
                        <w:t>40</w:t>
                      </w:r>
                    </w:sdtContent>
                  </w:sdt>
                  <w:r>
                    <w:rPr>
                      <w:bCs/>
                      <w:color w:val="000000"/>
                      <w:szCs w:val="24"/>
                    </w:rPr>
                    <w:t>.</w:t>
                    <w:tab/>
                    <w:t>Cheminės medžiagos gamintojo atvira aikštelė, kurioje laikomos cheminės medžiagos iki pateikimo rinkai, turi būti su nelaidžia vandeniui danga arba dugnu ir įrengtos, kad paviršinės nuotekos nuo jų nenutekėtų ant šalia esančių teritorijų ir ant jų nepatektų vanduo nuo šalia esančių teritorijų.</w:t>
                  </w:r>
                </w:p>
              </w:sdtContent>
            </w:sdt>
            <w:sdt>
              <w:sdtPr>
                <w:alias w:val="41 p."/>
                <w:tag w:val="part_f0e5ccb9355d4d66a70ad50becda1b4d"/>
                <w:lock w:val="sdtLocked"/>
                <w:richText/>
              </w:sdtPr>
              <w:sdtContent>
                <w:p>
                  <w:pPr>
                    <w:tabs>
                      <w:tab w:val="left" w:pos="993"/>
                    </w:tabs>
                    <w:ind w:firstLine="567"/>
                    <w:jc w:val="both"/>
                    <w:rPr>
                      <w:bCs/>
                      <w:color w:val="000000"/>
                      <w:szCs w:val="24"/>
                    </w:rPr>
                  </w:pPr>
                  <w:sdt>
                    <w:sdtPr>
                      <w:alias w:val="Numeris"/>
                      <w:tag w:val="nr_f0e5ccb9355d4d66a70ad50becda1b4d"/>
                      <w:lock w:val="sdtLocked"/>
                      <w:richText/>
                    </w:sdtPr>
                    <w:sdtContent>
                      <w:r>
                        <w:rPr>
                          <w:bCs/>
                          <w:color w:val="000000"/>
                          <w:szCs w:val="24"/>
                        </w:rPr>
                        <w:t>41</w:t>
                      </w:r>
                    </w:sdtContent>
                  </w:sdt>
                  <w:r>
                    <w:rPr>
                      <w:bCs/>
                      <w:color w:val="000000"/>
                      <w:szCs w:val="24"/>
                    </w:rPr>
                    <w:t>.</w:t>
                    <w:tab/>
                    <w:t xml:space="preserve">Kai numatoma palaidą cheminę medžiagą laikyti vykdant statinių statybos darbus, cheminės medžiagos laikymo atviroje aikštelėje vieta turi būti </w:t>
                  </w:r>
                  <w:r>
                    <w:rPr>
                      <w:color w:val="000000"/>
                    </w:rPr>
                    <w:t>parinkta tokia, kad aikštelės neapsemtų paviršiniai vandenys liūčių, potvynių metu</w:t>
                  </w:r>
                  <w:r>
                    <w:rPr>
                      <w:bCs/>
                      <w:color w:val="000000"/>
                      <w:szCs w:val="24"/>
                    </w:rPr>
                    <w:t>. Palaidos cheminės medžiagos laikymas ir krovimas vykdant kelių tiesimo ar rekonstravimo darbus gali būti vykdomas atviroje aikštelėje, kurios:</w:t>
                  </w:r>
                </w:p>
                <w:sdt>
                  <w:sdtPr>
                    <w:alias w:val="41.1 pp."/>
                    <w:tag w:val="part_331fb9383c8a4286ab0bc95b6ece4a7d"/>
                    <w:lock w:val="sdtLocked"/>
                    <w:richText/>
                  </w:sdtPr>
                  <w:sdtContent>
                    <w:p>
                      <w:pPr>
                        <w:tabs>
                          <w:tab w:val="left" w:pos="993"/>
                          <w:tab w:val="left" w:pos="1134"/>
                        </w:tabs>
                        <w:ind w:firstLine="567"/>
                        <w:jc w:val="both"/>
                        <w:rPr>
                          <w:bCs/>
                          <w:color w:val="000000"/>
                          <w:szCs w:val="24"/>
                        </w:rPr>
                      </w:pPr>
                      <w:sdt>
                        <w:sdtPr>
                          <w:alias w:val="Numeris"/>
                          <w:tag w:val="nr_331fb9383c8a4286ab0bc95b6ece4a7d"/>
                          <w:lock w:val="sdtLocked"/>
                          <w:richText/>
                        </w:sdtPr>
                        <w:sdtContent>
                          <w:r>
                            <w:rPr>
                              <w:bCs/>
                              <w:color w:val="000000"/>
                              <w:szCs w:val="24"/>
                            </w:rPr>
                            <w:t>41.1</w:t>
                          </w:r>
                        </w:sdtContent>
                      </w:sdt>
                      <w:r>
                        <w:rPr>
                          <w:bCs/>
                          <w:color w:val="000000"/>
                          <w:szCs w:val="24"/>
                        </w:rPr>
                        <w:t>. sklypo riba nutolusi didesniu kaip 250 m atstumu iki gyvenamojo pastato, negyvenamojo (viešbučių, administracinės, prekybos, paslaugų, maitinimo, kultūros, mokslo, gydymo, poilsio, sporto, religinės ar kitos (sodų) paskirties) pastato ar inžinerinio statinio (žaidimams (futbolui, krepšiniui, beisbolui, regbiui, vandens sportui ir panašiai) atvirame ore naudojamo sporto aikštyno, įrengtos vaikų žaidimo, sporto aikštelės.</w:t>
                      </w:r>
                    </w:p>
                  </w:sdtContent>
                </w:sdt>
                <w:sdt>
                  <w:sdtPr>
                    <w:alias w:val="41.2 pp."/>
                    <w:tag w:val="part_312514f690234eefbcbf9c3bd2681f0f"/>
                    <w:lock w:val="sdtLocked"/>
                    <w:richText/>
                  </w:sdtPr>
                  <w:sdtContent>
                    <w:p>
                      <w:pPr>
                        <w:tabs>
                          <w:tab w:val="left" w:pos="993"/>
                          <w:tab w:val="left" w:pos="1134"/>
                        </w:tabs>
                        <w:ind w:firstLine="567"/>
                        <w:jc w:val="both"/>
                        <w:rPr>
                          <w:bCs/>
                          <w:color w:val="000000"/>
                          <w:szCs w:val="24"/>
                        </w:rPr>
                      </w:pPr>
                      <w:sdt>
                        <w:sdtPr>
                          <w:alias w:val="Numeris"/>
                          <w:tag w:val="nr_312514f690234eefbcbf9c3bd2681f0f"/>
                          <w:lock w:val="sdtLocked"/>
                          <w:richText/>
                        </w:sdtPr>
                        <w:sdtContent>
                          <w:r>
                            <w:rPr>
                              <w:bCs/>
                              <w:color w:val="000000"/>
                              <w:szCs w:val="24"/>
                            </w:rPr>
                            <w:t>41.2</w:t>
                          </w:r>
                        </w:sdtContent>
                      </w:sdt>
                      <w:r>
                        <w:rPr>
                          <w:bCs/>
                          <w:color w:val="000000"/>
                          <w:szCs w:val="24"/>
                        </w:rPr>
                        <w:t xml:space="preserve">. sklypo riba būti nutolusi didesniu kaip 100 m atstumu iki paviršinio vandens telkinio, šachtinio šulinio,  požeminio vandens vandenvietės, įskaitant vandens išgavimo įrenginius.</w:t>
                      </w:r>
                    </w:p>
                  </w:sdtContent>
                </w:sdt>
              </w:sdtContent>
            </w:sdt>
            <w:sdt>
              <w:sdtPr>
                <w:alias w:val="42 p."/>
                <w:tag w:val="part_0f7e899099ee423989b0bd1c1a237b72"/>
                <w:lock w:val="sdtLocked"/>
                <w:richText/>
              </w:sdtPr>
              <w:sdtContent>
                <w:p>
                  <w:pPr>
                    <w:tabs>
                      <w:tab w:val="left" w:pos="993"/>
                    </w:tabs>
                    <w:ind w:firstLine="567"/>
                    <w:jc w:val="both"/>
                    <w:rPr>
                      <w:bCs/>
                      <w:color w:val="000000"/>
                      <w:szCs w:val="24"/>
                    </w:rPr>
                  </w:pPr>
                  <w:sdt>
                    <w:sdtPr>
                      <w:alias w:val="Numeris"/>
                      <w:tag w:val="nr_0f7e899099ee423989b0bd1c1a237b72"/>
                      <w:lock w:val="sdtLocked"/>
                      <w:richText/>
                    </w:sdtPr>
                    <w:sdtContent>
                      <w:r>
                        <w:rPr>
                          <w:bCs/>
                          <w:color w:val="000000"/>
                          <w:szCs w:val="24"/>
                        </w:rPr>
                        <w:t>42</w:t>
                      </w:r>
                    </w:sdtContent>
                  </w:sdt>
                  <w:r>
                    <w:rPr>
                      <w:bCs/>
                      <w:color w:val="000000"/>
                      <w:szCs w:val="24"/>
                    </w:rPr>
                    <w:t>.</w:t>
                    <w:tab/>
                    <w:t xml:space="preserve">Cheminės medžiagos pakuotės, konteineriai (talpos) turi būti sukonstruoti ir pagaminti taip, kad juose esanti cheminė medžiaga neišsipiltų, neišsibarstytų ar kitaip nepatektų į aplinką. </w:t>
                  </w:r>
                </w:p>
              </w:sdtContent>
            </w:sdt>
            <w:sdt>
              <w:sdtPr>
                <w:alias w:val="43 p."/>
                <w:tag w:val="part_bec8f7ece7ef4fd193a3bc75d360242c"/>
                <w:lock w:val="sdtLocked"/>
                <w:richText/>
              </w:sdtPr>
              <w:sdtContent>
                <w:p>
                  <w:pPr>
                    <w:tabs>
                      <w:tab w:val="left" w:pos="993"/>
                    </w:tabs>
                    <w:ind w:firstLine="567"/>
                    <w:jc w:val="both"/>
                    <w:rPr>
                      <w:bCs/>
                      <w:color w:val="000000"/>
                      <w:szCs w:val="24"/>
                    </w:rPr>
                  </w:pPr>
                  <w:sdt>
                    <w:sdtPr>
                      <w:alias w:val="Numeris"/>
                      <w:tag w:val="nr_bec8f7ece7ef4fd193a3bc75d360242c"/>
                      <w:lock w:val="sdtLocked"/>
                      <w:richText/>
                    </w:sdtPr>
                    <w:sdtContent>
                      <w:r>
                        <w:rPr>
                          <w:bCs/>
                          <w:color w:val="000000"/>
                          <w:szCs w:val="24"/>
                        </w:rPr>
                        <w:t>43</w:t>
                      </w:r>
                    </w:sdtContent>
                  </w:sdt>
                  <w:r>
                    <w:rPr>
                      <w:bCs/>
                      <w:color w:val="000000"/>
                      <w:szCs w:val="24"/>
                    </w:rPr>
                    <w:t>.</w:t>
                    <w:tab/>
                    <w:t>Cheminės medžiagos gamintojas, kuris pirmą kartą panaudoja cheminę medžiagą, kuri nebuvo pateikta rinkai, arba kuris pateikia cheminę medžiagą rinkai pirmą kartą, turi užtikrinti, kad ji atitiktų teisės aktų, taikomų cheminėms medžiagoms ir statybos produktams, reikalavimus.</w:t>
                  </w:r>
                </w:p>
              </w:sdtContent>
            </w:sdt>
            <w:sdt>
              <w:sdtPr>
                <w:alias w:val="44 p."/>
                <w:tag w:val="part_42fc7fb5431c4ef48a8909d201943c58"/>
                <w:lock w:val="sdtLocked"/>
                <w:richText/>
              </w:sdtPr>
              <w:sdtContent>
                <w:p>
                  <w:pPr>
                    <w:tabs>
                      <w:tab w:val="left" w:pos="993"/>
                    </w:tabs>
                    <w:ind w:firstLine="567"/>
                    <w:jc w:val="both"/>
                    <w:rPr>
                      <w:bCs/>
                      <w:color w:val="000000"/>
                      <w:szCs w:val="24"/>
                    </w:rPr>
                  </w:pPr>
                  <w:sdt>
                    <w:sdtPr>
                      <w:alias w:val="Numeris"/>
                      <w:tag w:val="nr_42fc7fb5431c4ef48a8909d201943c58"/>
                      <w:lock w:val="sdtLocked"/>
                      <w:richText/>
                    </w:sdtPr>
                    <w:sdtContent>
                      <w:r>
                        <w:rPr>
                          <w:bCs/>
                          <w:color w:val="000000"/>
                          <w:szCs w:val="24"/>
                        </w:rPr>
                        <w:t>44</w:t>
                      </w:r>
                    </w:sdtContent>
                  </w:sdt>
                  <w:r>
                    <w:rPr>
                      <w:bCs/>
                      <w:color w:val="000000"/>
                      <w:szCs w:val="24"/>
                    </w:rPr>
                    <w:t>.</w:t>
                    <w:tab/>
                    <w:t xml:space="preserve">Cheminės medžiagos panaudojimas statinių statyboje turi būti numatytas statinio projekte. Statinio projektuotojas, rengdamas projektą privalo atsižvelgti į cheminės medžiagos gamintojo nurodytas savybes ir tinkamumą konkrečiam statiniui. </w:t>
                  </w:r>
                </w:p>
                <w:p>
                  <w:pPr>
                    <w:tabs>
                      <w:tab w:val="left" w:pos="1041"/>
                    </w:tabs>
                    <w:ind w:firstLine="567"/>
                    <w:jc w:val="center"/>
                    <w:rPr>
                      <w:b/>
                      <w:szCs w:val="24"/>
                    </w:rPr>
                  </w:pPr>
                </w:p>
              </w:sdtContent>
            </w:sdt>
          </w:sdtContent>
        </w:sdt>
        <w:sdt>
          <w:sdtPr>
            <w:alias w:val="skyrius"/>
            <w:tag w:val="part_5419338364964fe7be2406ecab9e0e86"/>
            <w:lock w:val="sdtLocked"/>
            <w:richText/>
          </w:sdtPr>
          <w:sdtContent>
            <w:p>
              <w:pPr>
                <w:tabs>
                  <w:tab w:val="left" w:pos="1041"/>
                </w:tabs>
                <w:ind w:firstLine="567"/>
                <w:jc w:val="center"/>
                <w:rPr>
                  <w:b/>
                  <w:szCs w:val="24"/>
                </w:rPr>
              </w:pPr>
              <w:sdt>
                <w:sdtPr>
                  <w:alias w:val="Numeris"/>
                  <w:tag w:val="nr_5419338364964fe7be2406ecab9e0e86"/>
                  <w:lock w:val="sdtLocked"/>
                  <w:richText/>
                </w:sdtPr>
                <w:sdtContent>
                  <w:r>
                    <w:rPr>
                      <w:b/>
                      <w:szCs w:val="24"/>
                    </w:rPr>
                    <w:t>VII</w:t>
                  </w:r>
                </w:sdtContent>
              </w:sdt>
              <w:r>
                <w:rPr>
                  <w:b/>
                  <w:szCs w:val="24"/>
                </w:rPr>
                <w:t xml:space="preserve"> SKYRIUS</w:t>
              </w:r>
            </w:p>
            <w:p>
              <w:pPr>
                <w:tabs>
                  <w:tab w:val="left" w:pos="1041"/>
                </w:tabs>
                <w:ind w:firstLine="567"/>
                <w:jc w:val="center"/>
                <w:rPr>
                  <w:b/>
                  <w:szCs w:val="24"/>
                </w:rPr>
              </w:pPr>
              <w:sdt>
                <w:sdtPr>
                  <w:alias w:val="Pavadinimas"/>
                  <w:tag w:val="title_5419338364964fe7be2406ecab9e0e86"/>
                  <w:lock w:val="sdtLocked"/>
                  <w:richText/>
                </w:sdtPr>
                <w:sdtContent>
                  <w:r>
                    <w:rPr>
                      <w:b/>
                      <w:szCs w:val="24"/>
                    </w:rPr>
                    <w:t xml:space="preserve">CHEMINĖS MEDŽIAGOS ATITIKTIES ATLIEKŲ NELAIKYMO KRITERIJAMS DEKLARACIJA </w:t>
                  </w:r>
                </w:sdtContent>
              </w:sdt>
            </w:p>
            <w:p>
              <w:pPr>
                <w:tabs>
                  <w:tab w:val="left" w:pos="1041"/>
                </w:tabs>
                <w:ind w:firstLine="567"/>
                <w:jc w:val="center"/>
                <w:rPr>
                  <w:b/>
                  <w:szCs w:val="24"/>
                </w:rPr>
              </w:pPr>
            </w:p>
            <w:sdt>
              <w:sdtPr>
                <w:alias w:val="45 p."/>
                <w:tag w:val="part_d9447976c53e4b1bacb57ebc03a225ae"/>
                <w:lock w:val="sdtLocked"/>
                <w:richText/>
              </w:sdtPr>
              <w:sdtContent>
                <w:p>
                  <w:pPr>
                    <w:widowControl w:val="0"/>
                    <w:tabs>
                      <w:tab w:val="left" w:pos="606"/>
                      <w:tab w:val="left" w:pos="851"/>
                      <w:tab w:val="left" w:pos="993"/>
                    </w:tabs>
                    <w:ind w:left="1211" w:hanging="644"/>
                    <w:jc w:val="both"/>
                    <w:rPr>
                      <w:szCs w:val="24"/>
                    </w:rPr>
                  </w:pPr>
                  <w:sdt>
                    <w:sdtPr>
                      <w:alias w:val="Numeris"/>
                      <w:tag w:val="nr_d9447976c53e4b1bacb57ebc03a225ae"/>
                      <w:lock w:val="sdtLocked"/>
                      <w:richText/>
                    </w:sdtPr>
                    <w:sdtContent>
                      <w:r>
                        <w:rPr>
                          <w:szCs w:val="24"/>
                        </w:rPr>
                        <w:t>45</w:t>
                      </w:r>
                    </w:sdtContent>
                  </w:sdt>
                  <w:r>
                    <w:rPr>
                      <w:szCs w:val="24"/>
                    </w:rPr>
                    <w:t>.</w:t>
                    <w:tab/>
                    <w:t>Cheminės medžiagos gamintojas turi:</w:t>
                  </w:r>
                </w:p>
                <w:sdt>
                  <w:sdtPr>
                    <w:alias w:val="45.1 pp."/>
                    <w:tag w:val="part_48d135e84b0a4517b841e81bcfeb1517"/>
                    <w:lock w:val="sdtLocked"/>
                    <w:richText/>
                  </w:sdtPr>
                  <w:sdtContent>
                    <w:p>
                      <w:pPr>
                        <w:widowControl w:val="0"/>
                        <w:tabs>
                          <w:tab w:val="left" w:pos="851"/>
                          <w:tab w:val="left" w:pos="993"/>
                        </w:tabs>
                        <w:ind w:firstLine="567"/>
                        <w:jc w:val="both"/>
                        <w:rPr>
                          <w:szCs w:val="24"/>
                        </w:rPr>
                      </w:pPr>
                      <w:sdt>
                        <w:sdtPr>
                          <w:alias w:val="Numeris"/>
                          <w:tag w:val="nr_48d135e84b0a4517b841e81bcfeb1517"/>
                          <w:lock w:val="sdtLocked"/>
                          <w:richText/>
                        </w:sdtPr>
                        <w:sdtContent>
                          <w:r>
                            <w:rPr>
                              <w:szCs w:val="24"/>
                            </w:rPr>
                            <w:t>45.1</w:t>
                          </w:r>
                        </w:sdtContent>
                      </w:sdt>
                      <w:r>
                        <w:rPr>
                          <w:szCs w:val="24"/>
                        </w:rPr>
                        <w:t>. parengti ir patvirtinti kiekvienos cheminės medžiagos siuntos atitikties deklaraciją;</w:t>
                      </w:r>
                    </w:p>
                  </w:sdtContent>
                </w:sdt>
                <w:sdt>
                  <w:sdtPr>
                    <w:alias w:val="45.2 pp."/>
                    <w:tag w:val="part_ee83b0173615459eab4d9a9a3bb64a55"/>
                    <w:lock w:val="sdtLocked"/>
                    <w:richText/>
                  </w:sdtPr>
                  <w:sdtContent>
                    <w:p>
                      <w:pPr>
                        <w:widowControl w:val="0"/>
                        <w:tabs>
                          <w:tab w:val="left" w:pos="0"/>
                          <w:tab w:val="left" w:pos="606"/>
                        </w:tabs>
                        <w:ind w:firstLine="567"/>
                        <w:jc w:val="both"/>
                        <w:rPr>
                          <w:szCs w:val="24"/>
                        </w:rPr>
                      </w:pPr>
                      <w:sdt>
                        <w:sdtPr>
                          <w:alias w:val="Numeris"/>
                          <w:tag w:val="nr_ee83b0173615459eab4d9a9a3bb64a55"/>
                          <w:lock w:val="sdtLocked"/>
                          <w:richText/>
                        </w:sdtPr>
                        <w:sdtContent>
                          <w:r>
                            <w:rPr>
                              <w:szCs w:val="24"/>
                            </w:rPr>
                            <w:t>45.2</w:t>
                          </w:r>
                        </w:sdtContent>
                      </w:sdt>
                      <w:r>
                        <w:rPr>
                          <w:szCs w:val="24"/>
                        </w:rPr>
                        <w:t xml:space="preserve">.  išduoti atitikties deklaraciją siuntos gavėjui;</w:t>
                      </w:r>
                    </w:p>
                  </w:sdtContent>
                </w:sdt>
                <w:sdt>
                  <w:sdtPr>
                    <w:alias w:val="45.3 pp."/>
                    <w:tag w:val="part_ec7d0139151d4c45a46c9a98879230e6"/>
                    <w:lock w:val="sdtLocked"/>
                    <w:richText/>
                  </w:sdtPr>
                  <w:sdtContent>
                    <w:p>
                      <w:pPr>
                        <w:widowControl w:val="0"/>
                        <w:tabs>
                          <w:tab w:val="left" w:pos="0"/>
                          <w:tab w:val="left" w:pos="1134"/>
                        </w:tabs>
                        <w:ind w:firstLine="567"/>
                        <w:jc w:val="both"/>
                        <w:rPr>
                          <w:szCs w:val="24"/>
                        </w:rPr>
                      </w:pPr>
                      <w:sdt>
                        <w:sdtPr>
                          <w:alias w:val="Numeris"/>
                          <w:tag w:val="nr_ec7d0139151d4c45a46c9a98879230e6"/>
                          <w:lock w:val="sdtLocked"/>
                          <w:richText/>
                        </w:sdtPr>
                        <w:sdtContent>
                          <w:r>
                            <w:rPr>
                              <w:szCs w:val="24"/>
                            </w:rPr>
                            <w:t>45.3</w:t>
                          </w:r>
                        </w:sdtContent>
                      </w:sdt>
                      <w:r>
                        <w:rPr>
                          <w:szCs w:val="24"/>
                        </w:rPr>
                        <w:t>. saugoti atitikties deklaracijos kopiją ne trumpiau kaip penkerius metus po jos išdavimo dienos ir pateikti ją aplinkos apsaugos valstybinę kontrolę, statybos valstybinę priežiūrą vykdančioms ar valstybės politiką vartotojų teisių apsaugos srityje įgyvendinančioms institucijoms, joms to paprašius.</w:t>
                      </w:r>
                    </w:p>
                  </w:sdtContent>
                </w:sdt>
              </w:sdtContent>
            </w:sdt>
            <w:sdt>
              <w:sdtPr>
                <w:alias w:val="46 p."/>
                <w:tag w:val="part_367f03d0ab9d49d3ae7c8b53c6bf4780"/>
                <w:lock w:val="sdtLocked"/>
                <w:richText/>
              </w:sdtPr>
              <w:sdtContent>
                <w:p>
                  <w:pPr>
                    <w:widowControl w:val="0"/>
                    <w:tabs>
                      <w:tab w:val="left" w:pos="606"/>
                      <w:tab w:val="left" w:pos="851"/>
                      <w:tab w:val="left" w:pos="993"/>
                    </w:tabs>
                    <w:ind w:firstLine="567"/>
                    <w:jc w:val="both"/>
                    <w:rPr>
                      <w:szCs w:val="24"/>
                    </w:rPr>
                  </w:pPr>
                  <w:sdt>
                    <w:sdtPr>
                      <w:alias w:val="Numeris"/>
                      <w:tag w:val="nr_367f03d0ab9d49d3ae7c8b53c6bf4780"/>
                      <w:lock w:val="sdtLocked"/>
                      <w:richText/>
                    </w:sdtPr>
                    <w:sdtContent>
                      <w:r>
                        <w:rPr>
                          <w:szCs w:val="24"/>
                        </w:rPr>
                        <w:t>46</w:t>
                      </w:r>
                    </w:sdtContent>
                  </w:sdt>
                  <w:r>
                    <w:rPr>
                      <w:szCs w:val="24"/>
                    </w:rPr>
                    <w:t>.</w:t>
                    <w:tab/>
                    <w:t>Atitikties deklaracija gali būti parengta ir išduota elektronine forma.</w:t>
                  </w:r>
                </w:p>
              </w:sdtContent>
            </w:sdt>
            <w:sdt>
              <w:sdtPr>
                <w:alias w:val="47 p."/>
                <w:tag w:val="part_906bb422abb1423aab5b45ce1f42bb3b"/>
                <w:lock w:val="sdtLocked"/>
                <w:richText/>
              </w:sdtPr>
              <w:sdtContent>
                <w:p>
                  <w:pPr>
                    <w:widowControl w:val="0"/>
                    <w:tabs>
                      <w:tab w:val="left" w:pos="606"/>
                      <w:tab w:val="left" w:pos="851"/>
                      <w:tab w:val="left" w:pos="993"/>
                    </w:tabs>
                    <w:ind w:firstLine="567"/>
                    <w:jc w:val="both"/>
                    <w:rPr>
                      <w:szCs w:val="24"/>
                    </w:rPr>
                  </w:pPr>
                  <w:sdt>
                    <w:sdtPr>
                      <w:alias w:val="Numeris"/>
                      <w:tag w:val="nr_906bb422abb1423aab5b45ce1f42bb3b"/>
                      <w:lock w:val="sdtLocked"/>
                      <w:richText/>
                    </w:sdtPr>
                    <w:sdtContent>
                      <w:r>
                        <w:rPr>
                          <w:szCs w:val="24"/>
                        </w:rPr>
                        <w:t>47</w:t>
                      </w:r>
                    </w:sdtContent>
                  </w:sdt>
                  <w:r>
                    <w:rPr>
                      <w:szCs w:val="24"/>
                    </w:rPr>
                    <w:t>.</w:t>
                    <w:tab/>
                    <w:t>Siuntos gavėjas turi saugoti atitikties deklaracijos kopiją ne trumpiau kaip penkerius metus nuo atitikties deklaracijos išdavimo dienos ir pateikti kopiją aplinkos apsaugos valstybinę kontrolę, statybos valstybinę priežiūrą vykdančioms ar valstybės politiką vartotojų teisių apsaugos srityje įgyvendinančioms institucijoms, joms to paprašius.</w:t>
                  </w:r>
                </w:p>
              </w:sdtContent>
            </w:sdt>
            <w:sdt>
              <w:sdtPr>
                <w:alias w:val="48 p."/>
                <w:tag w:val="part_5916eab219654452b8b6596553f07593"/>
                <w:lock w:val="sdtLocked"/>
                <w:richText/>
              </w:sdtPr>
              <w:sdtContent>
                <w:p>
                  <w:pPr>
                    <w:widowControl w:val="0"/>
                    <w:tabs>
                      <w:tab w:val="left" w:pos="606"/>
                      <w:tab w:val="left" w:pos="851"/>
                      <w:tab w:val="left" w:pos="993"/>
                    </w:tabs>
                    <w:ind w:firstLine="567"/>
                    <w:jc w:val="both"/>
                    <w:rPr>
                      <w:szCs w:val="24"/>
                    </w:rPr>
                  </w:pPr>
                  <w:sdt>
                    <w:sdtPr>
                      <w:alias w:val="Numeris"/>
                      <w:tag w:val="nr_5916eab219654452b8b6596553f07593"/>
                      <w:lock w:val="sdtLocked"/>
                      <w:richText/>
                    </w:sdtPr>
                    <w:sdtContent>
                      <w:r>
                        <w:rPr>
                          <w:szCs w:val="24"/>
                        </w:rPr>
                        <w:t>48</w:t>
                      </w:r>
                    </w:sdtContent>
                  </w:sdt>
                  <w:r>
                    <w:rPr>
                      <w:szCs w:val="24"/>
                    </w:rPr>
                    <w:t>.</w:t>
                    <w:tab/>
                    <w:t>Cheminės medžiagos gamintojas gali parengti ir patvirtinti tos pačios cheminės medžiagos siuntos atitikties deklaraciją tam pačiam siuntos gavėjui tik vieną kartą.</w:t>
                  </w:r>
                </w:p>
                <w:p>
                  <w:pPr>
                    <w:widowControl w:val="0"/>
                    <w:tabs>
                      <w:tab w:val="left" w:pos="606"/>
                      <w:tab w:val="left" w:pos="851"/>
                      <w:tab w:val="left" w:pos="993"/>
                    </w:tabs>
                    <w:ind w:left="567"/>
                    <w:jc w:val="both"/>
                    <w:rPr>
                      <w:szCs w:val="24"/>
                    </w:rPr>
                  </w:pPr>
                </w:p>
              </w:sdtContent>
            </w:sdt>
          </w:sdtContent>
        </w:sdt>
        <w:sdt>
          <w:sdtPr>
            <w:alias w:val="skyrius"/>
            <w:tag w:val="part_c867be2e9bf24a6db5f74ca700d5c579"/>
            <w:lock w:val="sdtLocked"/>
            <w:richText/>
          </w:sdtPr>
          <w:sdtContent>
            <w:p>
              <w:pPr>
                <w:tabs>
                  <w:tab w:val="left" w:pos="606"/>
                  <w:tab w:val="left" w:pos="851"/>
                </w:tabs>
                <w:ind w:firstLine="567"/>
                <w:jc w:val="center"/>
                <w:rPr>
                  <w:b/>
                  <w:szCs w:val="24"/>
                </w:rPr>
              </w:pPr>
              <w:sdt>
                <w:sdtPr>
                  <w:alias w:val="Numeris"/>
                  <w:tag w:val="nr_c867be2e9bf24a6db5f74ca700d5c579"/>
                  <w:lock w:val="sdtLocked"/>
                  <w:richText/>
                </w:sdtPr>
                <w:sdtContent>
                  <w:r>
                    <w:rPr>
                      <w:b/>
                      <w:szCs w:val="24"/>
                    </w:rPr>
                    <w:t>VIII</w:t>
                  </w:r>
                </w:sdtContent>
              </w:sdt>
              <w:r>
                <w:rPr>
                  <w:b/>
                  <w:szCs w:val="24"/>
                </w:rPr>
                <w:t xml:space="preserve"> SKYRIUS</w:t>
              </w:r>
            </w:p>
            <w:p>
              <w:pPr>
                <w:tabs>
                  <w:tab w:val="left" w:pos="606"/>
                  <w:tab w:val="left" w:pos="851"/>
                </w:tabs>
                <w:ind w:firstLine="567"/>
                <w:jc w:val="center"/>
                <w:rPr>
                  <w:b/>
                  <w:szCs w:val="24"/>
                </w:rPr>
              </w:pPr>
              <w:sdt>
                <w:sdtPr>
                  <w:alias w:val="Pavadinimas"/>
                  <w:tag w:val="title_c867be2e9bf24a6db5f74ca700d5c579"/>
                  <w:lock w:val="sdtLocked"/>
                  <w:richText/>
                </w:sdtPr>
                <w:sdtContent>
                  <w:r>
                    <w:rPr>
                      <w:b/>
                      <w:szCs w:val="24"/>
                    </w:rPr>
                    <w:t>KOKYBĖS VALDYMO SISTEMA</w:t>
                  </w:r>
                </w:sdtContent>
              </w:sdt>
            </w:p>
            <w:p>
              <w:pPr>
                <w:tabs>
                  <w:tab w:val="left" w:pos="606"/>
                  <w:tab w:val="left" w:pos="851"/>
                  <w:tab w:val="left" w:pos="993"/>
                </w:tabs>
                <w:ind w:firstLine="567"/>
                <w:rPr>
                  <w:szCs w:val="24"/>
                </w:rPr>
              </w:pPr>
            </w:p>
            <w:sdt>
              <w:sdtPr>
                <w:alias w:val="49 p."/>
                <w:tag w:val="part_5de32bb2b2f846a1b2e656156a002b31"/>
                <w:lock w:val="sdtLocked"/>
                <w:richText/>
              </w:sdtPr>
              <w:sdtContent>
                <w:p>
                  <w:pPr>
                    <w:widowControl w:val="0"/>
                    <w:tabs>
                      <w:tab w:val="left" w:pos="606"/>
                      <w:tab w:val="left" w:pos="851"/>
                      <w:tab w:val="left" w:pos="993"/>
                    </w:tabs>
                    <w:ind w:firstLine="567"/>
                    <w:jc w:val="both"/>
                    <w:rPr>
                      <w:szCs w:val="24"/>
                    </w:rPr>
                  </w:pPr>
                  <w:sdt>
                    <w:sdtPr>
                      <w:alias w:val="Numeris"/>
                      <w:tag w:val="nr_5de32bb2b2f846a1b2e656156a002b31"/>
                      <w:lock w:val="sdtLocked"/>
                      <w:richText/>
                    </w:sdtPr>
                    <w:sdtContent>
                      <w:r>
                        <w:rPr>
                          <w:szCs w:val="24"/>
                        </w:rPr>
                        <w:t>49</w:t>
                      </w:r>
                    </w:sdtContent>
                  </w:sdt>
                  <w:r>
                    <w:rPr>
                      <w:szCs w:val="24"/>
                    </w:rPr>
                    <w:t>.</w:t>
                    <w:tab/>
                    <w:t>Cheminės medžiagos gamintojas turi įdiegti kokybės valdymo sistemą, tinkamą įrodyti cheminės medžiagos atitiktį Reikalavimuose nustatytiems kriterijams ir sąlygoms.</w:t>
                  </w:r>
                </w:p>
              </w:sdtContent>
            </w:sdt>
            <w:sdt>
              <w:sdtPr>
                <w:alias w:val="50 p."/>
                <w:tag w:val="part_8532b5154c814c02a2f5dee509d5569e"/>
                <w:lock w:val="sdtLocked"/>
                <w:richText/>
              </w:sdtPr>
              <w:sdtContent>
                <w:p>
                  <w:pPr>
                    <w:widowControl w:val="0"/>
                    <w:tabs>
                      <w:tab w:val="left" w:pos="606"/>
                      <w:tab w:val="left" w:pos="851"/>
                      <w:tab w:val="left" w:pos="993"/>
                    </w:tabs>
                    <w:ind w:firstLine="567"/>
                    <w:jc w:val="both"/>
                    <w:rPr>
                      <w:vanish/>
                      <w:szCs w:val="24"/>
                    </w:rPr>
                  </w:pPr>
                  <w:sdt>
                    <w:sdtPr>
                      <w:alias w:val="Numeris"/>
                      <w:tag w:val="nr_8532b5154c814c02a2f5dee509d5569e"/>
                      <w:lock w:val="sdtLocked"/>
                      <w:richText/>
                    </w:sdtPr>
                    <w:sdtContent>
                      <w:r>
                        <w:rPr>
                          <w:vanish/>
                          <w:szCs w:val="24"/>
                        </w:rPr>
                        <w:t>50</w:t>
                      </w:r>
                    </w:sdtContent>
                  </w:sdt>
                  <w:r>
                    <w:rPr>
                      <w:vanish/>
                      <w:szCs w:val="24"/>
                    </w:rPr>
                    <w:t>.</w:t>
                    <w:tab/>
                  </w:r>
                  <w:r>
                    <w:rPr>
                      <w:szCs w:val="24"/>
                    </w:rPr>
                    <w:t>Kokybės valdymo sistemos aprašyme turi būti pateikiama ši informacija:</w:t>
                  </w:r>
                </w:p>
                <w:p>
                  <w:pPr>
                    <w:widowControl w:val="0"/>
                    <w:tabs>
                      <w:tab w:val="left" w:pos="0"/>
                      <w:tab w:val="left" w:pos="567"/>
                      <w:tab w:val="left" w:pos="1276"/>
                      <w:tab w:val="left" w:pos="1418"/>
                      <w:tab w:val="left" w:pos="1560"/>
                      <w:tab w:val="left" w:pos="1843"/>
                      <w:tab w:val="left" w:pos="2127"/>
                    </w:tabs>
                    <w:ind w:firstLine="567"/>
                    <w:jc w:val="both"/>
                    <w:rPr>
                      <w:szCs w:val="24"/>
                    </w:rPr>
                  </w:pPr>
                </w:p>
                <w:sdt>
                  <w:sdtPr>
                    <w:alias w:val="50.1 pp."/>
                    <w:tag w:val="part_dc9aee58cac349219730a8ce6d151e3f"/>
                    <w:lock w:val="sdtLocked"/>
                    <w:richText/>
                  </w:sdtPr>
                  <w:sdtContent>
                    <w:p>
                      <w:pPr>
                        <w:widowControl w:val="0"/>
                        <w:tabs>
                          <w:tab w:val="left" w:pos="0"/>
                          <w:tab w:val="left" w:pos="567"/>
                          <w:tab w:val="left" w:pos="1276"/>
                          <w:tab w:val="left" w:pos="1418"/>
                          <w:tab w:val="left" w:pos="1560"/>
                          <w:tab w:val="left" w:pos="1843"/>
                          <w:tab w:val="left" w:pos="2127"/>
                        </w:tabs>
                        <w:ind w:firstLine="558"/>
                        <w:jc w:val="both"/>
                        <w:rPr>
                          <w:szCs w:val="24"/>
                        </w:rPr>
                      </w:pPr>
                      <w:sdt>
                        <w:sdtPr>
                          <w:alias w:val="Numeris"/>
                          <w:tag w:val="nr_dc9aee58cac349219730a8ce6d151e3f"/>
                          <w:lock w:val="sdtLocked"/>
                          <w:richText/>
                        </w:sdtPr>
                        <w:sdtContent>
                          <w:r>
                            <w:rPr>
                              <w:szCs w:val="24"/>
                            </w:rPr>
                            <w:t>50.1</w:t>
                          </w:r>
                        </w:sdtContent>
                      </w:sdt>
                      <w:r>
                        <w:rPr>
                          <w:szCs w:val="24"/>
                        </w:rPr>
                        <w:t>. pelenų ir šlako atliekų apdorojimo procesų ir metodų stebėsena;</w:t>
                      </w:r>
                    </w:p>
                  </w:sdtContent>
                </w:sdt>
                <w:sdt>
                  <w:sdtPr>
                    <w:alias w:val="50.2 pp."/>
                    <w:tag w:val="part_f0486632c6294440b9a16554ab6e164d"/>
                    <w:lock w:val="sdtLocked"/>
                    <w:richText/>
                  </w:sdtPr>
                  <w:sdtContent>
                    <w:p>
                      <w:pPr>
                        <w:tabs>
                          <w:tab w:val="left" w:pos="1134"/>
                        </w:tabs>
                        <w:ind w:firstLine="567"/>
                        <w:jc w:val="both"/>
                        <w:rPr>
                          <w:szCs w:val="24"/>
                        </w:rPr>
                      </w:pPr>
                      <w:sdt>
                        <w:sdtPr>
                          <w:alias w:val="Numeris"/>
                          <w:tag w:val="nr_f0486632c6294440b9a16554ab6e164d"/>
                          <w:lock w:val="sdtLocked"/>
                          <w:richText/>
                        </w:sdtPr>
                        <w:sdtContent>
                          <w:r>
                            <w:rPr>
                              <w:szCs w:val="24"/>
                            </w:rPr>
                            <w:t>50.2</w:t>
                          </w:r>
                        </w:sdtContent>
                      </w:sdt>
                      <w:r>
                        <w:rPr>
                          <w:szCs w:val="24"/>
                        </w:rPr>
                        <w:t>. atitikimo kriterijams ir reikalavimams, nurodytiems Reikalavimų 36, 38–42, 44, 45 punktuose, atitikimo stebėsena;</w:t>
                      </w:r>
                    </w:p>
                  </w:sdtContent>
                </w:sdt>
                <w:sdt>
                  <w:sdtPr>
                    <w:alias w:val="50.3 pp."/>
                    <w:tag w:val="part_16941fd1aaef417e8782d12ad18b4522"/>
                    <w:lock w:val="sdtLocked"/>
                    <w:richText/>
                  </w:sdtPr>
                  <w:sdtContent>
                    <w:p>
                      <w:pPr>
                        <w:widowControl w:val="0"/>
                        <w:tabs>
                          <w:tab w:val="left" w:pos="1134"/>
                          <w:tab w:val="left" w:pos="1418"/>
                          <w:tab w:val="left" w:pos="1560"/>
                          <w:tab w:val="left" w:pos="1843"/>
                          <w:tab w:val="left" w:pos="2127"/>
                        </w:tabs>
                        <w:ind w:firstLine="567"/>
                        <w:jc w:val="both"/>
                        <w:rPr>
                          <w:spacing w:val="-5"/>
                          <w:szCs w:val="24"/>
                        </w:rPr>
                      </w:pPr>
                      <w:sdt>
                        <w:sdtPr>
                          <w:alias w:val="Numeris"/>
                          <w:tag w:val="nr_16941fd1aaef417e8782d12ad18b4522"/>
                          <w:lock w:val="sdtLocked"/>
                          <w:richText/>
                        </w:sdtPr>
                        <w:sdtContent>
                          <w:r>
                            <w:rPr>
                              <w:spacing w:val="-5"/>
                              <w:szCs w:val="24"/>
                            </w:rPr>
                            <w:t>50.3</w:t>
                          </w:r>
                        </w:sdtContent>
                      </w:sdt>
                      <w:r>
                        <w:rPr>
                          <w:spacing w:val="-5"/>
                          <w:szCs w:val="24"/>
                        </w:rPr>
                        <w:t>. cheminės medžiagos kokybės stebėsena, įskaitant apdorotų pelenų ir šlako ėminių ėmimą ir analizę, kaip nustatyta Reikalavimų 54–57 punktuose;</w:t>
                      </w:r>
                    </w:p>
                  </w:sdtContent>
                </w:sdt>
                <w:sdt>
                  <w:sdtPr>
                    <w:alias w:val="50.4 pp."/>
                    <w:tag w:val="part_3d70f9a479b94d3394d99d3fd5373275"/>
                    <w:lock w:val="sdtLocked"/>
                    <w:richText/>
                  </w:sdtPr>
                  <w:sdtContent>
                    <w:p>
                      <w:pPr>
                        <w:tabs>
                          <w:tab w:val="left" w:pos="1134"/>
                        </w:tabs>
                        <w:ind w:left="567"/>
                        <w:rPr>
                          <w:szCs w:val="24"/>
                        </w:rPr>
                      </w:pPr>
                      <w:sdt>
                        <w:sdtPr>
                          <w:alias w:val="Numeris"/>
                          <w:tag w:val="nr_3d70f9a479b94d3394d99d3fd5373275"/>
                          <w:lock w:val="sdtLocked"/>
                          <w:richText/>
                        </w:sdtPr>
                        <w:sdtContent>
                          <w:r>
                            <w:rPr>
                              <w:szCs w:val="24"/>
                            </w:rPr>
                            <w:t>50.4</w:t>
                          </w:r>
                        </w:sdtContent>
                      </w:sdt>
                      <w:r>
                        <w:rPr>
                          <w:szCs w:val="24"/>
                        </w:rPr>
                        <w:t>. dokumentų pagal Reikalavimų 1 ir 6 priedus rengimas ir saugojimas;</w:t>
                      </w:r>
                    </w:p>
                  </w:sdtContent>
                </w:sdt>
                <w:sdt>
                  <w:sdtPr>
                    <w:alias w:val="50.5 pp."/>
                    <w:tag w:val="part_f249f8f26a9447aeacaf4446a2538a37"/>
                    <w:lock w:val="sdtLocked"/>
                    <w:richText/>
                  </w:sdtPr>
                  <w:sdtContent>
                    <w:p>
                      <w:pPr>
                        <w:widowControl w:val="0"/>
                        <w:tabs>
                          <w:tab w:val="left" w:pos="851"/>
                          <w:tab w:val="left" w:pos="1134"/>
                          <w:tab w:val="left" w:pos="1276"/>
                          <w:tab w:val="left" w:pos="1418"/>
                          <w:tab w:val="left" w:pos="1560"/>
                          <w:tab w:val="left" w:pos="1843"/>
                          <w:tab w:val="left" w:pos="2127"/>
                        </w:tabs>
                        <w:ind w:left="567"/>
                        <w:jc w:val="both"/>
                        <w:rPr>
                          <w:spacing w:val="-5"/>
                          <w:szCs w:val="24"/>
                        </w:rPr>
                      </w:pPr>
                      <w:sdt>
                        <w:sdtPr>
                          <w:alias w:val="Numeris"/>
                          <w:tag w:val="nr_f249f8f26a9447aeacaf4446a2538a37"/>
                          <w:lock w:val="sdtLocked"/>
                          <w:richText/>
                        </w:sdtPr>
                        <w:sdtContent>
                          <w:r>
                            <w:rPr>
                              <w:spacing w:val="-5"/>
                              <w:szCs w:val="24"/>
                            </w:rPr>
                            <w:t>50.5</w:t>
                          </w:r>
                        </w:sdtContent>
                      </w:sdt>
                      <w:r>
                        <w:rPr>
                          <w:spacing w:val="-5"/>
                          <w:szCs w:val="24"/>
                        </w:rPr>
                        <w:t>. siuntos ženklinimo, pakavimo ir laikymo procesų aprašymai;</w:t>
                      </w:r>
                    </w:p>
                  </w:sdtContent>
                </w:sdt>
                <w:sdt>
                  <w:sdtPr>
                    <w:alias w:val="50.6 pp."/>
                    <w:tag w:val="part_600e686073744ba78760f0539d769428"/>
                    <w:lock w:val="sdtLocked"/>
                    <w:richText/>
                  </w:sdtPr>
                  <w:sdtContent>
                    <w:p>
                      <w:pPr>
                        <w:tabs>
                          <w:tab w:val="left" w:pos="1134"/>
                        </w:tabs>
                        <w:ind w:firstLine="567"/>
                        <w:jc w:val="both"/>
                        <w:rPr>
                          <w:spacing w:val="-5"/>
                          <w:szCs w:val="24"/>
                        </w:rPr>
                      </w:pPr>
                      <w:sdt>
                        <w:sdtPr>
                          <w:alias w:val="Numeris"/>
                          <w:tag w:val="nr_600e686073744ba78760f0539d769428"/>
                          <w:lock w:val="sdtLocked"/>
                          <w:richText/>
                        </w:sdtPr>
                        <w:sdtContent>
                          <w:r>
                            <w:rPr>
                              <w:spacing w:val="-5"/>
                              <w:szCs w:val="24"/>
                            </w:rPr>
                            <w:t>50.6</w:t>
                          </w:r>
                        </w:sdtContent>
                      </w:sdt>
                      <w:r>
                        <w:rPr>
                          <w:spacing w:val="-5"/>
                          <w:szCs w:val="24"/>
                        </w:rPr>
                        <w:t xml:space="preserve">. specialistų, atsakingų už cheminės medžiagos atitiktį Reikalavimų 34, 36–40, 42, 43 punktuose nustatytiems kriterijams ir sąlygoms, vardas, pavardė, pareigos ir kvalifikacija. Duomenys tvarkomi vadovaujantis reikalavimais, nustatytais </w:t>
                      </w:r>
                      <w:r>
                        <w:rPr>
                          <w:iCs/>
                          <w:spacing w:val="-5"/>
                          <w:szCs w:val="24"/>
                        </w:rPr>
                        <w:t>2016 m</w:t>
                      </w:r>
                      <w:r>
                        <w:rPr>
                          <w:spacing w:val="-5"/>
                          <w:szCs w:val="24"/>
                        </w:rPr>
                        <w:t xml:space="preserve">. </w:t>
                      </w:r>
                      <w:r>
                        <w:rPr>
                          <w:iCs/>
                          <w:spacing w:val="-5"/>
                          <w:szCs w:val="24"/>
                        </w:rPr>
                        <w:t>balandžio 27 d</w:t>
                      </w:r>
                      <w:r>
                        <w:rPr>
                          <w:spacing w:val="-5"/>
                          <w:szCs w:val="24"/>
                        </w:rPr>
                        <w:t xml:space="preserve">. </w:t>
                      </w:r>
                      <w:r>
                        <w:rPr>
                          <w:iCs/>
                          <w:spacing w:val="-5"/>
                          <w:szCs w:val="24"/>
                        </w:rPr>
                        <w:t>Europos Parlamento</w:t>
                      </w:r>
                      <w:r>
                        <w:rPr>
                          <w:spacing w:val="-5"/>
                          <w:szCs w:val="24"/>
                        </w:rPr>
                        <w:t xml:space="preserve"> ir </w:t>
                      </w:r>
                      <w:r>
                        <w:rPr>
                          <w:iCs/>
                          <w:spacing w:val="-5"/>
                          <w:szCs w:val="24"/>
                        </w:rPr>
                        <w:t>Tarybos reglamente</w:t>
                      </w:r>
                      <w:r>
                        <w:rPr>
                          <w:spacing w:val="-5"/>
                          <w:szCs w:val="24"/>
                        </w:rPr>
                        <w:t xml:space="preserve"> </w:t>
                      </w:r>
                      <w:fldSimple w:instr="HYPERLINK http://eur-lex.europa.eu/legal-content/LIT/TXT/?uri=CELEX:3679R2016&amp;locale=lt \t _blank">
                        <w:r>
                          <w:rPr>
                            <w:spacing w:val="-5"/>
                            <w:szCs w:val="24"/>
                            <w:u w:val="single"/>
                            <w:color w:val="0000FF" w:themeColor="hyperlink"/>
                          </w:rPr>
                          <w:t>(</w:t>
                        </w:r>
                        <w:r>
                          <w:rPr>
                            <w:iCs/>
                            <w:spacing w:val="-5"/>
                            <w:szCs w:val="24"/>
                            <w:u w:val="single"/>
                            <w:color w:val="0000FF" w:themeColor="hyperlink"/>
                          </w:rPr>
                          <w:t>ES</w:t>
                        </w:r>
                        <w:r>
                          <w:rPr>
                            <w:spacing w:val="-5"/>
                            <w:szCs w:val="24"/>
                            <w:u w:val="single"/>
                            <w:color w:val="0000FF" w:themeColor="hyperlink"/>
                          </w:rPr>
                          <w:t xml:space="preserve">) </w:t>
                        </w:r>
                        <w:r>
                          <w:rPr>
                            <w:iCs/>
                            <w:spacing w:val="-5"/>
                            <w:szCs w:val="24"/>
                            <w:u w:val="single"/>
                            <w:color w:val="0000FF" w:themeColor="hyperlink"/>
                          </w:rPr>
                          <w:t>2016/679</w:t>
                        </w:r>
                      </w:fldSimple>
                      <w:r>
                        <w:rPr>
                          <w:spacing w:val="-5"/>
                          <w:szCs w:val="24"/>
                        </w:rPr>
                        <w:t xml:space="preserve"> dėl </w:t>
                      </w:r>
                      <w:r>
                        <w:rPr>
                          <w:iCs/>
                          <w:spacing w:val="-5"/>
                          <w:szCs w:val="24"/>
                        </w:rPr>
                        <w:t>fizinių asmenų apsaugos tvarkant asmens duomenų</w:t>
                      </w:r>
                      <w:r>
                        <w:rPr>
                          <w:spacing w:val="-5"/>
                          <w:szCs w:val="24"/>
                        </w:rPr>
                        <w:t xml:space="preserve"> ir dėl </w:t>
                      </w:r>
                      <w:r>
                        <w:rPr>
                          <w:iCs/>
                          <w:spacing w:val="-5"/>
                          <w:szCs w:val="24"/>
                        </w:rPr>
                        <w:t>laisvo tokių duomenų judėjimo</w:t>
                      </w:r>
                      <w:r>
                        <w:rPr>
                          <w:spacing w:val="-5"/>
                          <w:szCs w:val="24"/>
                        </w:rPr>
                        <w:t xml:space="preserve"> ir </w:t>
                      </w:r>
                      <w:r>
                        <w:rPr>
                          <w:iCs/>
                          <w:spacing w:val="-5"/>
                          <w:szCs w:val="24"/>
                        </w:rPr>
                        <w:t xml:space="preserve">kuriuo panaikinama Direktyva </w:t>
                      </w:r>
                      <w:fldSimple w:instr="HYPERLINK http://eur-lex.europa.eu/legal-content/LIT/TXT/?uri=CELEX:31995L0046&amp;locale=lt \t _blank">
                        <w:r>
                          <w:rPr>
                            <w:iCs/>
                            <w:spacing w:val="-5"/>
                            <w:szCs w:val="24"/>
                            <w:u w:val="single"/>
                            <w:color w:val="0000FF" w:themeColor="hyperlink"/>
                          </w:rPr>
                          <w:t>95/46</w:t>
                        </w:r>
                        <w:r>
                          <w:rPr>
                            <w:spacing w:val="-5"/>
                            <w:szCs w:val="24"/>
                            <w:u w:val="single"/>
                            <w:color w:val="0000FF" w:themeColor="hyperlink"/>
                          </w:rPr>
                          <w:t>/EB</w:t>
                        </w:r>
                      </w:fldSimple>
                      <w:r>
                        <w:rPr>
                          <w:spacing w:val="-5"/>
                          <w:szCs w:val="24"/>
                        </w:rPr>
                        <w:t xml:space="preserve"> (Bendrasis </w:t>
                      </w:r>
                      <w:r>
                        <w:rPr>
                          <w:iCs/>
                          <w:spacing w:val="-5"/>
                          <w:szCs w:val="24"/>
                        </w:rPr>
                        <w:t>duomenų apsaugos reglamentas</w:t>
                      </w:r>
                      <w:r>
                        <w:rPr>
                          <w:spacing w:val="-5"/>
                          <w:szCs w:val="24"/>
                        </w:rPr>
                        <w:t>);</w:t>
                      </w:r>
                    </w:p>
                  </w:sdtContent>
                </w:sdt>
                <w:sdt>
                  <w:sdtPr>
                    <w:alias w:val="50.7 pp."/>
                    <w:tag w:val="part_5d668b0fb58d4750b918e03b70c46e03"/>
                    <w:lock w:val="sdtLocked"/>
                    <w:richText/>
                  </w:sdtPr>
                  <w:sdtContent>
                    <w:p>
                      <w:pPr>
                        <w:ind w:firstLine="620"/>
                        <w:rPr>
                          <w:spacing w:val="-5"/>
                          <w:szCs w:val="24"/>
                        </w:rPr>
                      </w:pPr>
                      <w:sdt>
                        <w:sdtPr>
                          <w:alias w:val="Numeris"/>
                          <w:tag w:val="nr_5d668b0fb58d4750b918e03b70c46e03"/>
                          <w:lock w:val="sdtLocked"/>
                          <w:richText/>
                        </w:sdtPr>
                        <w:sdtContent>
                          <w:r>
                            <w:rPr>
                              <w:spacing w:val="-5"/>
                              <w:szCs w:val="24"/>
                            </w:rPr>
                            <w:t>50.7</w:t>
                          </w:r>
                        </w:sdtContent>
                      </w:sdt>
                      <w:r>
                        <w:rPr>
                          <w:spacing w:val="-5"/>
                          <w:szCs w:val="24"/>
                        </w:rPr>
                        <w:t>. cheminės medžiagos pirkėjų atsiliepimai apie cheminės medžiagos kokybę.</w:t>
                      </w:r>
                    </w:p>
                  </w:sdtContent>
                </w:sdt>
              </w:sdtContent>
            </w:sdt>
            <w:sdt>
              <w:sdtPr>
                <w:alias w:val="51 p."/>
                <w:tag w:val="part_fb2618eaf231418f8b18fdf8ed8395b5"/>
                <w:lock w:val="sdtLocked"/>
                <w:richText/>
              </w:sdtPr>
              <w:sdtContent>
                <w:p>
                  <w:pPr>
                    <w:widowControl w:val="0"/>
                    <w:tabs>
                      <w:tab w:val="left" w:pos="606"/>
                      <w:tab w:val="left" w:pos="851"/>
                      <w:tab w:val="left" w:pos="993"/>
                    </w:tabs>
                    <w:ind w:firstLine="567"/>
                    <w:jc w:val="both"/>
                    <w:rPr>
                      <w:szCs w:val="24"/>
                    </w:rPr>
                  </w:pPr>
                  <w:sdt>
                    <w:sdtPr>
                      <w:alias w:val="Numeris"/>
                      <w:tag w:val="nr_fb2618eaf231418f8b18fdf8ed8395b5"/>
                      <w:lock w:val="sdtLocked"/>
                      <w:richText/>
                    </w:sdtPr>
                    <w:sdtContent>
                      <w:r>
                        <w:rPr>
                          <w:szCs w:val="24"/>
                        </w:rPr>
                        <w:t>51</w:t>
                      </w:r>
                    </w:sdtContent>
                  </w:sdt>
                  <w:r>
                    <w:rPr>
                      <w:szCs w:val="24"/>
                    </w:rPr>
                    <w:t>.</w:t>
                    <w:tab/>
                  </w:r>
                  <w:r>
                    <w:rPr>
                      <w:spacing w:val="-5"/>
                      <w:szCs w:val="24"/>
                    </w:rPr>
                    <w:t xml:space="preserve"> </w:t>
                  </w:r>
                  <w:r>
                    <w:rPr>
                      <w:szCs w:val="24"/>
                    </w:rPr>
                    <w:t xml:space="preserve">Aplinkos apsaugos departamentui paprašius, cheminės medžiagos gamintojas  leidžia susipažinti su kokybės valdymo sistema.</w:t>
                  </w:r>
                </w:p>
              </w:sdtContent>
            </w:sdt>
          </w:sdtContent>
        </w:sdt>
        <w:sdt>
          <w:sdtPr>
            <w:alias w:val="skyrius"/>
            <w:tag w:val="part_9db0450c74154e789bba21db7d46e904"/>
            <w:lock w:val="sdtLocked"/>
            <w:richText/>
          </w:sdtPr>
          <w:sdtContent>
            <w:p>
              <w:pPr>
                <w:ind w:firstLine="567"/>
                <w:jc w:val="center"/>
                <w:rPr>
                  <w:b/>
                  <w:color w:val="000000"/>
                  <w:szCs w:val="24"/>
                </w:rPr>
              </w:pPr>
              <w:sdt>
                <w:sdtPr>
                  <w:alias w:val="Numeris"/>
                  <w:tag w:val="nr_9db0450c74154e789bba21db7d46e904"/>
                  <w:lock w:val="sdtLocked"/>
                  <w:richText/>
                </w:sdtPr>
                <w:sdtContent>
                  <w:r>
                    <w:rPr>
                      <w:b/>
                      <w:color w:val="000000"/>
                      <w:szCs w:val="24"/>
                    </w:rPr>
                    <w:t>IX</w:t>
                  </w:r>
                </w:sdtContent>
              </w:sdt>
              <w:r>
                <w:rPr>
                  <w:b/>
                  <w:color w:val="000000"/>
                  <w:szCs w:val="24"/>
                </w:rPr>
                <w:t xml:space="preserve"> SKYRIUS</w:t>
              </w:r>
            </w:p>
            <w:p>
              <w:pPr>
                <w:ind w:firstLine="567"/>
                <w:jc w:val="center"/>
                <w:rPr>
                  <w:b/>
                  <w:color w:val="000000"/>
                  <w:szCs w:val="24"/>
                </w:rPr>
              </w:pPr>
              <w:sdt>
                <w:sdtPr>
                  <w:alias w:val="Pavadinimas"/>
                  <w:tag w:val="title_9db0450c74154e789bba21db7d46e904"/>
                  <w:lock w:val="sdtLocked"/>
                  <w:richText/>
                </w:sdtPr>
                <w:sdtContent>
                  <w:r>
                    <w:rPr>
                      <w:b/>
                      <w:color w:val="000000"/>
                      <w:szCs w:val="24"/>
                    </w:rPr>
                    <w:t>PELENŲ IR ŠLAKO ATLIEKŲ TYRIMO REIKALAVIMAI</w:t>
                  </w:r>
                </w:sdtContent>
              </w:sdt>
            </w:p>
            <w:p>
              <w:pPr>
                <w:ind w:firstLine="567"/>
                <w:jc w:val="center"/>
                <w:rPr>
                  <w:b/>
                  <w:color w:val="000000"/>
                  <w:szCs w:val="24"/>
                </w:rPr>
              </w:pPr>
            </w:p>
            <w:sdt>
              <w:sdtPr>
                <w:alias w:val="52 p."/>
                <w:tag w:val="part_747f55f2ff6945f3a0f95fa007a0755c"/>
                <w:lock w:val="sdtLocked"/>
                <w:richText/>
              </w:sdtPr>
              <w:sdtContent>
                <w:p>
                  <w:pPr>
                    <w:widowControl w:val="0"/>
                    <w:tabs>
                      <w:tab w:val="left" w:pos="606"/>
                      <w:tab w:val="left" w:pos="851"/>
                      <w:tab w:val="left" w:pos="993"/>
                    </w:tabs>
                    <w:ind w:firstLine="567"/>
                    <w:jc w:val="both"/>
                    <w:rPr>
                      <w:szCs w:val="24"/>
                    </w:rPr>
                  </w:pPr>
                  <w:sdt>
                    <w:sdtPr>
                      <w:alias w:val="Numeris"/>
                      <w:tag w:val="nr_747f55f2ff6945f3a0f95fa007a0755c"/>
                      <w:lock w:val="sdtLocked"/>
                      <w:richText/>
                    </w:sdtPr>
                    <w:sdtContent>
                      <w:r>
                        <w:rPr>
                          <w:szCs w:val="24"/>
                        </w:rPr>
                        <w:t>52</w:t>
                      </w:r>
                    </w:sdtContent>
                  </w:sdt>
                  <w:r>
                    <w:rPr>
                      <w:szCs w:val="24"/>
                    </w:rPr>
                    <w:t>.</w:t>
                    <w:tab/>
                  </w:r>
                  <w:r>
                    <w:rPr>
                      <w:szCs w:val="24"/>
                    </w:rPr>
                    <w:t xml:space="preserve">Pelenų ir šlako atliekų darytojas privalo identifikuoti ir klasifikuoti atliekų deginimo įrenginiuose ir bendro atliekų deginimo įrenginiuose susidariusias pelenų ir šlako atliekas, priskiriant atliekas nepavojingosioms arba pavojingosioms ir nustatant atliekų sąrašo kodą vadovaujantis Atliekų tvarkymo taisyklėmis. Aplinkos apsaugos departamento atliekamo pelnų ir šlako atliekų darytojo ūkinės veiklos patikrinimo metu, Aplinkos apsaugos departamento pareigūnui nurodžius, jei kyla abejonių dėl tinkamo atliekų klasifikavimo, pelenų ir šlako atliekų darytojas privalo atlikti atliekų deginimo įrenginiuose ir bendro atliekų deginimo įrenginiuose susidariusių pelenų ir šlako atliekų ėminių cheminę analizę ir tyrimus, siekiant nustatyti, ar atliekoms gali būti būdingos kurios nors pavojingosios savybės, nurodytos 2014 m. gruodžio 18 d. Komisijos reglamento </w:t>
                  </w:r>
                  <w:fldSimple w:instr="HYPERLINK http://eur-lex.europa.eu/legal-content/LIT/TXT/?uri=CELEX:32014R1357&amp;locale=lt \t _blank">
                    <w:r>
                      <w:rPr>
                        <w:szCs w:val="24"/>
                        <w:u w:val="single"/>
                        <w:color w:val="0000FF" w:themeColor="hyperlink"/>
                      </w:rPr>
                      <w:t>(ES) Nr. 1357/2014</w:t>
                    </w:r>
                  </w:fldSimple>
                  <w:r>
                    <w:rPr>
                      <w:szCs w:val="24"/>
                    </w:rPr>
                    <w:t xml:space="preserve">, kuriuo pakeičiamas Europos Parlamento ir Tarybos direktyvos </w:t>
                  </w:r>
                  <w:fldSimple w:instr="HYPERLINK http://eur-lex.europa.eu/legal-content/LIT/TXT/?uri=CELEX:32008L0098&amp;locale=lt \t _blank">
                    <w:r>
                      <w:rPr>
                        <w:szCs w:val="24"/>
                        <w:u w:val="single"/>
                        <w:color w:val="0000FF" w:themeColor="hyperlink"/>
                      </w:rPr>
                      <w:t>2008/98/EB</w:t>
                    </w:r>
                  </w:fldSimple>
                  <w:r>
                    <w:rPr>
                      <w:szCs w:val="24"/>
                    </w:rPr>
                    <w:t xml:space="preserve"> dėl atliekų ir panaikinančios kai kurias direktyvas III  priedas, priede ir 2017 m. birželio 8 d. Tarybos reglamento </w:t>
                  </w:r>
                  <w:fldSimple w:instr="HYPERLINK http://eur-lex.europa.eu/legal-content/LIT/TXT/?uri=CELEX:3997R2017&amp;locale=lt \t _blank">
                    <w:r>
                      <w:rPr>
                        <w:szCs w:val="24"/>
                        <w:u w:val="single"/>
                        <w:color w:val="0000FF" w:themeColor="hyperlink"/>
                      </w:rPr>
                      <w:t>(ES) 2017/997</w:t>
                    </w:r>
                  </w:fldSimple>
                  <w:r>
                    <w:rPr>
                      <w:szCs w:val="24"/>
                    </w:rPr>
                    <w:t xml:space="preserve">, kuriuo iš dalies keičiamos Europos Parlamento ir Tarybos direktyvos </w:t>
                  </w:r>
                  <w:fldSimple w:instr="HYPERLINK http://eur-lex.europa.eu/legal-content/LIT/TXT/?uri=CELEX:32008L0098&amp;locale=lt \t _blank">
                    <w:r>
                      <w:rPr>
                        <w:szCs w:val="24"/>
                        <w:u w:val="single"/>
                        <w:color w:val="0000FF" w:themeColor="hyperlink"/>
                      </w:rPr>
                      <w:t>2008/98/EB</w:t>
                    </w:r>
                  </w:fldSimple>
                  <w:r>
                    <w:rPr>
                      <w:szCs w:val="24"/>
                    </w:rPr>
                    <w:t xml:space="preserve"> III priedo nuostatos dėl pavojingos savybės HP 14 „ekotoksiškumas“, priede. Atliekų ėminiai paimami ir cheminė analizė atliekama vadovaujantis Europos Komisijos parengtomis Atliekų klasifikavimo techninės gairėmis. Gavus laboratorinių tyrimų rezultatus, per 3 (tris) darbo dienas nuo rezultatų gavimo dienos pelenų ir šlako atliekų darytojas apie rezultatus,  informuoja Aplinkos apsaugos departamentą.</w:t>
                  </w:r>
                </w:p>
              </w:sdtContent>
            </w:sdt>
            <w:sdt>
              <w:sdtPr>
                <w:alias w:val="53 p."/>
                <w:tag w:val="part_f4f43d69a0b043e19ec8e92842931fe5"/>
                <w:lock w:val="sdtLocked"/>
                <w:richText/>
              </w:sdtPr>
              <w:sdtContent>
                <w:p>
                  <w:pPr>
                    <w:tabs>
                      <w:tab w:val="left" w:pos="993"/>
                    </w:tabs>
                    <w:ind w:firstLine="567"/>
                    <w:jc w:val="both"/>
                    <w:rPr>
                      <w:szCs w:val="24"/>
                    </w:rPr>
                  </w:pPr>
                  <w:sdt>
                    <w:sdtPr>
                      <w:alias w:val="Numeris"/>
                      <w:tag w:val="nr_f4f43d69a0b043e19ec8e92842931fe5"/>
                      <w:lock w:val="sdtLocked"/>
                      <w:richText/>
                    </w:sdtPr>
                    <w:sdtContent>
                      <w:r>
                        <w:rPr>
                          <w:szCs w:val="24"/>
                        </w:rPr>
                        <w:t>53</w:t>
                      </w:r>
                    </w:sdtContent>
                  </w:sdt>
                  <w:r>
                    <w:rPr>
                      <w:szCs w:val="24"/>
                    </w:rPr>
                    <w:t>.</w:t>
                    <w:tab/>
                    <w:t xml:space="preserve"> Prieš nusprendžiant, ar pelenų ir šlako atliekos bus vežamos šalinti arba perdirbti, pelenų ir šlako atliekų darytojas ne rečiau kaip kartą per 6 (šešis) mėnesius atlieka neapdorotų pelenų ir šlako atliekų cheminės sudėties tyrimus. Ribinės išplovimo vertės ir papildomų kriterijų ribinės vertės turi neviršyti Atliekų sąvartynų taisyklių 2 priedėlio 3 ir 4 lentelėse nustatytų reikalavimų. </w:t>
                  </w:r>
                </w:p>
              </w:sdtContent>
            </w:sdt>
            <w:sdt>
              <w:sdtPr>
                <w:alias w:val="54 p."/>
                <w:tag w:val="part_35306435ce37473e960d6bbb4720da24"/>
                <w:lock w:val="sdtLocked"/>
                <w:richText/>
              </w:sdtPr>
              <w:sdtContent>
                <w:p>
                  <w:pPr>
                    <w:tabs>
                      <w:tab w:val="left" w:pos="993"/>
                    </w:tabs>
                    <w:ind w:firstLine="567"/>
                    <w:jc w:val="both"/>
                    <w:rPr>
                      <w:color w:val="000000"/>
                      <w:szCs w:val="24"/>
                    </w:rPr>
                  </w:pPr>
                  <w:sdt>
                    <w:sdtPr>
                      <w:alias w:val="Numeris"/>
                      <w:tag w:val="nr_35306435ce37473e960d6bbb4720da24"/>
                      <w:lock w:val="sdtLocked"/>
                      <w:richText/>
                    </w:sdtPr>
                    <w:sdtContent>
                      <w:r>
                        <w:rPr>
                          <w:color w:val="000000"/>
                          <w:szCs w:val="24"/>
                        </w:rPr>
                        <w:t>54</w:t>
                      </w:r>
                    </w:sdtContent>
                  </w:sdt>
                  <w:r>
                    <w:rPr>
                      <w:color w:val="000000"/>
                      <w:szCs w:val="24"/>
                    </w:rPr>
                    <w:t>.</w:t>
                    <w:tab/>
                  </w:r>
                  <w:r>
                    <w:rPr>
                      <w:szCs w:val="24"/>
                    </w:rPr>
                    <w:t xml:space="preserve">Pelenų ir šlako ėminiai imami Lietuvos standarto LST EN 932-1 „Užpildų pagrindinių savybių nustatymo metodai. 1 dalis. Ėminio ėmimo metodai“ nustatyta tvarka. Pelenų ir šlako tyrimui turi būti paimti 6 (šeši), ne mažesni kaip 0,5 kg svorio momentiniai ėminiai iš skirtingų to paties kaupo vietų. 6 (šeši) momentiniai ėminiai sumaišomi ir paruošiamas sudėtinis ėminys, kuris dalinamas į dvi lygias dalis, kurių viena dalis  siunčiama į laboratoriją, kitą dalį – vienerius metus saugo pelenų ir šlako tvarkytojas. Informacija apie ėminio paėmimą pelenų ir šlako atliekų ėminių ėmimo dokumente / protokole rengiama pagal 55 punkte nurodytus reikalavimus. Ėminio ėmimo dokumentą ar jo kopiją vienerius </w:t>
                  </w:r>
                  <w:r>
                    <w:rPr>
                      <w:color w:val="000000"/>
                      <w:szCs w:val="24"/>
                    </w:rPr>
                    <w:t xml:space="preserve">metus saugo pelenų ir šlako tvarkytojas. Į laboratoriją ėminys siunčiamas su ėminių ėmimo dokumentu ar jo kopija. </w:t>
                  </w:r>
                </w:p>
              </w:sdtContent>
            </w:sdt>
            <w:sdt>
              <w:sdtPr>
                <w:alias w:val="55 p."/>
                <w:tag w:val="part_cbd9431b1ff9421fbe216d127ee8a62e"/>
                <w:lock w:val="sdtLocked"/>
                <w:richText/>
              </w:sdtPr>
              <w:sdtContent>
                <w:p>
                  <w:pPr>
                    <w:tabs>
                      <w:tab w:val="left" w:pos="993"/>
                    </w:tabs>
                    <w:ind w:left="709" w:hanging="142"/>
                    <w:jc w:val="both"/>
                    <w:rPr>
                      <w:color w:val="000000"/>
                      <w:szCs w:val="24"/>
                    </w:rPr>
                  </w:pPr>
                  <w:sdt>
                    <w:sdtPr>
                      <w:alias w:val="Numeris"/>
                      <w:tag w:val="nr_cbd9431b1ff9421fbe216d127ee8a62e"/>
                      <w:lock w:val="sdtLocked"/>
                      <w:richText/>
                    </w:sdtPr>
                    <w:sdtContent>
                      <w:r>
                        <w:rPr>
                          <w:color w:val="000000"/>
                          <w:szCs w:val="24"/>
                        </w:rPr>
                        <w:t>55</w:t>
                      </w:r>
                    </w:sdtContent>
                  </w:sdt>
                  <w:r>
                    <w:rPr>
                      <w:color w:val="000000"/>
                      <w:szCs w:val="24"/>
                    </w:rPr>
                    <w:t>.</w:t>
                    <w:tab/>
                    <w:t>Ėminio dokumente / protokole turi būti nurodyta:</w:t>
                  </w:r>
                </w:p>
                <w:sdt>
                  <w:sdtPr>
                    <w:alias w:val="55.1 pp."/>
                    <w:tag w:val="part_c2a3e2d1803a49eaa8357a67e1f8821d"/>
                    <w:lock w:val="sdtLocked"/>
                    <w:richText/>
                  </w:sdtPr>
                  <w:sdtContent>
                    <w:p>
                      <w:pPr>
                        <w:ind w:firstLine="567"/>
                        <w:jc w:val="both"/>
                        <w:rPr>
                          <w:color w:val="000000"/>
                          <w:szCs w:val="24"/>
                        </w:rPr>
                      </w:pPr>
                      <w:sdt>
                        <w:sdtPr>
                          <w:alias w:val="Numeris"/>
                          <w:tag w:val="nr_c2a3e2d1803a49eaa8357a67e1f8821d"/>
                          <w:lock w:val="sdtLocked"/>
                          <w:richText/>
                        </w:sdtPr>
                        <w:sdtContent>
                          <w:r>
                            <w:rPr>
                              <w:color w:val="000000"/>
                              <w:szCs w:val="24"/>
                            </w:rPr>
                            <w:t>55.1</w:t>
                          </w:r>
                        </w:sdtContent>
                      </w:sdt>
                      <w:r>
                        <w:rPr>
                          <w:color w:val="000000"/>
                          <w:szCs w:val="24"/>
                        </w:rPr>
                        <w:t>. Įmonės rekvizitai;</w:t>
                      </w:r>
                    </w:p>
                  </w:sdtContent>
                </w:sdt>
                <w:sdt>
                  <w:sdtPr>
                    <w:alias w:val="55.2 pp."/>
                    <w:tag w:val="part_845190038f734563a99b5e10ec3b4fb1"/>
                    <w:lock w:val="sdtLocked"/>
                    <w:richText/>
                  </w:sdtPr>
                  <w:sdtContent>
                    <w:p>
                      <w:pPr>
                        <w:ind w:firstLine="567"/>
                        <w:jc w:val="both"/>
                        <w:rPr>
                          <w:color w:val="000000"/>
                          <w:szCs w:val="24"/>
                        </w:rPr>
                      </w:pPr>
                      <w:sdt>
                        <w:sdtPr>
                          <w:alias w:val="Numeris"/>
                          <w:tag w:val="nr_845190038f734563a99b5e10ec3b4fb1"/>
                          <w:lock w:val="sdtLocked"/>
                          <w:richText/>
                        </w:sdtPr>
                        <w:sdtContent>
                          <w:r>
                            <w:rPr>
                              <w:color w:val="000000"/>
                              <w:szCs w:val="24"/>
                            </w:rPr>
                            <w:t>55.2</w:t>
                          </w:r>
                        </w:sdtContent>
                      </w:sdt>
                      <w:r>
                        <w:rPr>
                          <w:color w:val="000000"/>
                          <w:szCs w:val="24"/>
                        </w:rPr>
                        <w:t>. Ėminio paėmimo data ir valanda;</w:t>
                      </w:r>
                    </w:p>
                  </w:sdtContent>
                </w:sdt>
                <w:sdt>
                  <w:sdtPr>
                    <w:alias w:val="55.3 pp."/>
                    <w:tag w:val="part_820e19b574c64efca3f3a8cfa2bc83f6"/>
                    <w:lock w:val="sdtLocked"/>
                    <w:richText/>
                  </w:sdtPr>
                  <w:sdtContent>
                    <w:p>
                      <w:pPr>
                        <w:ind w:firstLine="567"/>
                        <w:jc w:val="both"/>
                        <w:rPr>
                          <w:color w:val="000000"/>
                          <w:szCs w:val="24"/>
                        </w:rPr>
                      </w:pPr>
                      <w:sdt>
                        <w:sdtPr>
                          <w:alias w:val="Numeris"/>
                          <w:tag w:val="nr_820e19b574c64efca3f3a8cfa2bc83f6"/>
                          <w:lock w:val="sdtLocked"/>
                          <w:richText/>
                        </w:sdtPr>
                        <w:sdtContent>
                          <w:r>
                            <w:rPr>
                              <w:color w:val="000000"/>
                              <w:szCs w:val="24"/>
                            </w:rPr>
                            <w:t>55.3</w:t>
                          </w:r>
                        </w:sdtContent>
                      </w:sdt>
                      <w:r>
                        <w:rPr>
                          <w:color w:val="000000"/>
                          <w:szCs w:val="24"/>
                        </w:rPr>
                        <w:t>. Ėminio paėmimo vieta (įmonės pavadinimas, adresas, įrenginys ir tiksli vieta aikštelėje, pridedant schemą ar kitą informaciją, leidžiančią tiksliai identifikuoti ėminio paėmimo vietą);</w:t>
                      </w:r>
                    </w:p>
                  </w:sdtContent>
                </w:sdt>
                <w:sdt>
                  <w:sdtPr>
                    <w:alias w:val="55.4 pp."/>
                    <w:tag w:val="part_39c405642c954981b9837119d691c16a"/>
                    <w:lock w:val="sdtLocked"/>
                    <w:richText/>
                  </w:sdtPr>
                  <w:sdtContent>
                    <w:p>
                      <w:pPr>
                        <w:ind w:firstLine="567"/>
                        <w:jc w:val="both"/>
                        <w:rPr>
                          <w:color w:val="000000"/>
                          <w:szCs w:val="24"/>
                        </w:rPr>
                      </w:pPr>
                      <w:sdt>
                        <w:sdtPr>
                          <w:alias w:val="Numeris"/>
                          <w:tag w:val="nr_39c405642c954981b9837119d691c16a"/>
                          <w:lock w:val="sdtLocked"/>
                          <w:richText/>
                        </w:sdtPr>
                        <w:sdtContent>
                          <w:r>
                            <w:rPr>
                              <w:color w:val="000000"/>
                              <w:szCs w:val="24"/>
                            </w:rPr>
                            <w:t>55.4</w:t>
                          </w:r>
                        </w:sdtContent>
                      </w:sdt>
                      <w:r>
                        <w:rPr>
                          <w:color w:val="000000"/>
                          <w:szCs w:val="24"/>
                        </w:rPr>
                        <w:t>. Ėminį paėmusio asmens vardas, pavardė ir pareigos, įmonės pavadinimas;</w:t>
                      </w:r>
                    </w:p>
                  </w:sdtContent>
                </w:sdt>
                <w:sdt>
                  <w:sdtPr>
                    <w:alias w:val="55.5 pp."/>
                    <w:tag w:val="part_fb93606a7f5445aea560a81c82e9f4d5"/>
                    <w:lock w:val="sdtLocked"/>
                    <w:richText/>
                  </w:sdtPr>
                  <w:sdtContent>
                    <w:p>
                      <w:pPr>
                        <w:ind w:firstLine="567"/>
                        <w:jc w:val="both"/>
                        <w:rPr>
                          <w:color w:val="000000"/>
                          <w:szCs w:val="24"/>
                        </w:rPr>
                      </w:pPr>
                      <w:sdt>
                        <w:sdtPr>
                          <w:alias w:val="Numeris"/>
                          <w:tag w:val="nr_fb93606a7f5445aea560a81c82e9f4d5"/>
                          <w:lock w:val="sdtLocked"/>
                          <w:richText/>
                        </w:sdtPr>
                        <w:sdtContent>
                          <w:r>
                            <w:rPr>
                              <w:color w:val="000000"/>
                              <w:szCs w:val="24"/>
                            </w:rPr>
                            <w:t>55.5</w:t>
                          </w:r>
                        </w:sdtContent>
                      </w:sdt>
                      <w:r>
                        <w:rPr>
                          <w:color w:val="000000"/>
                          <w:szCs w:val="24"/>
                        </w:rPr>
                        <w:t xml:space="preserve">. Ėminio dalies, siunčiamo į laboratoriją, svoris, kg; </w:t>
                        <w:cr/>
                        <w:t xml:space="preserve">         55.6. Pelenų / šlako atliekų frakcija, mm;</w:t>
                      </w:r>
                    </w:p>
                  </w:sdtContent>
                </w:sdt>
                <w:sdt>
                  <w:sdtPr>
                    <w:alias w:val="55.7 pp."/>
                    <w:tag w:val="part_288c4c8765144a1fb691c39cae6b4db0"/>
                    <w:lock w:val="sdtLocked"/>
                    <w:richText/>
                  </w:sdtPr>
                  <w:sdtContent>
                    <w:p>
                      <w:pPr>
                        <w:ind w:firstLine="567"/>
                        <w:jc w:val="both"/>
                        <w:rPr>
                          <w:color w:val="000000"/>
                          <w:szCs w:val="24"/>
                        </w:rPr>
                      </w:pPr>
                      <w:sdt>
                        <w:sdtPr>
                          <w:alias w:val="Numeris"/>
                          <w:tag w:val="nr_288c4c8765144a1fb691c39cae6b4db0"/>
                          <w:lock w:val="sdtLocked"/>
                          <w:richText/>
                        </w:sdtPr>
                        <w:sdtContent>
                          <w:r>
                            <w:rPr>
                              <w:color w:val="000000"/>
                              <w:szCs w:val="24"/>
                            </w:rPr>
                            <w:t>55.7</w:t>
                          </w:r>
                        </w:sdtContent>
                      </w:sdt>
                      <w:r>
                        <w:rPr>
                          <w:color w:val="000000"/>
                          <w:szCs w:val="24"/>
                        </w:rPr>
                        <w:t xml:space="preserve">. Pelenų / šlako atliekų apdorojimo būdas (sendintas, sijotas, plautas ar pan.); </w:t>
                      </w:r>
                    </w:p>
                  </w:sdtContent>
                </w:sdt>
                <w:sdt>
                  <w:sdtPr>
                    <w:alias w:val="55.8 pp."/>
                    <w:tag w:val="part_cc30e6cf6f57473f97060a40278d7f20"/>
                    <w:lock w:val="sdtLocked"/>
                    <w:richText/>
                  </w:sdtPr>
                  <w:sdtContent>
                    <w:p>
                      <w:pPr>
                        <w:ind w:firstLine="567"/>
                        <w:jc w:val="both"/>
                        <w:rPr>
                          <w:color w:val="000000"/>
                          <w:szCs w:val="24"/>
                        </w:rPr>
                      </w:pPr>
                      <w:sdt>
                        <w:sdtPr>
                          <w:alias w:val="Numeris"/>
                          <w:tag w:val="nr_cc30e6cf6f57473f97060a40278d7f20"/>
                          <w:lock w:val="sdtLocked"/>
                          <w:richText/>
                        </w:sdtPr>
                        <w:sdtContent>
                          <w:r>
                            <w:rPr>
                              <w:color w:val="000000"/>
                              <w:szCs w:val="24"/>
                            </w:rPr>
                            <w:t>55.8</w:t>
                          </w:r>
                        </w:sdtContent>
                      </w:sdt>
                      <w:r>
                        <w:rPr>
                          <w:color w:val="000000"/>
                          <w:szCs w:val="24"/>
                        </w:rPr>
                        <w:t xml:space="preserve">. Ėminio išsiuntimo į laboratoriją data ir valanda; </w:t>
                      </w:r>
                    </w:p>
                  </w:sdtContent>
                </w:sdt>
                <w:sdt>
                  <w:sdtPr>
                    <w:alias w:val="55.9 pp."/>
                    <w:tag w:val="part_4c874c1cdd49440395a16c2b1c5e86c4"/>
                    <w:lock w:val="sdtLocked"/>
                    <w:richText/>
                  </w:sdtPr>
                  <w:sdtContent>
                    <w:p>
                      <w:pPr>
                        <w:ind w:firstLine="567"/>
                        <w:jc w:val="both"/>
                        <w:rPr>
                          <w:color w:val="000000"/>
                          <w:szCs w:val="24"/>
                        </w:rPr>
                      </w:pPr>
                      <w:sdt>
                        <w:sdtPr>
                          <w:alias w:val="Numeris"/>
                          <w:tag w:val="nr_4c874c1cdd49440395a16c2b1c5e86c4"/>
                          <w:lock w:val="sdtLocked"/>
                          <w:richText/>
                        </w:sdtPr>
                        <w:sdtContent>
                          <w:r>
                            <w:rPr>
                              <w:color w:val="000000"/>
                              <w:szCs w:val="24"/>
                            </w:rPr>
                            <w:t>55.9</w:t>
                          </w:r>
                        </w:sdtContent>
                      </w:sdt>
                      <w:r>
                        <w:rPr>
                          <w:color w:val="000000"/>
                          <w:szCs w:val="24"/>
                        </w:rPr>
                        <w:t>. Laboratorijos pavadinimas ir adresas;</w:t>
                      </w:r>
                    </w:p>
                  </w:sdtContent>
                </w:sdt>
                <w:sdt>
                  <w:sdtPr>
                    <w:alias w:val="55.10 pp."/>
                    <w:tag w:val="part_10d8d9d2865441b5a687d6808729cc78"/>
                    <w:lock w:val="sdtLocked"/>
                    <w:richText/>
                  </w:sdtPr>
                  <w:sdtContent>
                    <w:p>
                      <w:pPr>
                        <w:ind w:firstLine="567"/>
                        <w:jc w:val="both"/>
                        <w:rPr>
                          <w:color w:val="000000"/>
                          <w:szCs w:val="24"/>
                        </w:rPr>
                      </w:pPr>
                      <w:sdt>
                        <w:sdtPr>
                          <w:alias w:val="Numeris"/>
                          <w:tag w:val="nr_10d8d9d2865441b5a687d6808729cc78"/>
                          <w:lock w:val="sdtLocked"/>
                          <w:richText/>
                        </w:sdtPr>
                        <w:sdtContent>
                          <w:r>
                            <w:rPr>
                              <w:color w:val="000000"/>
                              <w:szCs w:val="24"/>
                            </w:rPr>
                            <w:t>55.10</w:t>
                          </w:r>
                        </w:sdtContent>
                      </w:sdt>
                      <w:r>
                        <w:rPr>
                          <w:color w:val="000000"/>
                          <w:szCs w:val="24"/>
                        </w:rPr>
                        <w:t xml:space="preserve">. Tyrimo tikslas; </w:t>
                      </w:r>
                    </w:p>
                  </w:sdtContent>
                </w:sdt>
                <w:sdt>
                  <w:sdtPr>
                    <w:alias w:val="55.11 pp."/>
                    <w:tag w:val="part_ab3ce77f27c5467b88dcadd4e4439ded"/>
                    <w:lock w:val="sdtLocked"/>
                    <w:richText/>
                  </w:sdtPr>
                  <w:sdtContent>
                    <w:p>
                      <w:pPr>
                        <w:ind w:firstLine="567"/>
                        <w:jc w:val="both"/>
                        <w:rPr>
                          <w:color w:val="000000"/>
                          <w:szCs w:val="24"/>
                        </w:rPr>
                      </w:pPr>
                      <w:sdt>
                        <w:sdtPr>
                          <w:alias w:val="Numeris"/>
                          <w:tag w:val="nr_ab3ce77f27c5467b88dcadd4e4439ded"/>
                          <w:lock w:val="sdtLocked"/>
                          <w:richText/>
                        </w:sdtPr>
                        <w:sdtContent>
                          <w:r>
                            <w:rPr>
                              <w:color w:val="000000"/>
                              <w:szCs w:val="24"/>
                            </w:rPr>
                            <w:t>55.11</w:t>
                          </w:r>
                        </w:sdtContent>
                      </w:sdt>
                      <w:r>
                        <w:rPr>
                          <w:color w:val="000000"/>
                          <w:szCs w:val="24"/>
                        </w:rPr>
                        <w:t xml:space="preserve">. Ėminio pakuotė (nurodyti ėminio pakuotės dydį, tipą ir indentifikavimo numerį); </w:t>
                      </w:r>
                    </w:p>
                  </w:sdtContent>
                </w:sdt>
                <w:sdt>
                  <w:sdtPr>
                    <w:alias w:val="55.12 pp."/>
                    <w:tag w:val="part_1b91d79806b740d6a01bb2aa93add823"/>
                    <w:lock w:val="sdtLocked"/>
                    <w:richText/>
                  </w:sdtPr>
                  <w:sdtContent>
                    <w:p>
                      <w:pPr>
                        <w:ind w:firstLine="567"/>
                        <w:jc w:val="both"/>
                        <w:rPr>
                          <w:color w:val="000000"/>
                          <w:szCs w:val="24"/>
                        </w:rPr>
                      </w:pPr>
                      <w:sdt>
                        <w:sdtPr>
                          <w:alias w:val="Numeris"/>
                          <w:tag w:val="nr_1b91d79806b740d6a01bb2aa93add823"/>
                          <w:lock w:val="sdtLocked"/>
                          <w:richText/>
                        </w:sdtPr>
                        <w:sdtContent>
                          <w:r>
                            <w:rPr>
                              <w:color w:val="000000"/>
                              <w:szCs w:val="24"/>
                            </w:rPr>
                            <w:t>55.12</w:t>
                          </w:r>
                        </w:sdtContent>
                      </w:sdt>
                      <w:r>
                        <w:rPr>
                          <w:color w:val="000000"/>
                          <w:szCs w:val="24"/>
                        </w:rPr>
                        <w:t>. Ėminio konteinerio numeris;</w:t>
                      </w:r>
                    </w:p>
                  </w:sdtContent>
                </w:sdt>
                <w:sdt>
                  <w:sdtPr>
                    <w:alias w:val="55.13 pp."/>
                    <w:tag w:val="part_8b07e2018e4746fa9cf205d9f1405caf"/>
                    <w:lock w:val="sdtLocked"/>
                    <w:richText/>
                  </w:sdtPr>
                  <w:sdtContent>
                    <w:p>
                      <w:pPr>
                        <w:ind w:firstLine="567"/>
                        <w:jc w:val="both"/>
                        <w:rPr>
                          <w:color w:val="000000"/>
                          <w:szCs w:val="24"/>
                        </w:rPr>
                      </w:pPr>
                      <w:sdt>
                        <w:sdtPr>
                          <w:alias w:val="Numeris"/>
                          <w:tag w:val="nr_8b07e2018e4746fa9cf205d9f1405caf"/>
                          <w:lock w:val="sdtLocked"/>
                          <w:richText/>
                        </w:sdtPr>
                        <w:sdtContent>
                          <w:r>
                            <w:rPr>
                              <w:color w:val="000000"/>
                              <w:szCs w:val="24"/>
                            </w:rPr>
                            <w:t>55.13</w:t>
                          </w:r>
                        </w:sdtContent>
                      </w:sdt>
                      <w:r>
                        <w:rPr>
                          <w:color w:val="000000"/>
                          <w:szCs w:val="24"/>
                        </w:rPr>
                        <w:t>. Kita aktuali informacija.</w:t>
                      </w:r>
                    </w:p>
                  </w:sdtContent>
                </w:sdt>
              </w:sdtContent>
            </w:sdt>
            <w:sdt>
              <w:sdtPr>
                <w:alias w:val="56 p."/>
                <w:tag w:val="part_9d0df9b958de4fc190737194b2df9458"/>
                <w:lock w:val="sdtLocked"/>
                <w:richText/>
              </w:sdtPr>
              <w:sdtContent>
                <w:p>
                  <w:pPr>
                    <w:widowControl w:val="0"/>
                    <w:tabs>
                      <w:tab w:val="left" w:pos="993"/>
                    </w:tabs>
                    <w:ind w:firstLine="567"/>
                    <w:jc w:val="both"/>
                    <w:rPr>
                      <w:color w:val="000000"/>
                      <w:szCs w:val="24"/>
                    </w:rPr>
                  </w:pPr>
                  <w:sdt>
                    <w:sdtPr>
                      <w:alias w:val="Numeris"/>
                      <w:tag w:val="nr_9d0df9b958de4fc190737194b2df9458"/>
                      <w:lock w:val="sdtLocked"/>
                      <w:richText/>
                    </w:sdtPr>
                    <w:sdtContent>
                      <w:r>
                        <w:rPr>
                          <w:color w:val="000000"/>
                          <w:szCs w:val="24"/>
                        </w:rPr>
                        <w:t>56</w:t>
                      </w:r>
                    </w:sdtContent>
                  </w:sdt>
                  <w:r>
                    <w:rPr>
                      <w:color w:val="000000"/>
                      <w:szCs w:val="24"/>
                    </w:rPr>
                    <w:t>.</w:t>
                    <w:tab/>
                    <w:t xml:space="preserve">Pelenų ir šlako atliekų išplovimo tyrimui eliuatas turi būti paruoštas pagal Lietuvos standartą LST EN 12457-2 „Atliekų apibūdinimas. Išplovimas. Iš grūdėtų atliekų išplautų medžiagų ir dumblo sudėties atitikties tyrimas. 2 dalis. Vienpakopis partijos (tyrinio) tyrimas, kai skysčio ir kietosios medžiagos santykis 10 l/kg ir dalelių dydis mažesnis kaip 4 mm (dydį mažinant arba nemažinant)“ (aktuali redakcija). </w:t>
                  </w:r>
                </w:p>
              </w:sdtContent>
            </w:sdt>
            <w:sdt>
              <w:sdtPr>
                <w:alias w:val="57 p."/>
                <w:tag w:val="part_dda8f0555cf0427f9f323d4e8b3b41cc"/>
                <w:lock w:val="sdtLocked"/>
                <w:richText/>
              </w:sdtPr>
              <w:sdtContent>
                <w:p>
                  <w:pPr>
                    <w:widowControl w:val="0"/>
                    <w:tabs>
                      <w:tab w:val="left" w:pos="993"/>
                    </w:tabs>
                    <w:ind w:firstLine="567"/>
                    <w:jc w:val="both"/>
                    <w:rPr>
                      <w:color w:val="000000"/>
                      <w:szCs w:val="24"/>
                    </w:rPr>
                  </w:pPr>
                  <w:sdt>
                    <w:sdtPr>
                      <w:alias w:val="Numeris"/>
                      <w:tag w:val="nr_dda8f0555cf0427f9f323d4e8b3b41cc"/>
                      <w:lock w:val="sdtLocked"/>
                      <w:richText/>
                    </w:sdtPr>
                    <w:sdtContent>
                      <w:r>
                        <w:rPr>
                          <w:color w:val="000000"/>
                          <w:szCs w:val="24"/>
                        </w:rPr>
                        <w:t>57</w:t>
                      </w:r>
                    </w:sdtContent>
                  </w:sdt>
                  <w:r>
                    <w:rPr>
                      <w:color w:val="000000"/>
                      <w:szCs w:val="24"/>
                    </w:rPr>
                    <w:t>.</w:t>
                    <w:tab/>
                    <w:t xml:space="preserve">Pelenų ir šlako atliekų tyrimai turi būti atlikti </w:t>
                  </w:r>
                  <w:r>
                    <w:rPr>
                      <w:bCs/>
                      <w:color w:val="000000"/>
                      <w:szCs w:val="24"/>
                    </w:rPr>
                    <w:t>akredituotose, kaip atitinkančios standartą LST EN ISO/IEC 17025 arba</w:t>
                  </w:r>
                  <w:r>
                    <w:rPr>
                      <w:b/>
                      <w:bCs/>
                      <w:color w:val="000000"/>
                      <w:szCs w:val="24"/>
                    </w:rPr>
                    <w:t xml:space="preserve"> </w:t>
                  </w:r>
                  <w:r>
                    <w:rPr>
                      <w:bCs/>
                      <w:color w:val="000000"/>
                      <w:szCs w:val="24"/>
                    </w:rPr>
                    <w:t>lygiavertį standartą konkretiems teršalams tirti, matuoti, laboratoriniams tyrimams atlikti, laboratorijose. Pelenų ir šlako atliekų parametrų laboratorinio nustatymo metodai</w:t>
                  </w:r>
                  <w:r>
                    <w:rPr>
                      <w:color w:val="000000"/>
                      <w:szCs w:val="24"/>
                    </w:rPr>
                    <w:t xml:space="preserve"> </w:t>
                  </w:r>
                  <w:r>
                    <w:rPr>
                      <w:bCs/>
                      <w:color w:val="000000"/>
                      <w:szCs w:val="24"/>
                    </w:rPr>
                    <w:t xml:space="preserve">nurodyti Reikalavimų 2 priede,  pelenų ir šlako atliekų išplovimo tyrimo metodai </w:t>
                  </w:r>
                  <w:r>
                    <w:rPr>
                      <w:color w:val="000000"/>
                      <w:szCs w:val="24"/>
                    </w:rPr>
                    <w:t xml:space="preserve">nurodyti Reikalavimų 3 priede. </w:t>
                  </w:r>
                </w:p>
              </w:sdtContent>
            </w:sdt>
            <w:sdt>
              <w:sdtPr>
                <w:alias w:val="58 p."/>
                <w:tag w:val="part_5aee27c95b7543adad43756af14e4fc2"/>
                <w:lock w:val="sdtLocked"/>
                <w:richText/>
              </w:sdtPr>
              <w:sdtContent>
                <w:p>
                  <w:pPr>
                    <w:tabs>
                      <w:tab w:val="left" w:pos="993"/>
                    </w:tabs>
                    <w:ind w:firstLine="567"/>
                    <w:jc w:val="both"/>
                    <w:rPr>
                      <w:color w:val="000000"/>
                      <w:szCs w:val="24"/>
                    </w:rPr>
                  </w:pPr>
                  <w:sdt>
                    <w:sdtPr>
                      <w:alias w:val="Numeris"/>
                      <w:tag w:val="nr_5aee27c95b7543adad43756af14e4fc2"/>
                      <w:lock w:val="sdtLocked"/>
                      <w:richText/>
                    </w:sdtPr>
                    <w:sdtContent>
                      <w:r>
                        <w:rPr>
                          <w:color w:val="000000"/>
                          <w:szCs w:val="24"/>
                        </w:rPr>
                        <w:t>58</w:t>
                      </w:r>
                    </w:sdtContent>
                  </w:sdt>
                  <w:r>
                    <w:rPr>
                      <w:color w:val="000000"/>
                      <w:szCs w:val="24"/>
                    </w:rPr>
                    <w:t>.</w:t>
                    <w:tab/>
                    <w:t>Atliekų tvarkytojas turi saugoti laboratorinių tyrimų rezultatus ne trumpiau kaip penkerius metus po jų išdavimo dienos ir pateikti juos aplinkos apsaugos valstybinę kontrolę, statybos valstybinę priežiūrą vykdančioms ar valstybės politiką vartotojų teisių apsaugos srityje įgyvendinančioms institucijoms, joms to paprašius.</w:t>
                  </w:r>
                </w:p>
                <w:p>
                  <w:pPr>
                    <w:ind w:firstLine="567"/>
                    <w:jc w:val="center"/>
                    <w:rPr>
                      <w:spacing w:val="-5"/>
                      <w:szCs w:val="24"/>
                    </w:rPr>
                  </w:pPr>
                </w:p>
                <w:p>
                  <w:pPr>
                    <w:ind w:firstLine="567"/>
                    <w:jc w:val="center"/>
                  </w:pPr>
                  <w:r>
                    <w:rPr>
                      <w:color w:val="000000"/>
                      <w:szCs w:val="24"/>
                      <w:lang w:eastAsia="lt-LT"/>
                    </w:rPr>
                    <w:t>___________________________________</w:t>
                  </w:r>
                </w:p>
                <w:p>
                  <w:pPr>
                    <w:jc w:val="right"/>
                  </w:pPr>
                </w:p>
                <w:p>
                  <w:pPr>
                    <w:jc w:val="right"/>
                  </w:pPr>
                </w:p>
                <w:p>
                  <w:pPr>
                    <w:jc w:val="right"/>
                    <w:sectPr>
                      <w:footnotePr>
                        <w:pos w:val="beneathText"/>
                      </w:footnotePr>
                      <w:pgSz w:w="11905" w:h="16837" w:code="9"/>
                      <w:pgMar w:top="1134" w:right="567" w:bottom="1134" w:left="1701" w:header="794" w:footer="919" w:gutter="0"/>
                      <w:cols w:space="1296"/>
                      <w:formProt w:val="0"/>
                      <w:titlePg/>
                      <w:docGrid w:linePitch="360"/>
                    </w:sectPr>
                  </w:pPr>
                </w:p>
                <w:p>
                  <w:pPr>
                    <w:tabs>
                      <w:tab w:val="center" w:pos="4986"/>
                      <w:tab w:val="right" w:pos="9972"/>
                    </w:tabs>
                  </w:pPr>
                </w:p>
              </w:sdtContent>
            </w:sdt>
          </w:sdtContent>
        </w:sdt>
      </w:sdtContent>
    </w:sdt>
    <w:sdt>
      <w:sdtPr>
        <w:alias w:val="1 pr."/>
        <w:tag w:val="part_a5d3392611fc4433a4a1460ffab1535b"/>
        <w:lock w:val="sdtLocked"/>
        <w:richText/>
      </w:sdtPr>
      <w:sdtContent>
        <w:p>
          <w:pPr>
            <w:ind w:firstLine="5387"/>
            <w:jc w:val="right"/>
            <w:rPr>
              <w:bCs/>
            </w:rPr>
          </w:pPr>
          <w:r>
            <w:rPr>
              <w:bCs/>
            </w:rPr>
            <w:t xml:space="preserve">Atliekų deginimo įrenginiuose ir bendro atliekų deginimo įrenginiuose susidariusių </w:t>
          </w:r>
        </w:p>
        <w:p>
          <w:pPr>
            <w:ind w:firstLine="5511"/>
            <w:jc w:val="right"/>
          </w:pPr>
          <w:r>
            <w:rPr>
              <w:bCs/>
            </w:rPr>
            <w:t xml:space="preserve">nepavojingųjų pelenų ir šlako atliekų  tvarkymo ir panaudojimo reikalavimų</w:t>
          </w:r>
        </w:p>
        <w:p>
          <w:pPr>
            <w:ind w:left="5040" w:firstLine="3782"/>
          </w:pPr>
          <w:sdt>
            <w:sdtPr>
              <w:alias w:val="Numeris"/>
              <w:tag w:val="nr_a5d3392611fc4433a4a1460ffab1535b"/>
              <w:lock w:val="sdtLocked"/>
              <w:richText/>
            </w:sdtPr>
            <w:sdtContent>
              <w:r>
                <w:t>1</w:t>
              </w:r>
            </w:sdtContent>
          </w:sdt>
          <w:r>
            <w:t xml:space="preserve"> priedas </w:t>
          </w:r>
        </w:p>
        <w:p>
          <w:pPr>
            <w:ind w:firstLine="567"/>
            <w:jc w:val="both"/>
            <w:rPr>
              <w:color w:val="000000"/>
              <w:szCs w:val="24"/>
              <w:lang w:eastAsia="lt-LT"/>
            </w:rPr>
          </w:pPr>
        </w:p>
        <w:p>
          <w:pPr>
            <w:ind w:firstLine="567"/>
            <w:jc w:val="both"/>
            <w:rPr>
              <w:color w:val="000000"/>
              <w:szCs w:val="24"/>
              <w:lang w:eastAsia="lt-LT"/>
            </w:rPr>
          </w:pPr>
        </w:p>
        <w:p>
          <w:pPr>
            <w:jc w:val="center"/>
            <w:rPr>
              <w:b/>
            </w:rPr>
          </w:pPr>
          <w:sdt>
            <w:sdtPr>
              <w:alias w:val="Pavadinimas"/>
              <w:tag w:val="title_a5d3392611fc4433a4a1460ffab1535b"/>
              <w:lock w:val="sdtLocked"/>
              <w:richText/>
            </w:sdtPr>
            <w:sdtContent>
              <w:r>
                <w:rPr>
                  <w:b/>
                </w:rPr>
                <w:t xml:space="preserve">PELENŲ IR ŠLAKO ATLIEKŲ APDOROJIMO ŽURNALAS 20__ m. </w:t>
              </w:r>
            </w:sdtContent>
          </w:sdt>
        </w:p>
        <w:p/>
        <w:tbl>
          <w:tblPr>
            <w:tblW w:w="446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1"/>
            <w:gridCol w:w="4681"/>
            <w:gridCol w:w="2883"/>
          </w:tblGrid>
          <w:tr>
            <w:tc>
              <w:tcPr>
                <w:tcW w:w="705"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360"/>
                </w:pPr>
                <w:r>
                  <w:t>1.</w:t>
                  <w:tab/>
                </w:r>
              </w:p>
            </w:tc>
            <w:tc>
              <w:tcPr>
                <w:tcW w:w="265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hAnsi="Arial" w:cs="Arial"/>
                    <w:szCs w:val="24"/>
                    <w:lang w:eastAsia="lt-LT"/>
                  </w:rPr>
                </w:pPr>
                <w:r>
                  <w:t xml:space="preserve">Įrašo data  </w:t>
                </w:r>
              </w:p>
            </w:tc>
            <w:tc>
              <w:tcPr>
                <w:tcW w:w="1637" w:type="pct"/>
                <w:tcBorders>
                  <w:top w:val="single" w:sz="4" w:space="0" w:color="auto"/>
                  <w:left w:val="single" w:sz="4" w:space="0" w:color="auto"/>
                  <w:bottom w:val="single" w:sz="4" w:space="0" w:color="auto"/>
                  <w:right w:val="single" w:sz="4" w:space="0" w:color="auto"/>
                </w:tcBorders>
              </w:tcPr>
              <w:p>
                <w:pPr>
                  <w:widowControl w:val="0"/>
                  <w:spacing w:line="360" w:lineRule="auto"/>
                  <w:rPr>
                    <w:rFonts w:ascii="Arial" w:hAnsi="Arial" w:cs="Arial"/>
                    <w:szCs w:val="24"/>
                    <w:lang w:eastAsia="lt-LT"/>
                  </w:rPr>
                </w:pPr>
              </w:p>
            </w:tc>
          </w:tr>
          <w:tr>
            <w:tc>
              <w:tcPr>
                <w:tcW w:w="705"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360"/>
                </w:pPr>
                <w:r>
                  <w:t>2.</w:t>
                  <w:tab/>
                </w:r>
              </w:p>
            </w:tc>
            <w:tc>
              <w:tcPr>
                <w:tcW w:w="2658" w:type="pct"/>
                <w:tcBorders>
                  <w:top w:val="single" w:sz="4" w:space="0" w:color="auto"/>
                  <w:left w:val="single" w:sz="4" w:space="0" w:color="auto"/>
                  <w:bottom w:val="single" w:sz="4" w:space="0" w:color="auto"/>
                  <w:right w:val="single" w:sz="4" w:space="0" w:color="auto"/>
                </w:tcBorders>
              </w:tcPr>
              <w:p>
                <w:pPr>
                  <w:widowControl w:val="0"/>
                  <w:spacing w:line="360" w:lineRule="auto"/>
                </w:pPr>
                <w:r>
                  <w:t>Kaupo Nr.</w:t>
                </w:r>
              </w:p>
            </w:tc>
            <w:tc>
              <w:tcPr>
                <w:tcW w:w="1637" w:type="pct"/>
                <w:tcBorders>
                  <w:top w:val="single" w:sz="4" w:space="0" w:color="auto"/>
                  <w:left w:val="single" w:sz="4" w:space="0" w:color="auto"/>
                  <w:bottom w:val="single" w:sz="4" w:space="0" w:color="auto"/>
                  <w:right w:val="single" w:sz="4" w:space="0" w:color="auto"/>
                </w:tcBorders>
              </w:tcPr>
              <w:p>
                <w:pPr>
                  <w:widowControl w:val="0"/>
                  <w:spacing w:line="360" w:lineRule="auto"/>
                  <w:rPr>
                    <w:rFonts w:ascii="Arial" w:hAnsi="Arial" w:cs="Arial"/>
                    <w:szCs w:val="24"/>
                    <w:lang w:eastAsia="lt-LT"/>
                  </w:rPr>
                </w:pPr>
              </w:p>
            </w:tc>
          </w:tr>
          <w:tr>
            <w:tc>
              <w:tcPr>
                <w:tcW w:w="705"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360"/>
                </w:pPr>
                <w:r>
                  <w:t>3.</w:t>
                  <w:tab/>
                </w:r>
              </w:p>
            </w:tc>
            <w:tc>
              <w:tcPr>
                <w:tcW w:w="265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hAnsi="Arial" w:cs="Arial"/>
                    <w:szCs w:val="24"/>
                    <w:lang w:eastAsia="lt-LT"/>
                  </w:rPr>
                </w:pPr>
                <w:r>
                  <w:t>Sendinimo pradžia (data)</w:t>
                </w:r>
              </w:p>
            </w:tc>
            <w:tc>
              <w:tcPr>
                <w:tcW w:w="1637" w:type="pct"/>
                <w:tcBorders>
                  <w:top w:val="single" w:sz="4" w:space="0" w:color="auto"/>
                  <w:left w:val="single" w:sz="4" w:space="0" w:color="auto"/>
                  <w:bottom w:val="single" w:sz="4" w:space="0" w:color="auto"/>
                  <w:right w:val="single" w:sz="4" w:space="0" w:color="auto"/>
                </w:tcBorders>
              </w:tcPr>
              <w:p>
                <w:pPr>
                  <w:widowControl w:val="0"/>
                  <w:spacing w:line="360" w:lineRule="auto"/>
                  <w:rPr>
                    <w:rFonts w:ascii="Arial" w:hAnsi="Arial" w:cs="Arial"/>
                    <w:szCs w:val="24"/>
                    <w:lang w:eastAsia="lt-LT"/>
                  </w:rPr>
                </w:pPr>
              </w:p>
            </w:tc>
          </w:tr>
          <w:tr>
            <w:tc>
              <w:tcPr>
                <w:tcW w:w="705"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360"/>
                </w:pPr>
                <w:r>
                  <w:t>4.</w:t>
                  <w:tab/>
                </w:r>
              </w:p>
            </w:tc>
            <w:tc>
              <w:tcPr>
                <w:tcW w:w="265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hAnsi="Arial" w:cs="Arial"/>
                    <w:szCs w:val="24"/>
                    <w:lang w:eastAsia="lt-LT"/>
                  </w:rPr>
                </w:pPr>
                <w:r>
                  <w:t>Kaupo dydis (m</w:t>
                </w:r>
                <w:r>
                  <w:rPr>
                    <w:vertAlign w:val="superscript"/>
                  </w:rPr>
                  <w:t>3</w:t>
                </w:r>
                <w:r>
                  <w:t xml:space="preserve"> arba t)</w:t>
                </w:r>
              </w:p>
            </w:tc>
            <w:tc>
              <w:tcPr>
                <w:tcW w:w="1637" w:type="pct"/>
                <w:tcBorders>
                  <w:top w:val="single" w:sz="4" w:space="0" w:color="auto"/>
                  <w:left w:val="single" w:sz="4" w:space="0" w:color="auto"/>
                  <w:bottom w:val="single" w:sz="4" w:space="0" w:color="auto"/>
                  <w:right w:val="single" w:sz="4" w:space="0" w:color="auto"/>
                </w:tcBorders>
              </w:tcPr>
              <w:p>
                <w:pPr>
                  <w:widowControl w:val="0"/>
                  <w:spacing w:line="360" w:lineRule="auto"/>
                  <w:rPr>
                    <w:rFonts w:ascii="Arial" w:hAnsi="Arial" w:cs="Arial"/>
                    <w:szCs w:val="24"/>
                    <w:lang w:eastAsia="lt-LT"/>
                  </w:rPr>
                </w:pPr>
              </w:p>
            </w:tc>
          </w:tr>
          <w:tr>
            <w:tc>
              <w:tcPr>
                <w:tcW w:w="705"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360"/>
                </w:pPr>
                <w:r>
                  <w:t>5.</w:t>
                  <w:tab/>
                </w:r>
              </w:p>
            </w:tc>
            <w:tc>
              <w:tcPr>
                <w:tcW w:w="265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hAnsi="Arial" w:cs="Arial"/>
                    <w:szCs w:val="24"/>
                    <w:lang w:eastAsia="lt-LT"/>
                  </w:rPr>
                </w:pPr>
                <w:r>
                  <w:t>Pelenų/šlako atliekų frakcija, mm</w:t>
                </w:r>
              </w:p>
            </w:tc>
            <w:tc>
              <w:tcPr>
                <w:tcW w:w="1637" w:type="pct"/>
                <w:tcBorders>
                  <w:top w:val="single" w:sz="4" w:space="0" w:color="auto"/>
                  <w:left w:val="single" w:sz="4" w:space="0" w:color="auto"/>
                  <w:bottom w:val="single" w:sz="4" w:space="0" w:color="auto"/>
                  <w:right w:val="single" w:sz="4" w:space="0" w:color="auto"/>
                </w:tcBorders>
              </w:tcPr>
              <w:p>
                <w:pPr>
                  <w:widowControl w:val="0"/>
                  <w:spacing w:line="360" w:lineRule="auto"/>
                  <w:rPr>
                    <w:rFonts w:ascii="Arial" w:hAnsi="Arial" w:cs="Arial"/>
                    <w:szCs w:val="24"/>
                    <w:lang w:eastAsia="lt-LT"/>
                  </w:rPr>
                </w:pPr>
              </w:p>
            </w:tc>
          </w:tr>
          <w:tr>
            <w:tc>
              <w:tcPr>
                <w:tcW w:w="705"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360"/>
                </w:pPr>
                <w:r>
                  <w:t>6.</w:t>
                  <w:tab/>
                </w:r>
              </w:p>
            </w:tc>
            <w:tc>
              <w:tcPr>
                <w:tcW w:w="265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hAnsi="Arial" w:cs="Arial"/>
                    <w:szCs w:val="24"/>
                    <w:lang w:eastAsia="lt-LT"/>
                  </w:rPr>
                </w:pPr>
                <w:r>
                  <w:t>Iki sendinimo naudoti apdorojimo metodai</w:t>
                </w:r>
              </w:p>
            </w:tc>
            <w:tc>
              <w:tcPr>
                <w:tcW w:w="1637" w:type="pct"/>
                <w:tcBorders>
                  <w:top w:val="single" w:sz="4" w:space="0" w:color="auto"/>
                  <w:left w:val="single" w:sz="4" w:space="0" w:color="auto"/>
                  <w:bottom w:val="single" w:sz="4" w:space="0" w:color="auto"/>
                  <w:right w:val="single" w:sz="4" w:space="0" w:color="auto"/>
                </w:tcBorders>
              </w:tcPr>
              <w:p>
                <w:pPr>
                  <w:widowControl w:val="0"/>
                  <w:spacing w:line="360" w:lineRule="auto"/>
                  <w:rPr>
                    <w:rFonts w:ascii="Arial" w:hAnsi="Arial" w:cs="Arial"/>
                    <w:szCs w:val="24"/>
                    <w:lang w:eastAsia="lt-LT"/>
                  </w:rPr>
                </w:pPr>
              </w:p>
            </w:tc>
          </w:tr>
          <w:tr>
            <w:tc>
              <w:tcPr>
                <w:tcW w:w="705"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360"/>
                </w:pPr>
                <w:r>
                  <w:t>7.</w:t>
                  <w:tab/>
                </w:r>
              </w:p>
            </w:tc>
            <w:tc>
              <w:tcPr>
                <w:tcW w:w="265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hAnsi="Arial" w:cs="Arial"/>
                    <w:szCs w:val="24"/>
                    <w:lang w:eastAsia="lt-LT"/>
                  </w:rPr>
                </w:pPr>
                <w:r>
                  <w:t xml:space="preserve">Sendinimo pabaiga (data) </w:t>
                </w:r>
              </w:p>
            </w:tc>
            <w:tc>
              <w:tcPr>
                <w:tcW w:w="1637" w:type="pct"/>
                <w:tcBorders>
                  <w:top w:val="single" w:sz="4" w:space="0" w:color="auto"/>
                  <w:left w:val="single" w:sz="4" w:space="0" w:color="auto"/>
                  <w:bottom w:val="single" w:sz="4" w:space="0" w:color="auto"/>
                  <w:right w:val="single" w:sz="4" w:space="0" w:color="auto"/>
                </w:tcBorders>
              </w:tcPr>
              <w:p>
                <w:pPr>
                  <w:widowControl w:val="0"/>
                  <w:spacing w:line="360" w:lineRule="auto"/>
                  <w:rPr>
                    <w:rFonts w:ascii="Arial" w:hAnsi="Arial" w:cs="Arial"/>
                    <w:szCs w:val="24"/>
                    <w:lang w:eastAsia="lt-LT"/>
                  </w:rPr>
                </w:pPr>
              </w:p>
            </w:tc>
          </w:tr>
          <w:tr>
            <w:tc>
              <w:tcPr>
                <w:tcW w:w="705"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360"/>
                </w:pPr>
                <w:r>
                  <w:t>8.</w:t>
                  <w:tab/>
                </w:r>
              </w:p>
            </w:tc>
            <w:tc>
              <w:tcPr>
                <w:tcW w:w="265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hAnsi="Arial" w:cs="Arial"/>
                    <w:szCs w:val="24"/>
                    <w:lang w:eastAsia="lt-LT"/>
                  </w:rPr>
                </w:pPr>
                <w:r>
                  <w:t>Pakartotinio sendinimo pradžia (data)</w:t>
                </w:r>
              </w:p>
            </w:tc>
            <w:tc>
              <w:tcPr>
                <w:tcW w:w="1637" w:type="pct"/>
                <w:tcBorders>
                  <w:top w:val="single" w:sz="4" w:space="0" w:color="auto"/>
                  <w:left w:val="single" w:sz="4" w:space="0" w:color="auto"/>
                  <w:bottom w:val="single" w:sz="4" w:space="0" w:color="auto"/>
                  <w:right w:val="single" w:sz="4" w:space="0" w:color="auto"/>
                </w:tcBorders>
              </w:tcPr>
              <w:p>
                <w:pPr>
                  <w:widowControl w:val="0"/>
                  <w:spacing w:line="360" w:lineRule="auto"/>
                  <w:rPr>
                    <w:rFonts w:ascii="Arial" w:hAnsi="Arial" w:cs="Arial"/>
                    <w:szCs w:val="24"/>
                    <w:lang w:eastAsia="lt-LT"/>
                  </w:rPr>
                </w:pPr>
              </w:p>
            </w:tc>
          </w:tr>
          <w:tr>
            <w:tc>
              <w:tcPr>
                <w:tcW w:w="705"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360"/>
                </w:pPr>
                <w:r>
                  <w:t>9.</w:t>
                  <w:tab/>
                </w:r>
              </w:p>
            </w:tc>
            <w:tc>
              <w:tcPr>
                <w:tcW w:w="2658" w:type="pct"/>
                <w:tcBorders>
                  <w:top w:val="single" w:sz="4" w:space="0" w:color="auto"/>
                  <w:left w:val="single" w:sz="4" w:space="0" w:color="auto"/>
                  <w:bottom w:val="single" w:sz="4" w:space="0" w:color="auto"/>
                  <w:right w:val="single" w:sz="4" w:space="0" w:color="auto"/>
                </w:tcBorders>
              </w:tcPr>
              <w:p>
                <w:pPr>
                  <w:widowControl w:val="0"/>
                  <w:spacing w:line="360" w:lineRule="auto"/>
                </w:pPr>
                <w:r>
                  <w:t>Kita aktuali informacija</w:t>
                </w:r>
              </w:p>
            </w:tc>
            <w:tc>
              <w:tcPr>
                <w:tcW w:w="1637" w:type="pct"/>
                <w:tcBorders>
                  <w:top w:val="single" w:sz="4" w:space="0" w:color="auto"/>
                  <w:left w:val="single" w:sz="4" w:space="0" w:color="auto"/>
                  <w:bottom w:val="single" w:sz="4" w:space="0" w:color="auto"/>
                  <w:right w:val="single" w:sz="4" w:space="0" w:color="auto"/>
                </w:tcBorders>
              </w:tcPr>
              <w:p>
                <w:pPr>
                  <w:widowControl w:val="0"/>
                  <w:spacing w:line="360" w:lineRule="auto"/>
                  <w:rPr>
                    <w:rFonts w:ascii="Arial" w:hAnsi="Arial" w:cs="Arial"/>
                    <w:szCs w:val="24"/>
                    <w:lang w:eastAsia="lt-LT"/>
                  </w:rPr>
                </w:pPr>
              </w:p>
            </w:tc>
          </w:tr>
        </w:tbl>
        <w:p>
          <w:pPr>
            <w:rPr>
              <w:rFonts w:ascii="Arial" w:hAnsi="Arial" w:cs="Arial"/>
              <w:sz w:val="20"/>
              <w:lang w:eastAsia="lt-LT"/>
            </w:rPr>
          </w:pPr>
        </w:p>
        <w:p/>
        <w:p/>
        <w:p/>
        <w:p/>
        <w:p/>
        <w:p/>
        <w:p/>
        <w:p/>
        <w:p/>
        <w:p/>
        <w:p/>
        <w:p/>
        <w:p/>
        <w:p/>
        <w:p/>
        <w:p/>
        <w:p/>
        <w:p/>
        <w:p/>
        <w:p/>
        <w:p/>
        <w:p/>
        <w:p/>
        <w:p/>
        <w:p/>
        <w:p/>
        <w:p>
          <w:pPr>
            <w:sectPr>
              <w:footnotePr>
                <w:pos w:val="beneathText"/>
              </w:footnotePr>
              <w:pgSz w:w="11905" w:h="16837" w:code="9"/>
              <w:pgMar w:top="1134" w:right="567" w:bottom="1134" w:left="1701" w:header="794" w:footer="919" w:gutter="0"/>
              <w:pgNumType w:start="1"/>
              <w:cols w:space="1296"/>
              <w:formProt w:val="0"/>
              <w:titlePg/>
              <w:docGrid w:linePitch="360"/>
            </w:sectPr>
          </w:pPr>
        </w:p>
        <w:tbl>
          <w:tblPr>
            <w:tblW w:w="70" w:type="dxa"/>
            <w:tblCellMar>
              <w:left w:w="0" w:type="dxa"/>
              <w:right w:w="0" w:type="dxa"/>
            </w:tblCellMar>
            <w:tblLook w:val="04A0" w:firstRow="1" w:lastRow="0" w:firstColumn="1" w:lastColumn="0" w:noHBand="0" w:noVBand="1"/>
          </w:tblPr>
          <w:tblGrid>
            <w:gridCol w:w="70"/>
          </w:tblGrid>
          <w:tr>
            <w:trPr>
              <w:trHeight w:val="20"/>
            </w:trPr>
            <w:tc>
              <w:tcPr>
                <w:tcW w:w="70" w:type="dxa"/>
                <w:tcBorders>
                  <w:top w:val="nil"/>
                  <w:left w:val="nil"/>
                  <w:bottom w:val="nil"/>
                  <w:right w:val="nil"/>
                </w:tcBorders>
                <w:vAlign w:val="center"/>
                <w:hideMark/>
              </w:tcPr>
              <w:p>
                <w:pPr>
                  <w:tabs>
                    <w:tab w:val="center" w:pos="4986"/>
                    <w:tab w:val="right" w:pos="9972"/>
                  </w:tabs>
                </w:pPr>
              </w:p>
              <w:p>
                <w:pPr>
                  <w:ind w:firstLine="567"/>
                  <w:jc w:val="both"/>
                  <w:rPr>
                    <w:color w:val="000000"/>
                    <w:szCs w:val="24"/>
                  </w:rPr>
                </w:pPr>
              </w:p>
            </w:tc>
          </w:tr>
        </w:tbl>
        <w:p/>
      </w:sdtContent>
    </w:sdt>
    <w:sdt>
      <w:sdtPr>
        <w:alias w:val="2 pr."/>
        <w:tag w:val="part_a5a83b6f413f4f918f8a5ea6f266d9ba"/>
        <w:lock w:val="sdtLocked"/>
        <w:richText/>
      </w:sdtPr>
      <w:sdtContent>
        <w:p>
          <w:pPr>
            <w:jc w:val="right"/>
          </w:pPr>
          <w:r>
            <w:t xml:space="preserve">Atliekų deginimo įrenginiuose ir bendro </w:t>
          </w:r>
        </w:p>
        <w:p>
          <w:pPr>
            <w:jc w:val="right"/>
          </w:pPr>
          <w:r>
            <w:t xml:space="preserve">atliekų  deginimo</w:t>
          </w:r>
          <w:r>
            <w:rPr>
              <w:bCs/>
            </w:rPr>
            <w:t xml:space="preserve"> įrenginiuose</w:t>
          </w:r>
          <w:r>
            <w:t xml:space="preserve"> susidariusių</w:t>
          </w:r>
        </w:p>
        <w:p>
          <w:pPr>
            <w:ind w:left="5040" w:firstLine="372"/>
            <w:jc w:val="right"/>
          </w:pPr>
          <w:r>
            <w:t xml:space="preserve">nepavojingųjų  pelenų ir šlako atliekų tvarkymo ir panaudojimo reikalavimų</w:t>
          </w:r>
        </w:p>
        <w:p>
          <w:pPr>
            <w:ind w:firstLine="5456"/>
            <w:jc w:val="right"/>
          </w:pPr>
          <w:sdt>
            <w:sdtPr>
              <w:alias w:val="Numeris"/>
              <w:tag w:val="nr_a5a83b6f413f4f918f8a5ea6f266d9ba"/>
              <w:lock w:val="sdtLocked"/>
              <w:richText/>
            </w:sdtPr>
            <w:sdtContent>
              <w:r>
                <w:t>2</w:t>
              </w:r>
            </w:sdtContent>
          </w:sdt>
          <w:r>
            <w:t xml:space="preserve"> priedas</w:t>
          </w:r>
        </w:p>
        <w:p>
          <w:pPr>
            <w:ind w:firstLine="3348"/>
            <w:jc w:val="right"/>
          </w:pPr>
        </w:p>
        <w:p>
          <w:pPr>
            <w:ind w:firstLine="1922"/>
            <w:rPr>
              <w:b/>
            </w:rPr>
          </w:pPr>
          <w:sdt>
            <w:sdtPr>
              <w:alias w:val="Pavadinimas"/>
              <w:tag w:val="title_a5a83b6f413f4f918f8a5ea6f266d9ba"/>
              <w:lock w:val="sdtLocked"/>
              <w:richText/>
            </w:sdtPr>
            <w:sdtContent>
              <w:r>
                <w:rPr>
                  <w:b/>
                </w:rPr>
                <w:t>Pelenų ir šlako atliekų parametrų laboratorinio nustatymo metodai</w:t>
              </w:r>
            </w:sdtContent>
          </w:sdt>
        </w:p>
        <w:p>
          <w:pPr>
            <w:rPr>
              <w:b/>
            </w:rPr>
          </w:pPr>
        </w:p>
        <w:tbl>
          <w:tblPr>
            <w:tblW w:w="463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4A0" w:firstRow="1" w:lastRow="0" w:firstColumn="1" w:lastColumn="0" w:noHBand="0" w:noVBand="1"/>
          </w:tblPr>
          <w:tblGrid>
            <w:gridCol w:w="762"/>
            <w:gridCol w:w="1675"/>
            <w:gridCol w:w="6596"/>
          </w:tblGrid>
          <w:tr>
            <w:trPr>
              <w:trHeight w:val="201"/>
              <w:jc w:val="center"/>
            </w:trPr>
            <w:tc>
              <w:tcPr>
                <w:tcW w:w="762" w:type="dxa"/>
                <w:shd w:val="clear" w:color="auto" w:fill="FFFFFF"/>
                <w:vAlign w:val="center"/>
              </w:tcPr>
              <w:p>
                <w:pPr>
                  <w:ind w:left="79"/>
                  <w:jc w:val="center"/>
                  <w:rPr>
                    <w:b/>
                    <w:bCs/>
                    <w:color w:val="000000"/>
                    <w:szCs w:val="24"/>
                    <w:lang w:bidi="de-DE"/>
                  </w:rPr>
                </w:pPr>
                <w:r>
                  <w:rPr>
                    <w:b/>
                    <w:bCs/>
                    <w:color w:val="000000"/>
                    <w:szCs w:val="24"/>
                    <w:lang w:bidi="de-DE"/>
                  </w:rPr>
                  <w:t>Eil. Nr.</w:t>
                </w:r>
              </w:p>
            </w:tc>
            <w:tc>
              <w:tcPr>
                <w:tcW w:w="1675" w:type="dxa"/>
                <w:shd w:val="clear" w:color="auto" w:fill="FFFFFF"/>
                <w:vAlign w:val="center"/>
              </w:tcPr>
              <w:p>
                <w:pPr>
                  <w:jc w:val="center"/>
                  <w:rPr>
                    <w:b/>
                    <w:bCs/>
                    <w:color w:val="000000"/>
                    <w:szCs w:val="24"/>
                    <w:lang w:bidi="de-DE"/>
                  </w:rPr>
                </w:pPr>
                <w:r>
                  <w:rPr>
                    <w:b/>
                    <w:bCs/>
                    <w:color w:val="000000"/>
                    <w:szCs w:val="24"/>
                    <w:lang w:bidi="de-DE"/>
                  </w:rPr>
                  <w:t>Parametras</w:t>
                </w:r>
              </w:p>
            </w:tc>
            <w:tc>
              <w:tcPr>
                <w:tcW w:w="6596" w:type="dxa"/>
                <w:shd w:val="clear" w:color="auto" w:fill="FFFFFF"/>
                <w:vAlign w:val="center"/>
              </w:tcPr>
              <w:p>
                <w:pPr>
                  <w:jc w:val="center"/>
                  <w:rPr>
                    <w:b/>
                    <w:bCs/>
                    <w:color w:val="000000"/>
                    <w:szCs w:val="24"/>
                    <w:lang w:bidi="de-DE"/>
                  </w:rPr>
                </w:pPr>
                <w:r>
                  <w:rPr>
                    <w:b/>
                    <w:bCs/>
                    <w:color w:val="000000"/>
                    <w:szCs w:val="24"/>
                    <w:lang w:bidi="de-DE"/>
                  </w:rPr>
                  <w:t>Tyrimo metodai</w:t>
                </w:r>
              </w:p>
            </w:tc>
          </w:tr>
          <w:tr>
            <w:trPr>
              <w:trHeight w:val="186"/>
              <w:jc w:val="center"/>
            </w:trPr>
            <w:tc>
              <w:tcPr>
                <w:tcW w:w="567" w:type="dxa"/>
                <w:shd w:val="clear" w:color="auto" w:fill="FFFFFF"/>
              </w:tcPr>
              <w:p>
                <w:pPr>
                  <w:ind w:left="1080" w:hanging="720"/>
                  <w:rPr>
                    <w:color w:val="000000"/>
                    <w:szCs w:val="24"/>
                    <w:lang w:bidi="de-DE"/>
                  </w:rPr>
                </w:pPr>
                <w:r>
                  <w:rPr>
                    <w:color w:val="000000"/>
                    <w:szCs w:val="24"/>
                    <w:lang w:bidi="de-DE"/>
                  </w:rPr>
                  <w:t>1.</w:t>
                  <w:tab/>
                </w:r>
              </w:p>
            </w:tc>
            <w:tc>
              <w:tcPr>
                <w:tcW w:w="1675" w:type="dxa"/>
                <w:shd w:val="clear" w:color="auto" w:fill="FFFFFF"/>
                <w:vAlign w:val="center"/>
                <w:hideMark/>
              </w:tcPr>
              <w:p>
                <w:pPr>
                  <w:jc w:val="both"/>
                  <w:rPr>
                    <w:szCs w:val="24"/>
                  </w:rPr>
                </w:pPr>
                <w:r>
                  <w:rPr>
                    <w:rFonts w:eastAsia="Calibri"/>
                    <w:bCs/>
                  </w:rPr>
                  <w:t xml:space="preserve">Bendroji organinė anglis </w:t>
                </w:r>
              </w:p>
            </w:tc>
            <w:tc>
              <w:tcPr>
                <w:tcW w:w="6596" w:type="dxa"/>
                <w:shd w:val="clear" w:color="auto" w:fill="FFFFFF"/>
              </w:tcPr>
              <w:p>
                <w:pPr>
                  <w:widowControl w:val="0"/>
                  <w:rPr>
                    <w:rFonts w:eastAsia="Calibri"/>
                    <w:bCs/>
                    <w:szCs w:val="24"/>
                  </w:rPr>
                </w:pPr>
              </w:p>
              <w:p>
                <w:pPr>
                  <w:widowControl w:val="0"/>
                  <w:rPr>
                    <w:bCs/>
                    <w:szCs w:val="24"/>
                    <w:lang w:bidi="de-DE"/>
                  </w:rPr>
                </w:pPr>
                <w:r>
                  <w:rPr>
                    <w:rFonts w:eastAsia="Calibri"/>
                    <w:bCs/>
                    <w:szCs w:val="24"/>
                  </w:rPr>
                  <w:t>LST EN 15936</w:t>
                </w:r>
              </w:p>
            </w:tc>
          </w:tr>
          <w:tr>
            <w:trPr>
              <w:trHeight w:val="207"/>
              <w:jc w:val="center"/>
            </w:trPr>
            <w:tc>
              <w:tcPr>
                <w:tcW w:w="567" w:type="dxa"/>
                <w:shd w:val="clear" w:color="auto" w:fill="FFFFFF"/>
              </w:tcPr>
              <w:p>
                <w:pPr>
                  <w:ind w:left="1080" w:hanging="720"/>
                  <w:rPr>
                    <w:color w:val="000000"/>
                    <w:szCs w:val="24"/>
                    <w:lang w:bidi="de-DE"/>
                  </w:rPr>
                </w:pPr>
                <w:r>
                  <w:rPr>
                    <w:color w:val="000000"/>
                    <w:szCs w:val="24"/>
                    <w:lang w:bidi="de-DE"/>
                  </w:rPr>
                  <w:t>2.</w:t>
                  <w:tab/>
                </w:r>
              </w:p>
            </w:tc>
            <w:tc>
              <w:tcPr>
                <w:tcW w:w="1675" w:type="dxa"/>
                <w:shd w:val="clear" w:color="auto" w:fill="FFFFFF"/>
                <w:hideMark/>
              </w:tcPr>
              <w:p>
                <w:pPr>
                  <w:rPr>
                    <w:szCs w:val="24"/>
                  </w:rPr>
                </w:pPr>
                <w:r>
                  <w:rPr>
                    <w:szCs w:val="24"/>
                    <w:lang w:bidi="de-DE"/>
                  </w:rPr>
                  <w:t>Arsenas (As)</w:t>
                </w:r>
              </w:p>
            </w:tc>
            <w:tc>
              <w:tcPr>
                <w:tcW w:w="6596" w:type="dxa"/>
                <w:shd w:val="clear" w:color="auto" w:fill="FFFFFF"/>
              </w:tcPr>
              <w:p>
                <w:pPr>
                  <w:widowControl w:val="0"/>
                  <w:rPr>
                    <w:bCs/>
                    <w:szCs w:val="24"/>
                  </w:rPr>
                </w:pPr>
                <w:r>
                  <w:rPr>
                    <w:rFonts w:eastAsia="Calibri"/>
                    <w:bCs/>
                    <w:szCs w:val="24"/>
                  </w:rPr>
                  <w:t xml:space="preserve">Ėminio paruošimo metodai: LST EN 13657; </w:t>
                </w:r>
                <w:r>
                  <w:rPr>
                    <w:bCs/>
                    <w:szCs w:val="24"/>
                  </w:rPr>
                  <w:t xml:space="preserve">LST EN 16174 </w:t>
                </w:r>
              </w:p>
              <w:p>
                <w:pPr>
                  <w:widowControl w:val="0"/>
                  <w:rPr>
                    <w:szCs w:val="24"/>
                    <w:lang w:bidi="de-DE"/>
                  </w:rPr>
                </w:pPr>
                <w:r>
                  <w:rPr>
                    <w:rFonts w:eastAsia="Calibri"/>
                    <w:bCs/>
                    <w:szCs w:val="24"/>
                  </w:rPr>
                  <w:t xml:space="preserve">Ėminio analizės metodai: LST EN ISO 16170; LST EN 16171; </w:t>
                </w:r>
                <w:r>
                  <w:rPr>
                    <w:rFonts w:eastAsia="Calibri"/>
                    <w:szCs w:val="24"/>
                  </w:rPr>
                  <w:t>LST EN ISO 11885; LST EN ISO 15586; LST EN ISO 17294-1; LST EN ISO 17294-2</w:t>
                </w:r>
              </w:p>
            </w:tc>
          </w:tr>
          <w:tr>
            <w:trPr>
              <w:trHeight w:val="240"/>
              <w:jc w:val="center"/>
            </w:trPr>
            <w:tc>
              <w:tcPr>
                <w:tcW w:w="567" w:type="dxa"/>
                <w:shd w:val="clear" w:color="auto" w:fill="FFFFFF"/>
              </w:tcPr>
              <w:p>
                <w:pPr>
                  <w:ind w:left="1080" w:hanging="720"/>
                  <w:rPr>
                    <w:color w:val="000000"/>
                    <w:szCs w:val="24"/>
                    <w:lang w:bidi="de-DE"/>
                  </w:rPr>
                </w:pPr>
                <w:r>
                  <w:rPr>
                    <w:color w:val="000000"/>
                    <w:szCs w:val="24"/>
                    <w:lang w:bidi="de-DE"/>
                  </w:rPr>
                  <w:t>3.</w:t>
                  <w:tab/>
                </w:r>
              </w:p>
            </w:tc>
            <w:tc>
              <w:tcPr>
                <w:tcW w:w="1675" w:type="dxa"/>
                <w:shd w:val="clear" w:color="auto" w:fill="FFFFFF"/>
                <w:hideMark/>
              </w:tcPr>
              <w:p>
                <w:pPr>
                  <w:rPr>
                    <w:szCs w:val="24"/>
                  </w:rPr>
                </w:pPr>
                <w:r>
                  <w:rPr>
                    <w:szCs w:val="24"/>
                    <w:lang w:bidi="de-DE"/>
                  </w:rPr>
                  <w:t>Švinas (Pb)</w:t>
                </w:r>
              </w:p>
            </w:tc>
            <w:tc>
              <w:tcPr>
                <w:tcW w:w="6596" w:type="dxa"/>
                <w:shd w:val="clear" w:color="auto" w:fill="FFFFFF"/>
              </w:tcPr>
              <w:p>
                <w:pPr>
                  <w:widowControl w:val="0"/>
                  <w:rPr>
                    <w:bCs/>
                    <w:szCs w:val="24"/>
                  </w:rPr>
                </w:pPr>
                <w:r>
                  <w:rPr>
                    <w:rFonts w:eastAsia="Calibri"/>
                    <w:bCs/>
                    <w:szCs w:val="24"/>
                  </w:rPr>
                  <w:t xml:space="preserve">Ėminio paruošimo metodai: LST EN 13657; </w:t>
                </w:r>
                <w:r>
                  <w:rPr>
                    <w:bCs/>
                    <w:szCs w:val="24"/>
                  </w:rPr>
                  <w:t xml:space="preserve">LST EN 16174 </w:t>
                </w:r>
              </w:p>
              <w:p>
                <w:pPr>
                  <w:widowControl w:val="0"/>
                  <w:rPr>
                    <w:rFonts w:eastAsia="Calibri"/>
                    <w:szCs w:val="24"/>
                  </w:rPr>
                </w:pPr>
                <w:r>
                  <w:rPr>
                    <w:rFonts w:eastAsia="Calibri"/>
                    <w:bCs/>
                    <w:szCs w:val="24"/>
                  </w:rPr>
                  <w:t xml:space="preserve">Ėminio analizės metodai: LST EN ISO 16170; LST EN 16171; </w:t>
                </w:r>
                <w:r>
                  <w:rPr>
                    <w:rFonts w:eastAsia="Calibri"/>
                    <w:szCs w:val="24"/>
                  </w:rPr>
                  <w:t>LST EN ISO 11885; LST EN ISO 15586; LST EN ISO 17294-1; LST EN ISO 17294-2</w:t>
                </w:r>
              </w:p>
            </w:tc>
          </w:tr>
          <w:tr>
            <w:trPr>
              <w:trHeight w:val="260"/>
              <w:jc w:val="center"/>
            </w:trPr>
            <w:tc>
              <w:tcPr>
                <w:tcW w:w="567" w:type="dxa"/>
                <w:shd w:val="clear" w:color="auto" w:fill="FFFFFF"/>
              </w:tcPr>
              <w:p>
                <w:pPr>
                  <w:ind w:left="1080" w:hanging="720"/>
                  <w:rPr>
                    <w:color w:val="000000"/>
                    <w:szCs w:val="24"/>
                    <w:lang w:bidi="de-DE"/>
                  </w:rPr>
                </w:pPr>
                <w:r>
                  <w:rPr>
                    <w:color w:val="000000"/>
                    <w:szCs w:val="24"/>
                    <w:lang w:bidi="de-DE"/>
                  </w:rPr>
                  <w:t>4.</w:t>
                  <w:tab/>
                </w:r>
              </w:p>
            </w:tc>
            <w:tc>
              <w:tcPr>
                <w:tcW w:w="1675" w:type="dxa"/>
                <w:shd w:val="clear" w:color="auto" w:fill="FFFFFF"/>
                <w:hideMark/>
              </w:tcPr>
              <w:p>
                <w:pPr>
                  <w:rPr>
                    <w:szCs w:val="24"/>
                  </w:rPr>
                </w:pPr>
                <w:r>
                  <w:rPr>
                    <w:szCs w:val="24"/>
                    <w:lang w:bidi="de-DE"/>
                  </w:rPr>
                  <w:t>Kadmis (Cd)</w:t>
                </w:r>
              </w:p>
            </w:tc>
            <w:tc>
              <w:tcPr>
                <w:tcW w:w="6596" w:type="dxa"/>
                <w:shd w:val="clear" w:color="auto" w:fill="FFFFFF"/>
              </w:tcPr>
              <w:p>
                <w:pPr>
                  <w:widowControl w:val="0"/>
                  <w:rPr>
                    <w:bCs/>
                    <w:szCs w:val="24"/>
                  </w:rPr>
                </w:pPr>
                <w:r>
                  <w:rPr>
                    <w:rFonts w:eastAsia="Calibri"/>
                    <w:bCs/>
                    <w:szCs w:val="24"/>
                  </w:rPr>
                  <w:t xml:space="preserve">Ėminio paruošimo metodai: LST EN 13657; </w:t>
                </w:r>
                <w:r>
                  <w:rPr>
                    <w:bCs/>
                    <w:szCs w:val="24"/>
                  </w:rPr>
                  <w:t xml:space="preserve">LST EN 16174; </w:t>
                </w:r>
              </w:p>
              <w:p>
                <w:pPr>
                  <w:widowControl w:val="0"/>
                  <w:rPr>
                    <w:rFonts w:eastAsia="Calibri"/>
                    <w:bCs/>
                    <w:szCs w:val="24"/>
                  </w:rPr>
                </w:pPr>
                <w:r>
                  <w:rPr>
                    <w:rFonts w:eastAsia="Calibri"/>
                    <w:bCs/>
                    <w:szCs w:val="24"/>
                  </w:rPr>
                  <w:t>LST EN ISO 16170</w:t>
                </w:r>
              </w:p>
              <w:p>
                <w:pPr>
                  <w:widowControl w:val="0"/>
                  <w:rPr>
                    <w:szCs w:val="24"/>
                    <w:lang w:bidi="de-DE"/>
                  </w:rPr>
                </w:pPr>
                <w:r>
                  <w:rPr>
                    <w:rFonts w:eastAsia="Calibri"/>
                    <w:bCs/>
                    <w:szCs w:val="24"/>
                  </w:rPr>
                  <w:t xml:space="preserve">Ėminio analizės metodai: LST EN 16171; </w:t>
                </w:r>
                <w:r>
                  <w:rPr>
                    <w:rFonts w:eastAsia="Calibri"/>
                    <w:szCs w:val="24"/>
                  </w:rPr>
                  <w:t>LST EN ISO 11885; LST EN ISO 15586; LST EN ISO 17294-1; LST EN ISO 17294-2</w:t>
                </w:r>
              </w:p>
            </w:tc>
          </w:tr>
          <w:tr>
            <w:trPr>
              <w:trHeight w:val="139"/>
              <w:jc w:val="center"/>
            </w:trPr>
            <w:tc>
              <w:tcPr>
                <w:tcW w:w="567" w:type="dxa"/>
                <w:shd w:val="clear" w:color="auto" w:fill="FFFFFF"/>
              </w:tcPr>
              <w:p>
                <w:pPr>
                  <w:ind w:left="1080" w:hanging="720"/>
                  <w:rPr>
                    <w:color w:val="000000"/>
                    <w:szCs w:val="24"/>
                    <w:lang w:bidi="de-DE"/>
                  </w:rPr>
                </w:pPr>
                <w:r>
                  <w:rPr>
                    <w:color w:val="000000"/>
                    <w:szCs w:val="24"/>
                    <w:lang w:bidi="de-DE"/>
                  </w:rPr>
                  <w:t>5.</w:t>
                  <w:tab/>
                </w:r>
              </w:p>
            </w:tc>
            <w:tc>
              <w:tcPr>
                <w:tcW w:w="1675" w:type="dxa"/>
                <w:shd w:val="clear" w:color="auto" w:fill="FFFFFF"/>
                <w:hideMark/>
              </w:tcPr>
              <w:p>
                <w:pPr>
                  <w:rPr>
                    <w:color w:val="000000"/>
                    <w:szCs w:val="24"/>
                  </w:rPr>
                </w:pPr>
                <w:r>
                  <w:rPr>
                    <w:color w:val="000000"/>
                    <w:szCs w:val="24"/>
                    <w:lang w:bidi="de-DE"/>
                  </w:rPr>
                  <w:t>Chromas (Cr)</w:t>
                </w:r>
              </w:p>
            </w:tc>
            <w:tc>
              <w:tcPr>
                <w:tcW w:w="6596" w:type="dxa"/>
                <w:shd w:val="clear" w:color="auto" w:fill="FFFFFF"/>
              </w:tcPr>
              <w:p>
                <w:pPr>
                  <w:widowControl w:val="0"/>
                  <w:rPr>
                    <w:rFonts w:eastAsia="Calibri"/>
                    <w:bCs/>
                    <w:szCs w:val="24"/>
                  </w:rPr>
                </w:pPr>
                <w:r>
                  <w:rPr>
                    <w:rFonts w:eastAsia="Calibri"/>
                    <w:bCs/>
                    <w:szCs w:val="24"/>
                  </w:rPr>
                  <w:t xml:space="preserve">Ėminio paruošimo metodai: LST EN 13657; </w:t>
                </w:r>
                <w:r>
                  <w:rPr>
                    <w:bCs/>
                    <w:szCs w:val="24"/>
                  </w:rPr>
                  <w:t xml:space="preserve">LST EN 16174; </w:t>
                </w:r>
                <w:r>
                  <w:rPr>
                    <w:rFonts w:eastAsia="Calibri"/>
                    <w:bCs/>
                    <w:szCs w:val="24"/>
                  </w:rPr>
                  <w:t>LST EN ISO 16170</w:t>
                </w:r>
              </w:p>
              <w:p>
                <w:pPr>
                  <w:widowControl w:val="0"/>
                  <w:rPr>
                    <w:rFonts w:eastAsia="Calibri"/>
                    <w:szCs w:val="24"/>
                  </w:rPr>
                </w:pPr>
                <w:r>
                  <w:rPr>
                    <w:rFonts w:eastAsia="Calibri"/>
                    <w:bCs/>
                    <w:szCs w:val="24"/>
                  </w:rPr>
                  <w:t xml:space="preserve">Ėminio analizės metodai: LST EN 16171; </w:t>
                </w:r>
                <w:r>
                  <w:rPr>
                    <w:bCs/>
                    <w:szCs w:val="24"/>
                  </w:rPr>
                  <w:t xml:space="preserve">LST CEN/TS 16188; </w:t>
                </w:r>
                <w:r>
                  <w:rPr>
                    <w:rFonts w:eastAsia="Calibri"/>
                    <w:szCs w:val="24"/>
                  </w:rPr>
                  <w:t xml:space="preserve">LST EN ISO 11885; LST EN ISO 15586; LST EN ISO 17294-1; </w:t>
                </w:r>
              </w:p>
              <w:p>
                <w:pPr>
                  <w:widowControl w:val="0"/>
                  <w:rPr>
                    <w:rFonts w:eastAsia="Calibri"/>
                    <w:szCs w:val="24"/>
                  </w:rPr>
                </w:pPr>
                <w:r>
                  <w:rPr>
                    <w:rFonts w:eastAsia="Calibri"/>
                    <w:szCs w:val="24"/>
                  </w:rPr>
                  <w:t>LST EN ISO 17294-2</w:t>
                </w:r>
              </w:p>
            </w:tc>
          </w:tr>
          <w:tr>
            <w:trPr>
              <w:trHeight w:val="173"/>
              <w:jc w:val="center"/>
            </w:trPr>
            <w:tc>
              <w:tcPr>
                <w:tcW w:w="567" w:type="dxa"/>
                <w:shd w:val="clear" w:color="auto" w:fill="FFFFFF"/>
              </w:tcPr>
              <w:p>
                <w:pPr>
                  <w:ind w:left="1080" w:hanging="720"/>
                  <w:rPr>
                    <w:color w:val="000000"/>
                    <w:szCs w:val="24"/>
                    <w:lang w:bidi="de-DE"/>
                  </w:rPr>
                </w:pPr>
                <w:r>
                  <w:rPr>
                    <w:color w:val="000000"/>
                    <w:szCs w:val="24"/>
                    <w:lang w:bidi="de-DE"/>
                  </w:rPr>
                  <w:t>6.</w:t>
                  <w:tab/>
                </w:r>
              </w:p>
            </w:tc>
            <w:tc>
              <w:tcPr>
                <w:tcW w:w="1675" w:type="dxa"/>
                <w:shd w:val="clear" w:color="auto" w:fill="FFFFFF"/>
                <w:hideMark/>
              </w:tcPr>
              <w:p>
                <w:pPr>
                  <w:rPr>
                    <w:color w:val="000000"/>
                    <w:szCs w:val="24"/>
                  </w:rPr>
                </w:pPr>
                <w:r>
                  <w:rPr>
                    <w:color w:val="000000"/>
                    <w:szCs w:val="24"/>
                    <w:lang w:bidi="de-DE"/>
                  </w:rPr>
                  <w:t>Varis (Cu)</w:t>
                </w:r>
              </w:p>
            </w:tc>
            <w:tc>
              <w:tcPr>
                <w:tcW w:w="6596" w:type="dxa"/>
                <w:shd w:val="clear" w:color="auto" w:fill="FFFFFF"/>
              </w:tcPr>
              <w:p>
                <w:pPr>
                  <w:widowControl w:val="0"/>
                  <w:rPr>
                    <w:bCs/>
                    <w:szCs w:val="24"/>
                  </w:rPr>
                </w:pPr>
                <w:r>
                  <w:rPr>
                    <w:rFonts w:eastAsia="Calibri"/>
                    <w:bCs/>
                    <w:szCs w:val="24"/>
                  </w:rPr>
                  <w:t xml:space="preserve">Ėminio paruošimo metodai: LST EN 13657; </w:t>
                </w:r>
                <w:r>
                  <w:rPr>
                    <w:bCs/>
                    <w:szCs w:val="24"/>
                  </w:rPr>
                  <w:t xml:space="preserve">LST EN 16174; </w:t>
                </w:r>
              </w:p>
              <w:p>
                <w:pPr>
                  <w:widowControl w:val="0"/>
                  <w:rPr>
                    <w:rFonts w:eastAsia="Calibri"/>
                    <w:bCs/>
                    <w:szCs w:val="24"/>
                  </w:rPr>
                </w:pPr>
                <w:r>
                  <w:rPr>
                    <w:rFonts w:eastAsia="Calibri"/>
                    <w:bCs/>
                    <w:szCs w:val="24"/>
                  </w:rPr>
                  <w:t>LST EN ISO 16170</w:t>
                </w:r>
              </w:p>
              <w:p>
                <w:pPr>
                  <w:widowControl w:val="0"/>
                  <w:rPr>
                    <w:rFonts w:eastAsia="Calibri"/>
                    <w:szCs w:val="24"/>
                  </w:rPr>
                </w:pPr>
                <w:r>
                  <w:rPr>
                    <w:rFonts w:eastAsia="Calibri"/>
                    <w:bCs/>
                    <w:szCs w:val="24"/>
                  </w:rPr>
                  <w:t xml:space="preserve">Ėminio analizės metodai: LST EN 16171; </w:t>
                </w:r>
                <w:r>
                  <w:rPr>
                    <w:bCs/>
                    <w:szCs w:val="24"/>
                  </w:rPr>
                  <w:t xml:space="preserve">LST CEN/TS 16188; </w:t>
                </w:r>
                <w:r>
                  <w:rPr>
                    <w:rFonts w:eastAsia="Calibri"/>
                    <w:szCs w:val="24"/>
                  </w:rPr>
                  <w:t xml:space="preserve">LST EN ISO 11885; LST EN ISO 15586; LST EN ISO 17294-1; </w:t>
                </w:r>
              </w:p>
              <w:p>
                <w:pPr>
                  <w:widowControl w:val="0"/>
                  <w:rPr>
                    <w:color w:val="000000"/>
                    <w:szCs w:val="24"/>
                    <w:lang w:bidi="de-DE"/>
                  </w:rPr>
                </w:pPr>
                <w:r>
                  <w:rPr>
                    <w:rFonts w:eastAsia="Calibri"/>
                    <w:szCs w:val="24"/>
                  </w:rPr>
                  <w:t>LST EN ISO 17294-2</w:t>
                </w:r>
              </w:p>
            </w:tc>
          </w:tr>
          <w:tr>
            <w:trPr>
              <w:trHeight w:val="192"/>
              <w:jc w:val="center"/>
            </w:trPr>
            <w:tc>
              <w:tcPr>
                <w:tcW w:w="567" w:type="dxa"/>
                <w:shd w:val="clear" w:color="auto" w:fill="FFFFFF"/>
              </w:tcPr>
              <w:p>
                <w:pPr>
                  <w:ind w:left="1080" w:hanging="720"/>
                  <w:rPr>
                    <w:color w:val="000000"/>
                    <w:szCs w:val="24"/>
                    <w:lang w:bidi="de-DE"/>
                  </w:rPr>
                </w:pPr>
                <w:r>
                  <w:rPr>
                    <w:color w:val="000000"/>
                    <w:szCs w:val="24"/>
                    <w:lang w:bidi="de-DE"/>
                  </w:rPr>
                  <w:t>7.</w:t>
                  <w:tab/>
                </w:r>
              </w:p>
            </w:tc>
            <w:tc>
              <w:tcPr>
                <w:tcW w:w="1675" w:type="dxa"/>
                <w:shd w:val="clear" w:color="auto" w:fill="FFFFFF"/>
                <w:hideMark/>
              </w:tcPr>
              <w:p>
                <w:pPr>
                  <w:rPr>
                    <w:color w:val="000000"/>
                    <w:szCs w:val="24"/>
                  </w:rPr>
                </w:pPr>
                <w:r>
                  <w:rPr>
                    <w:color w:val="000000"/>
                    <w:szCs w:val="24"/>
                    <w:lang w:bidi="de-DE"/>
                  </w:rPr>
                  <w:t>Nikelis</w:t>
                </w:r>
                <w:r>
                  <w:t xml:space="preserve"> (</w:t>
                </w:r>
                <w:r>
                  <w:rPr>
                    <w:color w:val="000000"/>
                    <w:szCs w:val="24"/>
                    <w:lang w:bidi="de-DE"/>
                  </w:rPr>
                  <w:t>Ni)</w:t>
                </w:r>
              </w:p>
            </w:tc>
            <w:tc>
              <w:tcPr>
                <w:tcW w:w="6596" w:type="dxa"/>
                <w:shd w:val="clear" w:color="auto" w:fill="FFFFFF"/>
              </w:tcPr>
              <w:p>
                <w:pPr>
                  <w:widowControl w:val="0"/>
                  <w:rPr>
                    <w:bCs/>
                    <w:szCs w:val="24"/>
                  </w:rPr>
                </w:pPr>
                <w:r>
                  <w:rPr>
                    <w:rFonts w:eastAsia="Calibri"/>
                    <w:bCs/>
                    <w:szCs w:val="24"/>
                  </w:rPr>
                  <w:t xml:space="preserve">Ėminio paruošimo metodai: LST EN 13657; </w:t>
                </w:r>
                <w:r>
                  <w:rPr>
                    <w:bCs/>
                    <w:szCs w:val="24"/>
                  </w:rPr>
                  <w:t xml:space="preserve">LST EN 16174; </w:t>
                </w:r>
              </w:p>
              <w:p>
                <w:pPr>
                  <w:widowControl w:val="0"/>
                  <w:rPr>
                    <w:rFonts w:eastAsia="Calibri"/>
                    <w:bCs/>
                    <w:szCs w:val="24"/>
                  </w:rPr>
                </w:pPr>
                <w:r>
                  <w:rPr>
                    <w:rFonts w:eastAsia="Calibri"/>
                    <w:bCs/>
                    <w:szCs w:val="24"/>
                  </w:rPr>
                  <w:t xml:space="preserve">LST EN ISO 16170 </w:t>
                </w:r>
              </w:p>
              <w:p>
                <w:pPr>
                  <w:widowControl w:val="0"/>
                  <w:rPr>
                    <w:rFonts w:eastAsia="Calibri"/>
                    <w:szCs w:val="24"/>
                  </w:rPr>
                </w:pPr>
                <w:r>
                  <w:rPr>
                    <w:rFonts w:eastAsia="Calibri"/>
                    <w:bCs/>
                    <w:szCs w:val="24"/>
                  </w:rPr>
                  <w:t xml:space="preserve">Ėminio analizės metodai: LST EN 16171; </w:t>
                </w:r>
                <w:r>
                  <w:rPr>
                    <w:bCs/>
                    <w:szCs w:val="24"/>
                  </w:rPr>
                  <w:t xml:space="preserve">LST CEN/TS 16188; </w:t>
                </w:r>
                <w:r>
                  <w:rPr>
                    <w:rFonts w:eastAsia="Calibri"/>
                    <w:szCs w:val="24"/>
                  </w:rPr>
                  <w:t xml:space="preserve">LST EN ISO 11885; LST EN ISO 15586; LST EN ISO 17294-1; </w:t>
                </w:r>
              </w:p>
              <w:p>
                <w:pPr>
                  <w:widowControl w:val="0"/>
                  <w:rPr>
                    <w:color w:val="000000"/>
                    <w:szCs w:val="24"/>
                    <w:lang w:bidi="de-DE"/>
                  </w:rPr>
                </w:pPr>
                <w:r>
                  <w:rPr>
                    <w:rFonts w:eastAsia="Calibri"/>
                    <w:szCs w:val="24"/>
                  </w:rPr>
                  <w:t>LST EN ISO 17294-2</w:t>
                </w:r>
              </w:p>
            </w:tc>
          </w:tr>
          <w:tr>
            <w:trPr>
              <w:trHeight w:val="213"/>
              <w:jc w:val="center"/>
            </w:trPr>
            <w:tc>
              <w:tcPr>
                <w:tcW w:w="567" w:type="dxa"/>
                <w:shd w:val="clear" w:color="auto" w:fill="FFFFFF"/>
              </w:tcPr>
              <w:p>
                <w:pPr>
                  <w:ind w:left="1080" w:hanging="720"/>
                  <w:rPr>
                    <w:color w:val="000000"/>
                    <w:szCs w:val="24"/>
                    <w:lang w:bidi="de-DE"/>
                  </w:rPr>
                </w:pPr>
                <w:r>
                  <w:rPr>
                    <w:color w:val="000000"/>
                    <w:szCs w:val="24"/>
                    <w:lang w:bidi="de-DE"/>
                  </w:rPr>
                  <w:t>8.</w:t>
                  <w:tab/>
                </w:r>
              </w:p>
            </w:tc>
            <w:tc>
              <w:tcPr>
                <w:tcW w:w="1675" w:type="dxa"/>
                <w:shd w:val="clear" w:color="auto" w:fill="FFFFFF"/>
                <w:hideMark/>
              </w:tcPr>
              <w:p>
                <w:pPr>
                  <w:rPr>
                    <w:color w:val="000000"/>
                    <w:szCs w:val="24"/>
                  </w:rPr>
                </w:pPr>
                <w:r>
                  <w:rPr>
                    <w:color w:val="000000"/>
                    <w:szCs w:val="24"/>
                    <w:lang w:bidi="de-DE"/>
                  </w:rPr>
                  <w:t>Gyvsidabris (Hg)</w:t>
                </w:r>
              </w:p>
            </w:tc>
            <w:tc>
              <w:tcPr>
                <w:tcW w:w="6596" w:type="dxa"/>
                <w:shd w:val="clear" w:color="auto" w:fill="FFFFFF"/>
              </w:tcPr>
              <w:p>
                <w:pPr>
                  <w:rPr>
                    <w:rFonts w:eastAsia="Calibri"/>
                    <w:bCs/>
                    <w:szCs w:val="24"/>
                  </w:rPr>
                </w:pPr>
                <w:r>
                  <w:rPr>
                    <w:rFonts w:eastAsia="Calibri"/>
                    <w:bCs/>
                    <w:szCs w:val="24"/>
                  </w:rPr>
                  <w:t xml:space="preserve">Ėminio paruošimo metodai: LST EN 13657; LST EN 16174 </w:t>
                </w:r>
              </w:p>
              <w:p>
                <w:pPr>
                  <w:rPr>
                    <w:color w:val="000000"/>
                    <w:szCs w:val="24"/>
                    <w:lang w:bidi="de-DE"/>
                  </w:rPr>
                </w:pPr>
                <w:r>
                  <w:rPr>
                    <w:rFonts w:eastAsia="Calibri"/>
                    <w:bCs/>
                    <w:szCs w:val="24"/>
                  </w:rPr>
                  <w:t>Ėminio analizės metodai: LST EN 16175-1; LST EN 16175-2</w:t>
                </w:r>
              </w:p>
            </w:tc>
          </w:tr>
          <w:tr>
            <w:trPr>
              <w:trHeight w:val="105"/>
              <w:jc w:val="center"/>
            </w:trPr>
            <w:tc>
              <w:tcPr>
                <w:tcW w:w="567" w:type="dxa"/>
                <w:shd w:val="clear" w:color="auto" w:fill="FFFFFF"/>
              </w:tcPr>
              <w:p>
                <w:pPr>
                  <w:ind w:left="1080" w:hanging="720"/>
                  <w:rPr>
                    <w:color w:val="000000"/>
                    <w:szCs w:val="24"/>
                    <w:lang w:bidi="de-DE"/>
                  </w:rPr>
                </w:pPr>
                <w:r>
                  <w:rPr>
                    <w:color w:val="000000"/>
                    <w:szCs w:val="24"/>
                    <w:lang w:bidi="de-DE"/>
                  </w:rPr>
                  <w:t>9.</w:t>
                  <w:tab/>
                </w:r>
              </w:p>
            </w:tc>
            <w:tc>
              <w:tcPr>
                <w:tcW w:w="1675" w:type="dxa"/>
                <w:shd w:val="clear" w:color="auto" w:fill="FFFFFF"/>
                <w:hideMark/>
              </w:tcPr>
              <w:p>
                <w:pPr>
                  <w:rPr>
                    <w:color w:val="000000"/>
                    <w:szCs w:val="24"/>
                  </w:rPr>
                </w:pPr>
                <w:r>
                  <w:rPr>
                    <w:color w:val="000000"/>
                    <w:szCs w:val="24"/>
                    <w:lang w:bidi="de-DE"/>
                  </w:rPr>
                  <w:t>Cinkas (Zn)</w:t>
                </w:r>
              </w:p>
            </w:tc>
            <w:tc>
              <w:tcPr>
                <w:tcW w:w="6596" w:type="dxa"/>
                <w:shd w:val="clear" w:color="auto" w:fill="FFFFFF"/>
              </w:tcPr>
              <w:p>
                <w:pPr>
                  <w:widowControl w:val="0"/>
                  <w:rPr>
                    <w:rFonts w:eastAsia="Calibri"/>
                    <w:bCs/>
                    <w:szCs w:val="24"/>
                  </w:rPr>
                </w:pPr>
                <w:r>
                  <w:rPr>
                    <w:rFonts w:eastAsia="Calibri"/>
                    <w:bCs/>
                    <w:szCs w:val="24"/>
                  </w:rPr>
                  <w:t xml:space="preserve">Ėminio paruošimo metodai: LST EN 13657; </w:t>
                </w:r>
                <w:r>
                  <w:rPr>
                    <w:bCs/>
                    <w:szCs w:val="24"/>
                  </w:rPr>
                  <w:t xml:space="preserve">LST EN 16174; </w:t>
                </w:r>
                <w:r>
                  <w:rPr>
                    <w:rFonts w:eastAsia="Calibri"/>
                    <w:bCs/>
                    <w:szCs w:val="24"/>
                  </w:rPr>
                  <w:t xml:space="preserve">LST EN ISO 16170 </w:t>
                </w:r>
              </w:p>
              <w:p>
                <w:pPr>
                  <w:widowControl w:val="0"/>
                  <w:rPr>
                    <w:rFonts w:eastAsia="Calibri"/>
                    <w:szCs w:val="24"/>
                  </w:rPr>
                </w:pPr>
                <w:r>
                  <w:rPr>
                    <w:rFonts w:eastAsia="Calibri"/>
                    <w:bCs/>
                    <w:szCs w:val="24"/>
                  </w:rPr>
                  <w:t xml:space="preserve">Ėminio analizės metodai: LST EN 16171; </w:t>
                </w:r>
                <w:r>
                  <w:rPr>
                    <w:bCs/>
                    <w:szCs w:val="24"/>
                  </w:rPr>
                  <w:t xml:space="preserve">LST CEN/TS 16188; </w:t>
                </w:r>
                <w:r>
                  <w:rPr>
                    <w:rFonts w:eastAsia="Calibri"/>
                    <w:szCs w:val="24"/>
                  </w:rPr>
                  <w:t>LST EN ISO 11885;</w:t>
                </w:r>
              </w:p>
              <w:p>
                <w:pPr>
                  <w:widowControl w:val="0"/>
                  <w:rPr>
                    <w:color w:val="000000"/>
                    <w:szCs w:val="24"/>
                    <w:lang w:bidi="de-DE"/>
                  </w:rPr>
                </w:pPr>
                <w:r>
                  <w:rPr>
                    <w:rFonts w:eastAsia="Calibri"/>
                    <w:szCs w:val="24"/>
                  </w:rPr>
                  <w:t>LST EN ISO 15586; LST EN ISO 17294-1; LST EN ISO 17294-2</w:t>
                </w:r>
              </w:p>
            </w:tc>
          </w:tr>
          <w:tr>
            <w:trPr>
              <w:trHeight w:val="105"/>
              <w:jc w:val="center"/>
            </w:trPr>
            <w:tc>
              <w:tcPr>
                <w:tcW w:w="567" w:type="dxa"/>
                <w:shd w:val="clear" w:color="auto" w:fill="FFFFFF"/>
              </w:tcPr>
              <w:p>
                <w:pPr>
                  <w:ind w:left="1080" w:hanging="720"/>
                  <w:rPr>
                    <w:color w:val="000000"/>
                    <w:szCs w:val="24"/>
                    <w:lang w:bidi="de-DE"/>
                  </w:rPr>
                </w:pPr>
                <w:r>
                  <w:rPr>
                    <w:color w:val="000000"/>
                    <w:szCs w:val="24"/>
                    <w:lang w:bidi="de-DE"/>
                  </w:rPr>
                  <w:t>10.</w:t>
                  <w:tab/>
                </w:r>
              </w:p>
            </w:tc>
            <w:tc>
              <w:tcPr>
                <w:tcW w:w="1675" w:type="dxa"/>
                <w:shd w:val="clear" w:color="auto" w:fill="FFFFFF"/>
              </w:tcPr>
              <w:p>
                <w:pPr>
                  <w:rPr>
                    <w:color w:val="000000"/>
                    <w:szCs w:val="24"/>
                    <w:lang w:bidi="de-DE"/>
                  </w:rPr>
                </w:pPr>
                <w:r>
                  <w:rPr>
                    <w:color w:val="000000"/>
                    <w:szCs w:val="24"/>
                    <w:lang w:bidi="de-DE"/>
                  </w:rPr>
                  <w:t>Baris (Ba)</w:t>
                </w:r>
              </w:p>
            </w:tc>
            <w:tc>
              <w:tcPr>
                <w:tcW w:w="6596" w:type="dxa"/>
                <w:shd w:val="clear" w:color="auto" w:fill="FFFFFF"/>
              </w:tcPr>
              <w:p>
                <w:pPr>
                  <w:widowControl w:val="0"/>
                  <w:rPr>
                    <w:bCs/>
                    <w:szCs w:val="24"/>
                  </w:rPr>
                </w:pPr>
                <w:r>
                  <w:rPr>
                    <w:rFonts w:eastAsia="Calibri"/>
                    <w:bCs/>
                    <w:szCs w:val="24"/>
                  </w:rPr>
                  <w:t xml:space="preserve">Ėminio paruošimo metodai: LST EN 13657; </w:t>
                </w:r>
                <w:r>
                  <w:rPr>
                    <w:bCs/>
                    <w:szCs w:val="24"/>
                  </w:rPr>
                  <w:t xml:space="preserve">LST EN 16174 </w:t>
                </w:r>
              </w:p>
              <w:p>
                <w:pPr>
                  <w:widowControl w:val="0"/>
                  <w:rPr>
                    <w:rFonts w:eastAsia="Calibri"/>
                    <w:szCs w:val="24"/>
                  </w:rPr>
                </w:pPr>
                <w:r>
                  <w:rPr>
                    <w:rFonts w:eastAsia="Calibri"/>
                    <w:bCs/>
                    <w:szCs w:val="24"/>
                  </w:rPr>
                  <w:t xml:space="preserve">Ėminio analizės metodai: LST EN ISO 16170; LST EN 16171; </w:t>
                </w:r>
                <w:r>
                  <w:rPr>
                    <w:rFonts w:eastAsia="Calibri"/>
                    <w:szCs w:val="24"/>
                  </w:rPr>
                  <w:t>LST EN ISO 11885; LST EN ISO 17294-1; LST EN ISO 17294-2</w:t>
                </w:r>
              </w:p>
            </w:tc>
          </w:tr>
          <w:tr>
            <w:trPr>
              <w:trHeight w:val="105"/>
              <w:jc w:val="center"/>
            </w:trPr>
            <w:tc>
              <w:tcPr>
                <w:tcW w:w="567" w:type="dxa"/>
                <w:shd w:val="clear" w:color="auto" w:fill="FFFFFF"/>
              </w:tcPr>
              <w:p>
                <w:pPr>
                  <w:ind w:left="1080" w:hanging="720"/>
                  <w:rPr>
                    <w:color w:val="000000"/>
                    <w:szCs w:val="24"/>
                    <w:lang w:bidi="de-DE"/>
                  </w:rPr>
                </w:pPr>
                <w:r>
                  <w:rPr>
                    <w:color w:val="000000"/>
                    <w:szCs w:val="24"/>
                    <w:lang w:bidi="de-DE"/>
                  </w:rPr>
                  <w:t>11.</w:t>
                  <w:tab/>
                </w:r>
              </w:p>
            </w:tc>
            <w:tc>
              <w:tcPr>
                <w:tcW w:w="1675" w:type="dxa"/>
                <w:shd w:val="clear" w:color="auto" w:fill="FFFFFF"/>
              </w:tcPr>
              <w:p>
                <w:pPr>
                  <w:rPr>
                    <w:color w:val="000000"/>
                    <w:szCs w:val="24"/>
                    <w:lang w:bidi="de-DE"/>
                  </w:rPr>
                </w:pPr>
                <w:r>
                  <w:rPr>
                    <w:color w:val="000000"/>
                    <w:szCs w:val="24"/>
                    <w:lang w:bidi="de-DE"/>
                  </w:rPr>
                  <w:t>Alavas (Sn)</w:t>
                </w:r>
              </w:p>
            </w:tc>
            <w:tc>
              <w:tcPr>
                <w:tcW w:w="6596" w:type="dxa"/>
                <w:shd w:val="clear" w:color="auto" w:fill="FFFFFF"/>
              </w:tcPr>
              <w:p>
                <w:pPr>
                  <w:widowControl w:val="0"/>
                  <w:rPr>
                    <w:rFonts w:eastAsia="Calibri"/>
                    <w:bCs/>
                    <w:szCs w:val="24"/>
                  </w:rPr>
                </w:pPr>
                <w:r>
                  <w:rPr>
                    <w:rFonts w:eastAsia="Calibri"/>
                    <w:bCs/>
                    <w:szCs w:val="24"/>
                  </w:rPr>
                  <w:t xml:space="preserve">Ėminio paruošimo metodai: LST EN 13657; </w:t>
                </w:r>
                <w:r>
                  <w:rPr>
                    <w:bCs/>
                    <w:szCs w:val="24"/>
                  </w:rPr>
                  <w:t xml:space="preserve">LST EN 16174; </w:t>
                </w:r>
                <w:r>
                  <w:rPr>
                    <w:rFonts w:eastAsia="Calibri"/>
                    <w:bCs/>
                    <w:szCs w:val="24"/>
                  </w:rPr>
                  <w:t xml:space="preserve">LST EN ISO 16170 </w:t>
                </w:r>
              </w:p>
              <w:p>
                <w:pPr>
                  <w:widowControl w:val="0"/>
                  <w:rPr>
                    <w:rFonts w:eastAsia="Calibri"/>
                    <w:szCs w:val="24"/>
                  </w:rPr>
                </w:pPr>
                <w:r>
                  <w:rPr>
                    <w:rFonts w:eastAsia="Calibri"/>
                    <w:bCs/>
                    <w:szCs w:val="24"/>
                  </w:rPr>
                  <w:t xml:space="preserve">Ėminio analizės metodai: LST EN 16171; </w:t>
                </w:r>
                <w:r>
                  <w:rPr>
                    <w:rFonts w:eastAsia="Calibri"/>
                    <w:szCs w:val="24"/>
                  </w:rPr>
                  <w:t xml:space="preserve">LST EN ISO 11885; LST EN ISO 17294-1; LST EN ISO 17294-2; </w:t>
                </w:r>
              </w:p>
            </w:tc>
          </w:tr>
          <w:tr>
            <w:trPr>
              <w:trHeight w:val="105"/>
              <w:jc w:val="center"/>
            </w:trPr>
            <w:tc>
              <w:tcPr>
                <w:tcW w:w="567" w:type="dxa"/>
                <w:shd w:val="clear" w:color="auto" w:fill="FFFFFF"/>
              </w:tcPr>
              <w:p>
                <w:pPr>
                  <w:ind w:left="1080" w:hanging="720"/>
                  <w:rPr>
                    <w:color w:val="000000"/>
                    <w:szCs w:val="24"/>
                    <w:lang w:bidi="de-DE"/>
                  </w:rPr>
                </w:pPr>
                <w:r>
                  <w:rPr>
                    <w:color w:val="000000"/>
                    <w:szCs w:val="24"/>
                    <w:lang w:bidi="de-DE"/>
                  </w:rPr>
                  <w:t>12.</w:t>
                  <w:tab/>
                </w:r>
              </w:p>
            </w:tc>
            <w:tc>
              <w:tcPr>
                <w:tcW w:w="1675" w:type="dxa"/>
                <w:shd w:val="clear" w:color="auto" w:fill="FFFFFF"/>
              </w:tcPr>
              <w:p>
                <w:pPr>
                  <w:rPr>
                    <w:color w:val="000000"/>
                    <w:szCs w:val="24"/>
                    <w:lang w:bidi="de-DE"/>
                  </w:rPr>
                </w:pPr>
                <w:r>
                  <w:rPr>
                    <w:color w:val="000000"/>
                    <w:szCs w:val="24"/>
                    <w:lang w:bidi="de-DE"/>
                  </w:rPr>
                  <w:t>Stroncis (Sr)</w:t>
                </w:r>
              </w:p>
            </w:tc>
            <w:tc>
              <w:tcPr>
                <w:tcW w:w="6596" w:type="dxa"/>
                <w:shd w:val="clear" w:color="auto" w:fill="FFFFFF"/>
              </w:tcPr>
              <w:p>
                <w:pPr>
                  <w:widowControl w:val="0"/>
                  <w:rPr>
                    <w:rFonts w:eastAsia="Calibri"/>
                    <w:bCs/>
                    <w:szCs w:val="24"/>
                  </w:rPr>
                </w:pPr>
                <w:r>
                  <w:rPr>
                    <w:rFonts w:eastAsia="Calibri"/>
                    <w:bCs/>
                    <w:szCs w:val="24"/>
                  </w:rPr>
                  <w:t xml:space="preserve">Ėminio paruošimo metodai: LST EN 13657; </w:t>
                </w:r>
                <w:r>
                  <w:rPr>
                    <w:bCs/>
                    <w:szCs w:val="24"/>
                  </w:rPr>
                  <w:t xml:space="preserve">LST EN 16174; </w:t>
                </w:r>
                <w:r>
                  <w:rPr>
                    <w:rFonts w:eastAsia="Calibri"/>
                    <w:bCs/>
                    <w:szCs w:val="24"/>
                  </w:rPr>
                  <w:t>LST EN ISO 16170</w:t>
                </w:r>
              </w:p>
              <w:p>
                <w:pPr>
                  <w:widowControl w:val="0"/>
                  <w:rPr>
                    <w:rFonts w:eastAsia="Calibri"/>
                    <w:szCs w:val="24"/>
                  </w:rPr>
                </w:pPr>
                <w:r>
                  <w:rPr>
                    <w:rFonts w:eastAsia="Calibri"/>
                    <w:bCs/>
                    <w:szCs w:val="24"/>
                  </w:rPr>
                  <w:t xml:space="preserve">Ėminio analizės metodai: LST EN 16171; </w:t>
                </w:r>
                <w:r>
                  <w:rPr>
                    <w:rFonts w:eastAsia="Calibri"/>
                    <w:szCs w:val="24"/>
                  </w:rPr>
                  <w:t>LST EN ISO 11885; LST EN ISO 17294-1; LST EN ISO 17294-2</w:t>
                </w:r>
              </w:p>
            </w:tc>
          </w:tr>
          <w:tr>
            <w:trPr>
              <w:trHeight w:val="105"/>
              <w:jc w:val="center"/>
            </w:trPr>
            <w:tc>
              <w:tcPr>
                <w:tcW w:w="567" w:type="dxa"/>
                <w:shd w:val="clear" w:color="auto" w:fill="FFFFFF"/>
              </w:tcPr>
              <w:p>
                <w:pPr>
                  <w:ind w:left="1080" w:hanging="720"/>
                  <w:rPr>
                    <w:color w:val="000000"/>
                    <w:szCs w:val="24"/>
                    <w:lang w:bidi="de-DE"/>
                  </w:rPr>
                </w:pPr>
                <w:r>
                  <w:rPr>
                    <w:color w:val="000000"/>
                    <w:szCs w:val="24"/>
                    <w:lang w:bidi="de-DE"/>
                  </w:rPr>
                  <w:t>13.</w:t>
                  <w:tab/>
                </w:r>
              </w:p>
            </w:tc>
            <w:tc>
              <w:tcPr>
                <w:tcW w:w="1675" w:type="dxa"/>
                <w:shd w:val="clear" w:color="auto" w:fill="FFFFFF"/>
              </w:tcPr>
              <w:p>
                <w:pPr>
                  <w:rPr>
                    <w:color w:val="000000"/>
                    <w:szCs w:val="24"/>
                    <w:lang w:bidi="de-DE"/>
                  </w:rPr>
                </w:pPr>
                <w:r>
                  <w:rPr>
                    <w:color w:val="000000"/>
                    <w:szCs w:val="24"/>
                    <w:lang w:bidi="de-DE"/>
                  </w:rPr>
                  <w:t>Kobaltas (Co)</w:t>
                </w:r>
              </w:p>
            </w:tc>
            <w:tc>
              <w:tcPr>
                <w:tcW w:w="6596" w:type="dxa"/>
                <w:shd w:val="clear" w:color="auto" w:fill="FFFFFF"/>
              </w:tcPr>
              <w:p>
                <w:pPr>
                  <w:widowControl w:val="0"/>
                  <w:rPr>
                    <w:rFonts w:eastAsia="Calibri"/>
                    <w:bCs/>
                    <w:szCs w:val="24"/>
                  </w:rPr>
                </w:pPr>
                <w:r>
                  <w:rPr>
                    <w:rFonts w:eastAsia="Calibri"/>
                    <w:bCs/>
                    <w:szCs w:val="24"/>
                  </w:rPr>
                  <w:t xml:space="preserve">Ėminio paruošimo metodai: LST EN 13657; </w:t>
                </w:r>
                <w:r>
                  <w:rPr>
                    <w:bCs/>
                    <w:szCs w:val="24"/>
                  </w:rPr>
                  <w:t xml:space="preserve">LST EN 16174; </w:t>
                </w:r>
                <w:r>
                  <w:rPr>
                    <w:rFonts w:eastAsia="Calibri"/>
                    <w:bCs/>
                    <w:szCs w:val="24"/>
                  </w:rPr>
                  <w:t>LST EN ISO 16170</w:t>
                </w:r>
              </w:p>
              <w:p>
                <w:pPr>
                  <w:widowControl w:val="0"/>
                  <w:rPr>
                    <w:rFonts w:eastAsia="Calibri"/>
                    <w:szCs w:val="24"/>
                  </w:rPr>
                </w:pPr>
                <w:r>
                  <w:rPr>
                    <w:rFonts w:eastAsia="Calibri"/>
                    <w:bCs/>
                    <w:szCs w:val="24"/>
                  </w:rPr>
                  <w:t xml:space="preserve">Ėminio analizės metodai: LST EN 16171; </w:t>
                </w:r>
                <w:r>
                  <w:rPr>
                    <w:bCs/>
                    <w:szCs w:val="24"/>
                  </w:rPr>
                  <w:t xml:space="preserve">LST CEN/TS 16188; </w:t>
                </w:r>
                <w:r>
                  <w:rPr>
                    <w:rFonts w:eastAsia="Calibri"/>
                    <w:szCs w:val="24"/>
                  </w:rPr>
                  <w:t xml:space="preserve">LST EN ISO 11885; LST EN ISO 15586; LST EN ISO 17294-1; </w:t>
                </w:r>
              </w:p>
              <w:p>
                <w:pPr>
                  <w:widowControl w:val="0"/>
                  <w:rPr>
                    <w:rFonts w:eastAsia="Calibri"/>
                    <w:szCs w:val="24"/>
                  </w:rPr>
                </w:pPr>
                <w:r>
                  <w:rPr>
                    <w:rFonts w:eastAsia="Calibri"/>
                    <w:szCs w:val="24"/>
                  </w:rPr>
                  <w:t>LST EN ISO 17294-2</w:t>
                </w:r>
              </w:p>
            </w:tc>
          </w:tr>
          <w:tr>
            <w:trPr>
              <w:trHeight w:val="105"/>
              <w:jc w:val="center"/>
            </w:trPr>
            <w:tc>
              <w:tcPr>
                <w:tcW w:w="567" w:type="dxa"/>
                <w:shd w:val="clear" w:color="auto" w:fill="FFFFFF"/>
              </w:tcPr>
              <w:p>
                <w:pPr>
                  <w:ind w:left="1080" w:hanging="720"/>
                  <w:rPr>
                    <w:color w:val="000000"/>
                    <w:szCs w:val="24"/>
                    <w:lang w:bidi="de-DE"/>
                  </w:rPr>
                </w:pPr>
                <w:r>
                  <w:rPr>
                    <w:color w:val="000000"/>
                    <w:szCs w:val="24"/>
                    <w:lang w:bidi="de-DE"/>
                  </w:rPr>
                  <w:t>14.</w:t>
                  <w:tab/>
                </w:r>
              </w:p>
            </w:tc>
            <w:tc>
              <w:tcPr>
                <w:tcW w:w="1675" w:type="dxa"/>
                <w:shd w:val="clear" w:color="auto" w:fill="FFFFFF"/>
              </w:tcPr>
              <w:p>
                <w:pPr>
                  <w:rPr>
                    <w:color w:val="000000"/>
                    <w:szCs w:val="24"/>
                    <w:lang w:bidi="de-DE"/>
                  </w:rPr>
                </w:pPr>
                <w:r>
                  <w:rPr>
                    <w:color w:val="000000"/>
                    <w:szCs w:val="24"/>
                    <w:lang w:bidi="de-DE"/>
                  </w:rPr>
                  <w:t>Vanadis (V)</w:t>
                </w:r>
              </w:p>
            </w:tc>
            <w:tc>
              <w:tcPr>
                <w:tcW w:w="6596" w:type="dxa"/>
                <w:shd w:val="clear" w:color="auto" w:fill="FFFFFF"/>
              </w:tcPr>
              <w:p>
                <w:pPr>
                  <w:widowControl w:val="0"/>
                  <w:rPr>
                    <w:rFonts w:eastAsia="Calibri"/>
                    <w:bCs/>
                    <w:szCs w:val="24"/>
                  </w:rPr>
                </w:pPr>
                <w:r>
                  <w:rPr>
                    <w:rFonts w:eastAsia="Calibri"/>
                    <w:bCs/>
                    <w:szCs w:val="24"/>
                  </w:rPr>
                  <w:t xml:space="preserve">Ėminio paruošimo metodai: LST EN 13657; </w:t>
                </w:r>
                <w:r>
                  <w:rPr>
                    <w:bCs/>
                    <w:szCs w:val="24"/>
                  </w:rPr>
                  <w:t xml:space="preserve">LST EN 16174; </w:t>
                </w:r>
                <w:r>
                  <w:rPr>
                    <w:rFonts w:eastAsia="Calibri"/>
                    <w:bCs/>
                    <w:szCs w:val="24"/>
                  </w:rPr>
                  <w:t>LST EN ISO 16170</w:t>
                </w:r>
              </w:p>
              <w:p>
                <w:pPr>
                  <w:widowControl w:val="0"/>
                  <w:rPr>
                    <w:rFonts w:eastAsia="Calibri"/>
                    <w:bCs/>
                    <w:szCs w:val="24"/>
                  </w:rPr>
                </w:pPr>
                <w:r>
                  <w:rPr>
                    <w:rFonts w:eastAsia="Calibri"/>
                    <w:bCs/>
                    <w:szCs w:val="24"/>
                  </w:rPr>
                  <w:t xml:space="preserve">Ėminio analizės metodai: LST EN 16171; </w:t>
                </w:r>
                <w:r>
                  <w:rPr>
                    <w:rFonts w:eastAsia="Calibri"/>
                    <w:szCs w:val="24"/>
                  </w:rPr>
                  <w:t>LST EN ISO 11885; LST EN ISO 17294-1; LST EN ISO 17294-2</w:t>
                </w:r>
              </w:p>
            </w:tc>
          </w:tr>
          <w:tr>
            <w:trPr>
              <w:trHeight w:val="105"/>
              <w:jc w:val="center"/>
            </w:trPr>
            <w:tc>
              <w:tcPr>
                <w:tcW w:w="567" w:type="dxa"/>
                <w:shd w:val="clear" w:color="auto" w:fill="FFFFFF"/>
              </w:tcPr>
              <w:p>
                <w:pPr>
                  <w:ind w:left="1080" w:hanging="720"/>
                  <w:rPr>
                    <w:color w:val="000000"/>
                    <w:szCs w:val="24"/>
                    <w:lang w:bidi="de-DE"/>
                  </w:rPr>
                </w:pPr>
                <w:r>
                  <w:rPr>
                    <w:color w:val="000000"/>
                    <w:szCs w:val="24"/>
                    <w:lang w:bidi="de-DE"/>
                  </w:rPr>
                  <w:t>15.</w:t>
                  <w:tab/>
                </w:r>
              </w:p>
            </w:tc>
            <w:tc>
              <w:tcPr>
                <w:tcW w:w="1675" w:type="dxa"/>
                <w:shd w:val="clear" w:color="auto" w:fill="FFFFFF"/>
              </w:tcPr>
              <w:p>
                <w:pPr>
                  <w:rPr>
                    <w:color w:val="000000"/>
                    <w:szCs w:val="24"/>
                    <w:lang w:bidi="de-DE"/>
                  </w:rPr>
                </w:pPr>
                <w:r>
                  <w:rPr>
                    <w:color w:val="000000"/>
                    <w:szCs w:val="24"/>
                    <w:lang w:bidi="de-DE"/>
                  </w:rPr>
                  <w:t>Molibdenas (Mo)</w:t>
                </w:r>
              </w:p>
            </w:tc>
            <w:tc>
              <w:tcPr>
                <w:tcW w:w="6596" w:type="dxa"/>
                <w:shd w:val="clear" w:color="auto" w:fill="FFFFFF"/>
              </w:tcPr>
              <w:p>
                <w:pPr>
                  <w:widowControl w:val="0"/>
                  <w:rPr>
                    <w:rFonts w:eastAsia="Calibri"/>
                    <w:bCs/>
                    <w:szCs w:val="24"/>
                  </w:rPr>
                </w:pPr>
                <w:r>
                  <w:rPr>
                    <w:rFonts w:eastAsia="Calibri"/>
                    <w:bCs/>
                    <w:szCs w:val="24"/>
                  </w:rPr>
                  <w:t xml:space="preserve">Ėminio paruošimo metodai: LST EN 13657; </w:t>
                </w:r>
                <w:r>
                  <w:rPr>
                    <w:bCs/>
                    <w:szCs w:val="24"/>
                  </w:rPr>
                  <w:t xml:space="preserve">LST EN 16174; </w:t>
                </w:r>
                <w:r>
                  <w:rPr>
                    <w:rFonts w:eastAsia="Calibri"/>
                    <w:bCs/>
                    <w:szCs w:val="24"/>
                  </w:rPr>
                  <w:t>LST EN ISO 16170</w:t>
                </w:r>
              </w:p>
              <w:p>
                <w:pPr>
                  <w:widowControl w:val="0"/>
                  <w:rPr>
                    <w:rFonts w:eastAsia="Calibri"/>
                    <w:bCs/>
                    <w:szCs w:val="24"/>
                  </w:rPr>
                </w:pPr>
                <w:r>
                  <w:rPr>
                    <w:rFonts w:eastAsia="Calibri"/>
                    <w:bCs/>
                    <w:szCs w:val="24"/>
                  </w:rPr>
                  <w:t xml:space="preserve">Ėminio analizės metodai: LST EN 16171; </w:t>
                </w:r>
                <w:r>
                  <w:rPr>
                    <w:rFonts w:eastAsia="Calibri"/>
                    <w:szCs w:val="24"/>
                  </w:rPr>
                  <w:t>LST EN ISO 11885; LST EN ISO 17294-1; LST EN ISO 17294-2</w:t>
                </w:r>
              </w:p>
            </w:tc>
          </w:tr>
          <w:tr>
            <w:trPr>
              <w:trHeight w:val="105"/>
              <w:jc w:val="center"/>
            </w:trPr>
            <w:tc>
              <w:tcPr>
                <w:tcW w:w="567" w:type="dxa"/>
                <w:shd w:val="clear" w:color="auto" w:fill="FFFFFF"/>
              </w:tcPr>
              <w:p>
                <w:pPr>
                  <w:ind w:left="1080" w:hanging="720"/>
                  <w:rPr>
                    <w:color w:val="000000"/>
                    <w:szCs w:val="24"/>
                    <w:lang w:bidi="de-DE"/>
                  </w:rPr>
                </w:pPr>
                <w:r>
                  <w:rPr>
                    <w:color w:val="000000"/>
                    <w:szCs w:val="24"/>
                    <w:lang w:bidi="de-DE"/>
                  </w:rPr>
                  <w:t>16.</w:t>
                  <w:tab/>
                </w:r>
              </w:p>
            </w:tc>
            <w:tc>
              <w:tcPr>
                <w:tcW w:w="1675" w:type="dxa"/>
                <w:shd w:val="clear" w:color="auto" w:fill="FFFFFF"/>
              </w:tcPr>
              <w:p>
                <w:pPr>
                  <w:rPr>
                    <w:color w:val="000000"/>
                    <w:szCs w:val="24"/>
                    <w:lang w:bidi="de-DE"/>
                  </w:rPr>
                </w:pPr>
                <w:r>
                  <w:rPr>
                    <w:color w:val="000000"/>
                    <w:szCs w:val="24"/>
                    <w:lang w:bidi="de-DE"/>
                  </w:rPr>
                  <w:t>Manganas (Mn)</w:t>
                </w:r>
              </w:p>
            </w:tc>
            <w:tc>
              <w:tcPr>
                <w:tcW w:w="6596" w:type="dxa"/>
                <w:shd w:val="clear" w:color="auto" w:fill="FFFFFF"/>
              </w:tcPr>
              <w:p>
                <w:pPr>
                  <w:widowControl w:val="0"/>
                  <w:rPr>
                    <w:rFonts w:eastAsia="Calibri"/>
                    <w:bCs/>
                    <w:szCs w:val="24"/>
                  </w:rPr>
                </w:pPr>
                <w:r>
                  <w:rPr>
                    <w:rFonts w:eastAsia="Calibri"/>
                    <w:bCs/>
                    <w:szCs w:val="24"/>
                  </w:rPr>
                  <w:t xml:space="preserve">Ėminio paruošimo metodai: LST EN 13657; </w:t>
                </w:r>
                <w:r>
                  <w:rPr>
                    <w:bCs/>
                    <w:szCs w:val="24"/>
                  </w:rPr>
                  <w:t xml:space="preserve">LST EN 16174; </w:t>
                </w:r>
                <w:r>
                  <w:rPr>
                    <w:rFonts w:eastAsia="Calibri"/>
                    <w:bCs/>
                    <w:szCs w:val="24"/>
                  </w:rPr>
                  <w:t>LST EN ISO 16170</w:t>
                </w:r>
              </w:p>
              <w:p>
                <w:pPr>
                  <w:widowControl w:val="0"/>
                  <w:rPr>
                    <w:rFonts w:eastAsia="Calibri"/>
                    <w:szCs w:val="24"/>
                  </w:rPr>
                </w:pPr>
                <w:r>
                  <w:rPr>
                    <w:rFonts w:eastAsia="Calibri"/>
                    <w:bCs/>
                    <w:szCs w:val="24"/>
                  </w:rPr>
                  <w:t xml:space="preserve">Ėminio analizės metodai: LST EN 16171; </w:t>
                </w:r>
                <w:r>
                  <w:rPr>
                    <w:bCs/>
                    <w:szCs w:val="24"/>
                  </w:rPr>
                  <w:t xml:space="preserve">LST CEN/TS 16188; </w:t>
                </w:r>
                <w:r>
                  <w:rPr>
                    <w:rFonts w:eastAsia="Calibri"/>
                    <w:szCs w:val="24"/>
                  </w:rPr>
                  <w:t xml:space="preserve">LST EN ISO 11885; LST EN ISO 15586; LST EN ISO 17294-1; </w:t>
                </w:r>
              </w:p>
              <w:p>
                <w:pPr>
                  <w:widowControl w:val="0"/>
                  <w:rPr>
                    <w:rFonts w:eastAsia="Calibri"/>
                    <w:bCs/>
                    <w:szCs w:val="24"/>
                  </w:rPr>
                </w:pPr>
                <w:r>
                  <w:rPr>
                    <w:rFonts w:eastAsia="Calibri"/>
                    <w:szCs w:val="24"/>
                  </w:rPr>
                  <w:t>LST EN ISO 17294-2</w:t>
                </w:r>
              </w:p>
            </w:tc>
          </w:tr>
          <w:tr>
            <w:trPr>
              <w:trHeight w:val="105"/>
              <w:jc w:val="center"/>
            </w:trPr>
            <w:tc>
              <w:tcPr>
                <w:tcW w:w="567" w:type="dxa"/>
                <w:shd w:val="clear" w:color="auto" w:fill="FFFFFF"/>
              </w:tcPr>
              <w:p>
                <w:pPr>
                  <w:ind w:left="1080" w:hanging="720"/>
                  <w:rPr>
                    <w:color w:val="000000"/>
                    <w:szCs w:val="24"/>
                    <w:lang w:bidi="de-DE"/>
                  </w:rPr>
                </w:pPr>
                <w:r>
                  <w:rPr>
                    <w:color w:val="000000"/>
                    <w:szCs w:val="24"/>
                    <w:lang w:bidi="de-DE"/>
                  </w:rPr>
                  <w:t>17.</w:t>
                  <w:tab/>
                </w:r>
              </w:p>
            </w:tc>
            <w:tc>
              <w:tcPr>
                <w:tcW w:w="1675" w:type="dxa"/>
                <w:shd w:val="clear" w:color="auto" w:fill="FFFFFF"/>
              </w:tcPr>
              <w:p>
                <w:pPr>
                  <w:rPr>
                    <w:color w:val="000000"/>
                    <w:szCs w:val="24"/>
                    <w:lang w:bidi="de-DE"/>
                  </w:rPr>
                </w:pPr>
                <w:r>
                  <w:rPr>
                    <w:color w:val="000000"/>
                    <w:szCs w:val="24"/>
                    <w:lang w:bidi="de-DE"/>
                  </w:rPr>
                  <w:t>Iškaitinimo nuostolis</w:t>
                </w:r>
              </w:p>
            </w:tc>
            <w:tc>
              <w:tcPr>
                <w:tcW w:w="6596" w:type="dxa"/>
                <w:shd w:val="clear" w:color="auto" w:fill="FFFFFF"/>
              </w:tcPr>
              <w:p>
                <w:pPr>
                  <w:widowControl w:val="0"/>
                  <w:rPr>
                    <w:rFonts w:eastAsia="Calibri"/>
                    <w:bCs/>
                    <w:szCs w:val="24"/>
                  </w:rPr>
                </w:pPr>
              </w:p>
              <w:p>
                <w:pPr>
                  <w:widowControl w:val="0"/>
                  <w:rPr>
                    <w:rFonts w:eastAsia="Calibri"/>
                    <w:bCs/>
                    <w:szCs w:val="24"/>
                  </w:rPr>
                </w:pPr>
                <w:r>
                  <w:rPr>
                    <w:rFonts w:eastAsia="Calibri"/>
                    <w:bCs/>
                    <w:szCs w:val="24"/>
                  </w:rPr>
                  <w:t>LST EN 15169; LST EN 15935</w:t>
                </w:r>
              </w:p>
            </w:tc>
          </w:tr>
        </w:tbl>
        <w:p>
          <w:pPr>
            <w:rPr>
              <w:b/>
            </w:rPr>
          </w:pPr>
        </w:p>
        <w:p>
          <w:pPr>
            <w:ind w:firstLine="3348"/>
            <w:jc w:val="right"/>
          </w:pPr>
        </w:p>
        <w:p>
          <w:pPr>
            <w:tabs>
              <w:tab w:val="left" w:pos="8821"/>
            </w:tabs>
            <w:ind w:left="6237"/>
            <w:rPr>
              <w:color w:val="414142"/>
              <w:szCs w:val="24"/>
            </w:rPr>
          </w:pPr>
        </w:p>
        <w:p>
          <w:pPr>
            <w:tabs>
              <w:tab w:val="left" w:pos="8821"/>
            </w:tabs>
            <w:ind w:left="6237"/>
            <w:rPr>
              <w:color w:val="414142"/>
              <w:szCs w:val="24"/>
            </w:rPr>
          </w:pPr>
        </w:p>
        <w:p>
          <w:pPr>
            <w:tabs>
              <w:tab w:val="left" w:pos="8821"/>
            </w:tabs>
            <w:ind w:left="6237"/>
            <w:rPr>
              <w:color w:val="414142"/>
              <w:szCs w:val="24"/>
            </w:rPr>
          </w:pPr>
        </w:p>
        <w:p>
          <w:pPr>
            <w:tabs>
              <w:tab w:val="left" w:pos="8821"/>
            </w:tabs>
            <w:ind w:left="6237"/>
            <w:rPr>
              <w:color w:val="414142"/>
              <w:szCs w:val="24"/>
            </w:rPr>
          </w:pPr>
        </w:p>
        <w:p>
          <w:pPr>
            <w:tabs>
              <w:tab w:val="left" w:pos="8821"/>
            </w:tabs>
            <w:ind w:left="6237"/>
            <w:rPr>
              <w:color w:val="414142"/>
              <w:szCs w:val="24"/>
            </w:rPr>
          </w:pPr>
        </w:p>
        <w:p>
          <w:pPr>
            <w:tabs>
              <w:tab w:val="left" w:pos="8821"/>
            </w:tabs>
            <w:ind w:left="6237"/>
            <w:rPr>
              <w:color w:val="414142"/>
              <w:szCs w:val="24"/>
            </w:rPr>
          </w:pPr>
        </w:p>
        <w:p>
          <w:pPr>
            <w:tabs>
              <w:tab w:val="left" w:pos="8821"/>
            </w:tabs>
            <w:ind w:left="6237"/>
            <w:rPr>
              <w:color w:val="414142"/>
              <w:szCs w:val="24"/>
            </w:rPr>
          </w:pPr>
        </w:p>
        <w:p>
          <w:pPr>
            <w:tabs>
              <w:tab w:val="left" w:pos="8821"/>
            </w:tabs>
            <w:ind w:left="6237"/>
            <w:rPr>
              <w:color w:val="414142"/>
              <w:szCs w:val="24"/>
            </w:rPr>
          </w:pPr>
        </w:p>
        <w:p>
          <w:pPr>
            <w:tabs>
              <w:tab w:val="left" w:pos="8821"/>
            </w:tabs>
            <w:ind w:left="6237"/>
            <w:rPr>
              <w:color w:val="414142"/>
              <w:szCs w:val="24"/>
            </w:rPr>
          </w:pPr>
        </w:p>
        <w:p>
          <w:pPr>
            <w:tabs>
              <w:tab w:val="left" w:pos="8821"/>
            </w:tabs>
            <w:ind w:left="6237"/>
            <w:rPr>
              <w:color w:val="414142"/>
              <w:szCs w:val="24"/>
            </w:rPr>
          </w:pPr>
        </w:p>
        <w:p>
          <w:pPr>
            <w:tabs>
              <w:tab w:val="left" w:pos="8821"/>
            </w:tabs>
            <w:ind w:left="6237"/>
            <w:rPr>
              <w:color w:val="414142"/>
              <w:szCs w:val="24"/>
            </w:rPr>
          </w:pPr>
        </w:p>
        <w:p>
          <w:pPr>
            <w:tabs>
              <w:tab w:val="left" w:pos="8821"/>
            </w:tabs>
            <w:ind w:left="6237"/>
            <w:rPr>
              <w:color w:val="414142"/>
              <w:szCs w:val="24"/>
            </w:rPr>
          </w:pPr>
        </w:p>
        <w:p>
          <w:pPr>
            <w:tabs>
              <w:tab w:val="left" w:pos="8821"/>
            </w:tabs>
            <w:ind w:left="6237"/>
            <w:rPr>
              <w:color w:val="414142"/>
              <w:szCs w:val="24"/>
            </w:rPr>
            <w:sectPr>
              <w:footnotePr>
                <w:pos w:val="beneathText"/>
              </w:footnotePr>
              <w:pgSz w:w="11905" w:h="16837" w:code="9"/>
              <w:pgMar w:top="1134" w:right="567" w:bottom="1134" w:left="1701" w:header="794" w:footer="919" w:gutter="0"/>
              <w:pgNumType w:start="1"/>
              <w:cols w:space="1296"/>
              <w:formProt w:val="0"/>
              <w:titlePg/>
              <w:docGrid w:linePitch="360"/>
            </w:sectPr>
          </w:pPr>
        </w:p>
        <w:p>
          <w:pPr>
            <w:tabs>
              <w:tab w:val="center" w:pos="4986"/>
              <w:tab w:val="right" w:pos="9972"/>
            </w:tabs>
          </w:pPr>
        </w:p>
      </w:sdtContent>
    </w:sdt>
    <w:sdt>
      <w:sdtPr>
        <w:alias w:val="3 pr."/>
        <w:tag w:val="part_03f5ed24e2f24d049a9be4ef9f6d5064"/>
        <w:lock w:val="sdtLocked"/>
        <w:richText/>
      </w:sdtPr>
      <w:sdtContent>
        <w:p>
          <w:pPr>
            <w:jc w:val="right"/>
          </w:pPr>
          <w:r>
            <w:t xml:space="preserve">Atliekų deginimo įrenginiuose ir bendro </w:t>
          </w:r>
        </w:p>
        <w:p>
          <w:pPr>
            <w:jc w:val="right"/>
          </w:pPr>
          <w:r>
            <w:t xml:space="preserve">atliekų  deginimo</w:t>
          </w:r>
          <w:r>
            <w:rPr>
              <w:bCs/>
            </w:rPr>
            <w:t xml:space="preserve"> įrenginiuose</w:t>
          </w:r>
          <w:r>
            <w:t xml:space="preserve"> susidariusių</w:t>
          </w:r>
        </w:p>
        <w:p>
          <w:pPr>
            <w:ind w:left="5040" w:firstLine="372"/>
            <w:jc w:val="right"/>
          </w:pPr>
          <w:r>
            <w:t xml:space="preserve">nepavojingųjų  pelenų ir šlako atliekų tvarkymo ir panaudojimo reikalavimų</w:t>
          </w:r>
        </w:p>
        <w:p>
          <w:pPr>
            <w:ind w:firstLine="5456"/>
            <w:jc w:val="right"/>
          </w:pPr>
          <w:sdt>
            <w:sdtPr>
              <w:alias w:val="Numeris"/>
              <w:tag w:val="nr_03f5ed24e2f24d049a9be4ef9f6d5064"/>
              <w:lock w:val="sdtLocked"/>
              <w:richText/>
            </w:sdtPr>
            <w:sdtContent>
              <w:r>
                <w:t>3</w:t>
              </w:r>
            </w:sdtContent>
          </w:sdt>
          <w:r>
            <w:t xml:space="preserve"> priedas</w:t>
          </w:r>
        </w:p>
        <w:p>
          <w:pPr>
            <w:ind w:firstLine="1488"/>
            <w:jc w:val="both"/>
            <w:rPr>
              <w:b/>
            </w:rPr>
          </w:pPr>
        </w:p>
        <w:p>
          <w:pPr>
            <w:jc w:val="center"/>
          </w:pPr>
          <w:sdt>
            <w:sdtPr>
              <w:alias w:val="Pavadinimas"/>
              <w:tag w:val="title_03f5ed24e2f24d049a9be4ef9f6d5064"/>
              <w:lock w:val="sdtLocked"/>
              <w:richText/>
            </w:sdtPr>
            <w:sdtContent>
              <w:r>
                <w:rPr>
                  <w:b/>
                </w:rPr>
                <w:t>Pelenų ir šlako atliekų išplovimo tyrimo metodai</w:t>
              </w:r>
            </w:sdtContent>
          </w:sdt>
        </w:p>
        <w:p>
          <w:pPr>
            <w:ind w:firstLine="3348"/>
            <w:jc w:val="right"/>
          </w:pPr>
        </w:p>
        <w:tbl>
          <w:tblPr>
            <w:tblW w:w="448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4A0" w:firstRow="1" w:lastRow="0" w:firstColumn="1" w:lastColumn="0" w:noHBand="0" w:noVBand="1"/>
          </w:tblPr>
          <w:tblGrid>
            <w:gridCol w:w="762"/>
            <w:gridCol w:w="1608"/>
            <w:gridCol w:w="6381"/>
          </w:tblGrid>
          <w:tr>
            <w:trPr>
              <w:trHeight w:val="201"/>
              <w:jc w:val="center"/>
            </w:trPr>
            <w:tc>
              <w:tcPr>
                <w:tcW w:w="435" w:type="pct"/>
                <w:shd w:val="clear" w:color="auto" w:fill="FFFFFF"/>
              </w:tcPr>
              <w:p>
                <w:pPr>
                  <w:ind w:left="79"/>
                  <w:jc w:val="center"/>
                  <w:rPr>
                    <w:b/>
                    <w:bCs/>
                    <w:color w:val="000000"/>
                    <w:szCs w:val="24"/>
                    <w:lang w:bidi="de-DE"/>
                  </w:rPr>
                </w:pPr>
                <w:r>
                  <w:rPr>
                    <w:b/>
                    <w:bCs/>
                    <w:color w:val="000000"/>
                    <w:szCs w:val="24"/>
                    <w:lang w:bidi="de-DE"/>
                  </w:rPr>
                  <w:t>Eil. Nr.</w:t>
                </w:r>
              </w:p>
            </w:tc>
            <w:tc>
              <w:tcPr>
                <w:tcW w:w="919" w:type="pct"/>
                <w:shd w:val="clear" w:color="auto" w:fill="FFFFFF"/>
                <w:vAlign w:val="center"/>
              </w:tcPr>
              <w:p>
                <w:pPr>
                  <w:jc w:val="center"/>
                  <w:rPr>
                    <w:b/>
                    <w:bCs/>
                    <w:color w:val="000000"/>
                    <w:szCs w:val="24"/>
                    <w:lang w:bidi="de-DE"/>
                  </w:rPr>
                </w:pPr>
                <w:r>
                  <w:rPr>
                    <w:b/>
                    <w:bCs/>
                    <w:color w:val="000000"/>
                    <w:szCs w:val="24"/>
                    <w:lang w:bidi="de-DE"/>
                  </w:rPr>
                  <w:t>Parametras</w:t>
                </w:r>
              </w:p>
            </w:tc>
            <w:tc>
              <w:tcPr>
                <w:tcW w:w="3645" w:type="pct"/>
                <w:shd w:val="clear" w:color="auto" w:fill="FFFFFF"/>
              </w:tcPr>
              <w:p>
                <w:pPr>
                  <w:jc w:val="center"/>
                  <w:rPr>
                    <w:b/>
                    <w:bCs/>
                    <w:color w:val="000000"/>
                    <w:szCs w:val="24"/>
                    <w:lang w:bidi="de-DE"/>
                  </w:rPr>
                </w:pPr>
                <w:r>
                  <w:rPr>
                    <w:b/>
                    <w:bCs/>
                    <w:color w:val="000000"/>
                    <w:szCs w:val="24"/>
                    <w:lang w:bidi="de-DE"/>
                  </w:rPr>
                  <w:t>Tyrimo metodai</w:t>
                </w:r>
              </w:p>
            </w:tc>
          </w:tr>
          <w:tr>
            <w:trPr>
              <w:trHeight w:val="455"/>
              <w:jc w:val="center"/>
            </w:trPr>
            <w:tc>
              <w:tcPr>
                <w:tcW w:w="435" w:type="pct"/>
                <w:shd w:val="clear" w:color="auto" w:fill="FFFFFF"/>
              </w:tcPr>
              <w:p>
                <w:pPr>
                  <w:ind w:left="1080" w:hanging="720"/>
                  <w:rPr>
                    <w:color w:val="000000"/>
                    <w:szCs w:val="24"/>
                    <w:lang w:bidi="de-DE"/>
                  </w:rPr>
                </w:pPr>
                <w:r>
                  <w:rPr>
                    <w:color w:val="000000"/>
                    <w:szCs w:val="24"/>
                    <w:lang w:bidi="de-DE"/>
                  </w:rPr>
                  <w:t>1.</w:t>
                  <w:tab/>
                </w:r>
              </w:p>
            </w:tc>
            <w:tc>
              <w:tcPr>
                <w:tcW w:w="919" w:type="pct"/>
                <w:shd w:val="clear" w:color="auto" w:fill="FFFFFF"/>
                <w:hideMark/>
              </w:tcPr>
              <w:p>
                <w:pPr>
                  <w:rPr>
                    <w:color w:val="000000"/>
                    <w:szCs w:val="24"/>
                  </w:rPr>
                </w:pPr>
                <w:r>
                  <w:rPr>
                    <w:color w:val="000000"/>
                    <w:szCs w:val="24"/>
                    <w:lang w:bidi="de-DE"/>
                  </w:rPr>
                  <w:t>pH</w:t>
                </w:r>
              </w:p>
            </w:tc>
            <w:tc>
              <w:tcPr>
                <w:tcW w:w="3645" w:type="pct"/>
                <w:shd w:val="clear" w:color="auto" w:fill="FFFFFF"/>
                <w:vAlign w:val="center"/>
              </w:tcPr>
              <w:p>
                <w:pPr>
                  <w:rPr>
                    <w:color w:val="000000"/>
                    <w:szCs w:val="24"/>
                    <w:lang w:bidi="de-DE"/>
                  </w:rPr>
                </w:pPr>
                <w:r>
                  <w:rPr>
                    <w:rFonts w:eastAsia="Calibri"/>
                    <w:lang w:eastAsia="lt-LT"/>
                  </w:rPr>
                  <w:t>LST EN ISO 10523</w:t>
                </w:r>
              </w:p>
            </w:tc>
          </w:tr>
          <w:tr>
            <w:trPr>
              <w:trHeight w:val="152"/>
              <w:jc w:val="center"/>
            </w:trPr>
            <w:tc>
              <w:tcPr>
                <w:tcW w:w="435" w:type="pct"/>
                <w:shd w:val="clear" w:color="auto" w:fill="FFFFFF"/>
              </w:tcPr>
              <w:p>
                <w:pPr>
                  <w:ind w:left="1080" w:hanging="720"/>
                  <w:rPr>
                    <w:color w:val="000000"/>
                    <w:szCs w:val="24"/>
                    <w:lang w:bidi="de-DE"/>
                  </w:rPr>
                </w:pPr>
                <w:r>
                  <w:rPr>
                    <w:color w:val="000000"/>
                    <w:szCs w:val="24"/>
                    <w:lang w:bidi="de-DE"/>
                  </w:rPr>
                  <w:t>2.</w:t>
                  <w:tab/>
                </w:r>
              </w:p>
            </w:tc>
            <w:tc>
              <w:tcPr>
                <w:tcW w:w="919" w:type="pct"/>
                <w:shd w:val="clear" w:color="auto" w:fill="FFFFFF"/>
                <w:hideMark/>
              </w:tcPr>
              <w:p>
                <w:pPr>
                  <w:rPr>
                    <w:color w:val="000000"/>
                    <w:szCs w:val="24"/>
                  </w:rPr>
                </w:pPr>
                <w:r>
                  <w:rPr>
                    <w:color w:val="000000"/>
                    <w:szCs w:val="24"/>
                    <w:lang w:bidi="de-DE"/>
                  </w:rPr>
                  <w:t>Elektros laidumas</w:t>
                </w:r>
              </w:p>
            </w:tc>
            <w:tc>
              <w:tcPr>
                <w:tcW w:w="3645" w:type="pct"/>
                <w:shd w:val="clear" w:color="auto" w:fill="FFFFFF"/>
                <w:vAlign w:val="center"/>
              </w:tcPr>
              <w:p>
                <w:pPr>
                  <w:rPr>
                    <w:color w:val="000000"/>
                    <w:szCs w:val="24"/>
                    <w:lang w:bidi="de-DE"/>
                  </w:rPr>
                </w:pPr>
                <w:r>
                  <w:rPr>
                    <w:rFonts w:eastAsia="Calibri"/>
                  </w:rPr>
                  <w:t>LST EN 27888</w:t>
                </w:r>
              </w:p>
            </w:tc>
          </w:tr>
          <w:tr>
            <w:trPr>
              <w:trHeight w:val="186"/>
              <w:jc w:val="center"/>
            </w:trPr>
            <w:tc>
              <w:tcPr>
                <w:tcW w:w="435" w:type="pct"/>
                <w:shd w:val="clear" w:color="auto" w:fill="FFFFFF"/>
              </w:tcPr>
              <w:p>
                <w:pPr>
                  <w:ind w:left="1080" w:hanging="720"/>
                  <w:rPr>
                    <w:color w:val="000000"/>
                    <w:szCs w:val="24"/>
                    <w:lang w:bidi="de-DE"/>
                  </w:rPr>
                </w:pPr>
                <w:r>
                  <w:rPr>
                    <w:color w:val="000000"/>
                    <w:szCs w:val="24"/>
                    <w:lang w:bidi="de-DE"/>
                  </w:rPr>
                  <w:t>3.</w:t>
                  <w:tab/>
                </w:r>
              </w:p>
            </w:tc>
            <w:tc>
              <w:tcPr>
                <w:tcW w:w="919" w:type="pct"/>
                <w:shd w:val="clear" w:color="auto" w:fill="FFFFFF"/>
                <w:hideMark/>
              </w:tcPr>
              <w:p>
                <w:pPr>
                  <w:rPr>
                    <w:szCs w:val="24"/>
                  </w:rPr>
                </w:pPr>
                <w:r>
                  <w:rPr>
                    <w:rFonts w:eastAsia="Calibri"/>
                    <w:bCs/>
                  </w:rPr>
                  <w:t>Ištirpusi organinė anglis</w:t>
                </w:r>
              </w:p>
            </w:tc>
            <w:tc>
              <w:tcPr>
                <w:tcW w:w="3645" w:type="pct"/>
                <w:shd w:val="clear" w:color="auto" w:fill="FFFFFF"/>
                <w:vAlign w:val="center"/>
              </w:tcPr>
              <w:p>
                <w:pPr>
                  <w:widowControl w:val="0"/>
                  <w:rPr>
                    <w:szCs w:val="24"/>
                    <w:lang w:bidi="de-DE"/>
                  </w:rPr>
                </w:pPr>
                <w:r>
                  <w:rPr>
                    <w:rFonts w:eastAsia="Calibri"/>
                  </w:rPr>
                  <w:t>LST EN 1484</w:t>
                </w:r>
              </w:p>
            </w:tc>
          </w:tr>
          <w:tr>
            <w:trPr>
              <w:trHeight w:val="207"/>
              <w:jc w:val="center"/>
            </w:trPr>
            <w:tc>
              <w:tcPr>
                <w:tcW w:w="435" w:type="pct"/>
                <w:shd w:val="clear" w:color="auto" w:fill="FFFFFF"/>
              </w:tcPr>
              <w:p>
                <w:pPr>
                  <w:ind w:left="1080" w:hanging="720"/>
                  <w:rPr>
                    <w:color w:val="000000"/>
                    <w:szCs w:val="24"/>
                    <w:lang w:bidi="de-DE"/>
                  </w:rPr>
                </w:pPr>
                <w:r>
                  <w:rPr>
                    <w:color w:val="000000"/>
                    <w:szCs w:val="24"/>
                    <w:lang w:bidi="de-DE"/>
                  </w:rPr>
                  <w:t>4.</w:t>
                  <w:tab/>
                </w:r>
              </w:p>
            </w:tc>
            <w:tc>
              <w:tcPr>
                <w:tcW w:w="919" w:type="pct"/>
                <w:shd w:val="clear" w:color="auto" w:fill="FFFFFF"/>
                <w:hideMark/>
              </w:tcPr>
              <w:p>
                <w:pPr>
                  <w:rPr>
                    <w:szCs w:val="24"/>
                  </w:rPr>
                </w:pPr>
                <w:r>
                  <w:rPr>
                    <w:szCs w:val="24"/>
                    <w:lang w:bidi="de-DE"/>
                  </w:rPr>
                  <w:t>Arsenas</w:t>
                </w:r>
              </w:p>
            </w:tc>
            <w:tc>
              <w:tcPr>
                <w:tcW w:w="3645" w:type="pct"/>
                <w:shd w:val="clear" w:color="auto" w:fill="FFFFFF"/>
                <w:vAlign w:val="center"/>
              </w:tcPr>
              <w:p>
                <w:pPr>
                  <w:widowControl w:val="0"/>
                  <w:rPr>
                    <w:rFonts w:eastAsia="Calibri"/>
                  </w:rPr>
                </w:pPr>
                <w:r>
                  <w:rPr>
                    <w:rFonts w:eastAsia="Calibri"/>
                  </w:rPr>
                  <w:t xml:space="preserve">LST EN ISO 11885; LST EN ISO 15586; </w:t>
                </w:r>
              </w:p>
              <w:p>
                <w:pPr>
                  <w:widowControl w:val="0"/>
                  <w:rPr>
                    <w:rFonts w:eastAsia="Calibri"/>
                  </w:rPr>
                </w:pPr>
                <w:r>
                  <w:rPr>
                    <w:rFonts w:eastAsia="Calibri"/>
                  </w:rPr>
                  <w:t xml:space="preserve">LST EN ISO 17294-1; LST EN ISO 17294-2; ISO 17378-1; </w:t>
                </w:r>
              </w:p>
              <w:p>
                <w:pPr>
                  <w:widowControl w:val="0"/>
                  <w:rPr>
                    <w:szCs w:val="24"/>
                    <w:lang w:bidi="de-DE"/>
                  </w:rPr>
                </w:pPr>
                <w:r>
                  <w:rPr>
                    <w:rFonts w:eastAsia="Calibri"/>
                  </w:rPr>
                  <w:t>ISO 17378-2</w:t>
                </w:r>
              </w:p>
            </w:tc>
          </w:tr>
          <w:tr>
            <w:trPr>
              <w:trHeight w:val="240"/>
              <w:jc w:val="center"/>
            </w:trPr>
            <w:tc>
              <w:tcPr>
                <w:tcW w:w="435" w:type="pct"/>
                <w:shd w:val="clear" w:color="auto" w:fill="FFFFFF"/>
              </w:tcPr>
              <w:p>
                <w:pPr>
                  <w:ind w:left="1080" w:hanging="720"/>
                  <w:rPr>
                    <w:color w:val="000000"/>
                    <w:szCs w:val="24"/>
                    <w:lang w:bidi="de-DE"/>
                  </w:rPr>
                </w:pPr>
                <w:r>
                  <w:rPr>
                    <w:color w:val="000000"/>
                    <w:szCs w:val="24"/>
                    <w:lang w:bidi="de-DE"/>
                  </w:rPr>
                  <w:t>5.</w:t>
                  <w:tab/>
                </w:r>
              </w:p>
            </w:tc>
            <w:tc>
              <w:tcPr>
                <w:tcW w:w="919" w:type="pct"/>
                <w:shd w:val="clear" w:color="auto" w:fill="FFFFFF"/>
                <w:hideMark/>
              </w:tcPr>
              <w:p>
                <w:pPr>
                  <w:rPr>
                    <w:szCs w:val="24"/>
                  </w:rPr>
                </w:pPr>
                <w:r>
                  <w:rPr>
                    <w:szCs w:val="24"/>
                    <w:lang w:bidi="de-DE"/>
                  </w:rPr>
                  <w:t>Švinas</w:t>
                </w:r>
              </w:p>
            </w:tc>
            <w:tc>
              <w:tcPr>
                <w:tcW w:w="3645" w:type="pct"/>
                <w:shd w:val="clear" w:color="auto" w:fill="FFFFFF"/>
                <w:vAlign w:val="center"/>
              </w:tcPr>
              <w:p>
                <w:pPr>
                  <w:widowControl w:val="0"/>
                  <w:rPr>
                    <w:rFonts w:eastAsia="Calibri"/>
                  </w:rPr>
                </w:pPr>
                <w:r>
                  <w:rPr>
                    <w:rFonts w:eastAsia="Calibri"/>
                  </w:rPr>
                  <w:t xml:space="preserve">LST ISO 8288; LST EN ISO 11885; </w:t>
                </w:r>
              </w:p>
              <w:p>
                <w:pPr>
                  <w:widowControl w:val="0"/>
                  <w:rPr>
                    <w:rFonts w:eastAsia="Calibri"/>
                  </w:rPr>
                </w:pPr>
                <w:r>
                  <w:rPr>
                    <w:rFonts w:eastAsia="Calibri"/>
                  </w:rPr>
                  <w:t>LST EN ISO 15586; LST EN ISO 17294-1</w:t>
                </w:r>
              </w:p>
              <w:p>
                <w:pPr>
                  <w:widowControl w:val="0"/>
                  <w:rPr>
                    <w:rFonts w:eastAsia="Calibri"/>
                  </w:rPr>
                </w:pPr>
                <w:r>
                  <w:rPr>
                    <w:rFonts w:eastAsia="Calibri"/>
                  </w:rPr>
                  <w:t>LST EN ISO 17294-2</w:t>
                </w:r>
              </w:p>
            </w:tc>
          </w:tr>
          <w:tr>
            <w:trPr>
              <w:trHeight w:val="260"/>
              <w:jc w:val="center"/>
            </w:trPr>
            <w:tc>
              <w:tcPr>
                <w:tcW w:w="435" w:type="pct"/>
                <w:shd w:val="clear" w:color="auto" w:fill="FFFFFF"/>
              </w:tcPr>
              <w:p>
                <w:pPr>
                  <w:ind w:left="1080" w:hanging="720"/>
                  <w:rPr>
                    <w:color w:val="000000"/>
                    <w:szCs w:val="24"/>
                    <w:lang w:bidi="de-DE"/>
                  </w:rPr>
                </w:pPr>
                <w:r>
                  <w:rPr>
                    <w:color w:val="000000"/>
                    <w:szCs w:val="24"/>
                    <w:lang w:bidi="de-DE"/>
                  </w:rPr>
                  <w:t>6.</w:t>
                  <w:tab/>
                </w:r>
              </w:p>
            </w:tc>
            <w:tc>
              <w:tcPr>
                <w:tcW w:w="919" w:type="pct"/>
                <w:shd w:val="clear" w:color="auto" w:fill="FFFFFF"/>
                <w:hideMark/>
              </w:tcPr>
              <w:p>
                <w:pPr>
                  <w:rPr>
                    <w:szCs w:val="24"/>
                  </w:rPr>
                </w:pPr>
                <w:r>
                  <w:rPr>
                    <w:szCs w:val="24"/>
                    <w:lang w:bidi="de-DE"/>
                  </w:rPr>
                  <w:t>Kadmis</w:t>
                </w:r>
              </w:p>
            </w:tc>
            <w:tc>
              <w:tcPr>
                <w:tcW w:w="3645" w:type="pct"/>
                <w:shd w:val="clear" w:color="auto" w:fill="FFFFFF"/>
                <w:vAlign w:val="center"/>
              </w:tcPr>
              <w:p>
                <w:pPr>
                  <w:widowControl w:val="0"/>
                  <w:rPr>
                    <w:rFonts w:eastAsia="Calibri"/>
                  </w:rPr>
                </w:pPr>
                <w:r>
                  <w:rPr>
                    <w:rFonts w:eastAsia="Calibri"/>
                  </w:rPr>
                  <w:t xml:space="preserve">LST ISO 8288; LST EN ISO 11885; </w:t>
                </w:r>
              </w:p>
              <w:p>
                <w:pPr>
                  <w:widowControl w:val="0"/>
                  <w:rPr>
                    <w:rFonts w:eastAsia="Calibri"/>
                  </w:rPr>
                </w:pPr>
                <w:r>
                  <w:rPr>
                    <w:rFonts w:eastAsia="Calibri"/>
                  </w:rPr>
                  <w:t>LST EN ISO 15586; LST EN ISO 17294-1</w:t>
                </w:r>
              </w:p>
              <w:p>
                <w:pPr>
                  <w:rPr>
                    <w:szCs w:val="24"/>
                    <w:lang w:bidi="de-DE"/>
                  </w:rPr>
                </w:pPr>
                <w:r>
                  <w:rPr>
                    <w:rFonts w:eastAsia="Calibri"/>
                  </w:rPr>
                  <w:t>LST EN ISO 17294-2</w:t>
                </w:r>
              </w:p>
            </w:tc>
          </w:tr>
          <w:tr>
            <w:trPr>
              <w:trHeight w:val="139"/>
              <w:jc w:val="center"/>
            </w:trPr>
            <w:tc>
              <w:tcPr>
                <w:tcW w:w="435" w:type="pct"/>
                <w:shd w:val="clear" w:color="auto" w:fill="FFFFFF"/>
              </w:tcPr>
              <w:p>
                <w:pPr>
                  <w:ind w:left="1080" w:hanging="720"/>
                  <w:rPr>
                    <w:color w:val="000000"/>
                    <w:szCs w:val="24"/>
                    <w:lang w:bidi="de-DE"/>
                  </w:rPr>
                </w:pPr>
                <w:r>
                  <w:rPr>
                    <w:color w:val="000000"/>
                    <w:szCs w:val="24"/>
                    <w:lang w:bidi="de-DE"/>
                  </w:rPr>
                  <w:t>7.</w:t>
                  <w:tab/>
                </w:r>
              </w:p>
            </w:tc>
            <w:tc>
              <w:tcPr>
                <w:tcW w:w="919" w:type="pct"/>
                <w:shd w:val="clear" w:color="auto" w:fill="FFFFFF"/>
                <w:hideMark/>
              </w:tcPr>
              <w:p>
                <w:pPr>
                  <w:rPr>
                    <w:color w:val="000000"/>
                    <w:szCs w:val="24"/>
                  </w:rPr>
                </w:pPr>
                <w:r>
                  <w:rPr>
                    <w:color w:val="000000"/>
                    <w:szCs w:val="24"/>
                    <w:lang w:bidi="de-DE"/>
                  </w:rPr>
                  <w:t>Chromas</w:t>
                </w:r>
              </w:p>
            </w:tc>
            <w:tc>
              <w:tcPr>
                <w:tcW w:w="3645" w:type="pct"/>
                <w:shd w:val="clear" w:color="auto" w:fill="FFFFFF"/>
                <w:vAlign w:val="center"/>
              </w:tcPr>
              <w:p>
                <w:pPr>
                  <w:widowControl w:val="0"/>
                  <w:rPr>
                    <w:rFonts w:eastAsia="Calibri"/>
                  </w:rPr>
                </w:pPr>
                <w:r>
                  <w:rPr>
                    <w:rFonts w:eastAsia="Calibri"/>
                  </w:rPr>
                  <w:t xml:space="preserve">LST ISO 8288; LST EN ISO 11885; </w:t>
                </w:r>
              </w:p>
              <w:p>
                <w:pPr>
                  <w:widowControl w:val="0"/>
                  <w:rPr>
                    <w:rFonts w:eastAsia="Calibri"/>
                  </w:rPr>
                </w:pPr>
                <w:r>
                  <w:rPr>
                    <w:rFonts w:eastAsia="Calibri"/>
                  </w:rPr>
                  <w:t>LST EN ISO 15586; LST EN ISO 17294-1</w:t>
                </w:r>
              </w:p>
              <w:p>
                <w:pPr>
                  <w:widowControl w:val="0"/>
                  <w:rPr>
                    <w:rFonts w:eastAsia="Calibri"/>
                  </w:rPr>
                </w:pPr>
                <w:r>
                  <w:rPr>
                    <w:rFonts w:eastAsia="Calibri"/>
                  </w:rPr>
                  <w:t>LST EN ISO 17294-2</w:t>
                </w:r>
              </w:p>
            </w:tc>
          </w:tr>
          <w:tr>
            <w:trPr>
              <w:trHeight w:val="173"/>
              <w:jc w:val="center"/>
            </w:trPr>
            <w:tc>
              <w:tcPr>
                <w:tcW w:w="435" w:type="pct"/>
                <w:shd w:val="clear" w:color="auto" w:fill="FFFFFF"/>
              </w:tcPr>
              <w:p>
                <w:pPr>
                  <w:ind w:left="1080" w:hanging="720"/>
                  <w:rPr>
                    <w:color w:val="000000"/>
                    <w:szCs w:val="24"/>
                    <w:lang w:bidi="de-DE"/>
                  </w:rPr>
                </w:pPr>
                <w:r>
                  <w:rPr>
                    <w:color w:val="000000"/>
                    <w:szCs w:val="24"/>
                    <w:lang w:bidi="de-DE"/>
                  </w:rPr>
                  <w:t>8.</w:t>
                  <w:tab/>
                </w:r>
              </w:p>
            </w:tc>
            <w:tc>
              <w:tcPr>
                <w:tcW w:w="919" w:type="pct"/>
                <w:shd w:val="clear" w:color="auto" w:fill="FFFFFF"/>
                <w:hideMark/>
              </w:tcPr>
              <w:p>
                <w:pPr>
                  <w:rPr>
                    <w:color w:val="000000"/>
                    <w:szCs w:val="24"/>
                  </w:rPr>
                </w:pPr>
                <w:r>
                  <w:rPr>
                    <w:color w:val="000000"/>
                    <w:szCs w:val="24"/>
                    <w:lang w:bidi="de-DE"/>
                  </w:rPr>
                  <w:t>Varis</w:t>
                </w:r>
              </w:p>
            </w:tc>
            <w:tc>
              <w:tcPr>
                <w:tcW w:w="3645" w:type="pct"/>
                <w:shd w:val="clear" w:color="auto" w:fill="FFFFFF"/>
                <w:vAlign w:val="center"/>
              </w:tcPr>
              <w:p>
                <w:pPr>
                  <w:widowControl w:val="0"/>
                  <w:rPr>
                    <w:rFonts w:eastAsia="Calibri"/>
                  </w:rPr>
                </w:pPr>
                <w:r>
                  <w:rPr>
                    <w:rFonts w:eastAsia="Calibri"/>
                  </w:rPr>
                  <w:t xml:space="preserve">LST ISO 8288; LST EN ISO 11885; </w:t>
                </w:r>
              </w:p>
              <w:p>
                <w:pPr>
                  <w:widowControl w:val="0"/>
                  <w:rPr>
                    <w:rFonts w:eastAsia="Calibri"/>
                  </w:rPr>
                </w:pPr>
                <w:r>
                  <w:rPr>
                    <w:rFonts w:eastAsia="Calibri"/>
                  </w:rPr>
                  <w:t>LST EN ISO 15586; LST EN ISO 17294-1</w:t>
                </w:r>
              </w:p>
              <w:p>
                <w:pPr>
                  <w:rPr>
                    <w:color w:val="000000"/>
                    <w:szCs w:val="24"/>
                    <w:lang w:bidi="de-DE"/>
                  </w:rPr>
                </w:pPr>
                <w:r>
                  <w:rPr>
                    <w:rFonts w:eastAsia="Calibri"/>
                  </w:rPr>
                  <w:t>LST EN ISO 17294-2</w:t>
                </w:r>
              </w:p>
            </w:tc>
          </w:tr>
          <w:tr>
            <w:trPr>
              <w:trHeight w:val="192"/>
              <w:jc w:val="center"/>
            </w:trPr>
            <w:tc>
              <w:tcPr>
                <w:tcW w:w="435" w:type="pct"/>
                <w:shd w:val="clear" w:color="auto" w:fill="FFFFFF"/>
              </w:tcPr>
              <w:p>
                <w:pPr>
                  <w:ind w:left="1080" w:hanging="720"/>
                  <w:rPr>
                    <w:color w:val="000000"/>
                    <w:szCs w:val="24"/>
                    <w:lang w:bidi="de-DE"/>
                  </w:rPr>
                </w:pPr>
                <w:r>
                  <w:rPr>
                    <w:color w:val="000000"/>
                    <w:szCs w:val="24"/>
                    <w:lang w:bidi="de-DE"/>
                  </w:rPr>
                  <w:t>9.</w:t>
                  <w:tab/>
                </w:r>
              </w:p>
            </w:tc>
            <w:tc>
              <w:tcPr>
                <w:tcW w:w="919" w:type="pct"/>
                <w:shd w:val="clear" w:color="auto" w:fill="FFFFFF"/>
                <w:hideMark/>
              </w:tcPr>
              <w:p>
                <w:pPr>
                  <w:rPr>
                    <w:color w:val="000000"/>
                    <w:szCs w:val="24"/>
                  </w:rPr>
                </w:pPr>
                <w:r>
                  <w:rPr>
                    <w:color w:val="000000"/>
                    <w:szCs w:val="24"/>
                    <w:lang w:bidi="de-DE"/>
                  </w:rPr>
                  <w:t>Nikelis</w:t>
                </w:r>
              </w:p>
            </w:tc>
            <w:tc>
              <w:tcPr>
                <w:tcW w:w="3645" w:type="pct"/>
                <w:shd w:val="clear" w:color="auto" w:fill="FFFFFF"/>
                <w:vAlign w:val="center"/>
              </w:tcPr>
              <w:p>
                <w:pPr>
                  <w:widowControl w:val="0"/>
                  <w:rPr>
                    <w:rFonts w:eastAsia="Calibri"/>
                  </w:rPr>
                </w:pPr>
                <w:r>
                  <w:rPr>
                    <w:rFonts w:eastAsia="Calibri"/>
                  </w:rPr>
                  <w:t>LST ISO 8288; LST EN ISO 11885</w:t>
                </w:r>
              </w:p>
              <w:p>
                <w:pPr>
                  <w:widowControl w:val="0"/>
                  <w:rPr>
                    <w:rFonts w:eastAsia="Calibri"/>
                  </w:rPr>
                </w:pPr>
                <w:r>
                  <w:rPr>
                    <w:rFonts w:eastAsia="Calibri"/>
                  </w:rPr>
                  <w:t xml:space="preserve">LST EN ISO 15586; LST EN ISO 17294-1; </w:t>
                </w:r>
              </w:p>
              <w:p>
                <w:pPr>
                  <w:rPr>
                    <w:color w:val="000000"/>
                    <w:szCs w:val="24"/>
                    <w:lang w:bidi="de-DE"/>
                  </w:rPr>
                </w:pPr>
                <w:r>
                  <w:rPr>
                    <w:rFonts w:eastAsia="Calibri"/>
                  </w:rPr>
                  <w:t>LST EN ISO 17294-2</w:t>
                </w:r>
              </w:p>
            </w:tc>
          </w:tr>
          <w:tr>
            <w:trPr>
              <w:trHeight w:val="302"/>
              <w:jc w:val="center"/>
            </w:trPr>
            <w:tc>
              <w:tcPr>
                <w:tcW w:w="435" w:type="pct"/>
                <w:shd w:val="clear" w:color="auto" w:fill="FFFFFF"/>
              </w:tcPr>
              <w:p>
                <w:pPr>
                  <w:ind w:left="1080" w:hanging="720"/>
                  <w:rPr>
                    <w:color w:val="000000"/>
                    <w:szCs w:val="24"/>
                    <w:lang w:bidi="de-DE"/>
                  </w:rPr>
                </w:pPr>
                <w:r>
                  <w:rPr>
                    <w:color w:val="000000"/>
                    <w:szCs w:val="24"/>
                    <w:lang w:bidi="de-DE"/>
                  </w:rPr>
                  <w:t>10.</w:t>
                  <w:tab/>
                </w:r>
              </w:p>
            </w:tc>
            <w:tc>
              <w:tcPr>
                <w:tcW w:w="919" w:type="pct"/>
                <w:shd w:val="clear" w:color="auto" w:fill="FFFFFF"/>
                <w:hideMark/>
              </w:tcPr>
              <w:p>
                <w:pPr>
                  <w:rPr>
                    <w:color w:val="000000"/>
                    <w:szCs w:val="24"/>
                  </w:rPr>
                </w:pPr>
                <w:r>
                  <w:rPr>
                    <w:color w:val="000000"/>
                    <w:szCs w:val="24"/>
                    <w:lang w:bidi="de-DE"/>
                  </w:rPr>
                  <w:t>Gyvsidabris</w:t>
                </w:r>
              </w:p>
            </w:tc>
            <w:tc>
              <w:tcPr>
                <w:tcW w:w="3645" w:type="pct"/>
                <w:shd w:val="clear" w:color="auto" w:fill="FFFFFF"/>
                <w:vAlign w:val="center"/>
              </w:tcPr>
              <w:p>
                <w:pPr>
                  <w:rPr>
                    <w:color w:val="000000"/>
                    <w:szCs w:val="24"/>
                    <w:lang w:bidi="de-DE"/>
                  </w:rPr>
                </w:pPr>
                <w:r>
                  <w:rPr>
                    <w:color w:val="000000"/>
                    <w:szCs w:val="24"/>
                    <w:lang w:bidi="de-DE"/>
                  </w:rPr>
                  <w:t>LST EN ISO 12846; LST EN ISO 17852</w:t>
                </w:r>
              </w:p>
            </w:tc>
          </w:tr>
          <w:tr>
            <w:trPr>
              <w:trHeight w:val="105"/>
              <w:jc w:val="center"/>
            </w:trPr>
            <w:tc>
              <w:tcPr>
                <w:tcW w:w="435" w:type="pct"/>
                <w:shd w:val="clear" w:color="auto" w:fill="FFFFFF"/>
              </w:tcPr>
              <w:p>
                <w:pPr>
                  <w:ind w:left="1080" w:hanging="720"/>
                  <w:rPr>
                    <w:color w:val="000000"/>
                    <w:szCs w:val="24"/>
                    <w:lang w:bidi="de-DE"/>
                  </w:rPr>
                </w:pPr>
                <w:r>
                  <w:rPr>
                    <w:color w:val="000000"/>
                    <w:szCs w:val="24"/>
                    <w:lang w:bidi="de-DE"/>
                  </w:rPr>
                  <w:t>11.</w:t>
                  <w:tab/>
                </w:r>
              </w:p>
            </w:tc>
            <w:tc>
              <w:tcPr>
                <w:tcW w:w="919" w:type="pct"/>
                <w:shd w:val="clear" w:color="auto" w:fill="FFFFFF"/>
                <w:hideMark/>
              </w:tcPr>
              <w:p>
                <w:pPr>
                  <w:rPr>
                    <w:color w:val="000000"/>
                    <w:szCs w:val="24"/>
                  </w:rPr>
                </w:pPr>
                <w:r>
                  <w:rPr>
                    <w:color w:val="000000"/>
                    <w:szCs w:val="24"/>
                    <w:lang w:bidi="de-DE"/>
                  </w:rPr>
                  <w:t>Cinkas</w:t>
                </w:r>
              </w:p>
            </w:tc>
            <w:tc>
              <w:tcPr>
                <w:tcW w:w="3645" w:type="pct"/>
                <w:shd w:val="clear" w:color="auto" w:fill="FFFFFF"/>
                <w:vAlign w:val="center"/>
              </w:tcPr>
              <w:p>
                <w:pPr>
                  <w:widowControl w:val="0"/>
                  <w:rPr>
                    <w:rFonts w:eastAsia="Calibri"/>
                  </w:rPr>
                </w:pPr>
                <w:r>
                  <w:rPr>
                    <w:rFonts w:eastAsia="Calibri"/>
                  </w:rPr>
                  <w:t>LST ISO 8288; LST EN ISO 11885; LST EN ISO 15586;</w:t>
                </w:r>
              </w:p>
              <w:p>
                <w:pPr>
                  <w:widowControl w:val="0"/>
                  <w:rPr>
                    <w:color w:val="000000"/>
                    <w:szCs w:val="24"/>
                    <w:lang w:bidi="de-DE"/>
                  </w:rPr>
                </w:pPr>
                <w:r>
                  <w:rPr>
                    <w:rFonts w:eastAsia="Calibri"/>
                  </w:rPr>
                  <w:t>LST EN ISO 17294-1; LST EN ISO 17294-2</w:t>
                </w:r>
              </w:p>
            </w:tc>
          </w:tr>
          <w:tr>
            <w:trPr>
              <w:trHeight w:val="124"/>
              <w:jc w:val="center"/>
            </w:trPr>
            <w:tc>
              <w:tcPr>
                <w:tcW w:w="435" w:type="pct"/>
                <w:shd w:val="clear" w:color="auto" w:fill="FFFFFF"/>
              </w:tcPr>
              <w:p>
                <w:pPr>
                  <w:ind w:left="1080" w:hanging="720"/>
                  <w:rPr>
                    <w:color w:val="000000"/>
                    <w:szCs w:val="24"/>
                    <w:lang w:bidi="de-DE"/>
                  </w:rPr>
                </w:pPr>
                <w:r>
                  <w:rPr>
                    <w:color w:val="000000"/>
                    <w:szCs w:val="24"/>
                    <w:lang w:bidi="de-DE"/>
                  </w:rPr>
                  <w:t>12.</w:t>
                  <w:tab/>
                </w:r>
              </w:p>
            </w:tc>
            <w:tc>
              <w:tcPr>
                <w:tcW w:w="919" w:type="pct"/>
                <w:shd w:val="clear" w:color="auto" w:fill="FFFFFF"/>
                <w:hideMark/>
              </w:tcPr>
              <w:p>
                <w:pPr>
                  <w:rPr>
                    <w:color w:val="000000"/>
                    <w:szCs w:val="24"/>
                  </w:rPr>
                </w:pPr>
                <w:r>
                  <w:rPr>
                    <w:color w:val="000000"/>
                    <w:szCs w:val="24"/>
                    <w:lang w:bidi="de-DE"/>
                  </w:rPr>
                  <w:t>Chloridai</w:t>
                </w:r>
              </w:p>
            </w:tc>
            <w:tc>
              <w:tcPr>
                <w:tcW w:w="3645" w:type="pct"/>
                <w:shd w:val="clear" w:color="auto" w:fill="FFFFFF"/>
                <w:vAlign w:val="center"/>
              </w:tcPr>
              <w:p>
                <w:pPr>
                  <w:widowControl w:val="0"/>
                  <w:rPr>
                    <w:color w:val="000000"/>
                    <w:szCs w:val="24"/>
                    <w:lang w:bidi="de-DE"/>
                  </w:rPr>
                </w:pPr>
                <w:r>
                  <w:rPr>
                    <w:rFonts w:eastAsia="Calibri"/>
                  </w:rPr>
                  <w:t>LST ISO 9297; LST EN ISO 10304-1; LST EN ISO 15682</w:t>
                </w:r>
              </w:p>
            </w:tc>
          </w:tr>
          <w:tr>
            <w:trPr>
              <w:trHeight w:val="144"/>
              <w:jc w:val="center"/>
            </w:trPr>
            <w:tc>
              <w:tcPr>
                <w:tcW w:w="435" w:type="pct"/>
                <w:shd w:val="clear" w:color="auto" w:fill="FFFFFF"/>
              </w:tcPr>
              <w:p>
                <w:pPr>
                  <w:ind w:left="1080" w:hanging="720"/>
                  <w:rPr>
                    <w:color w:val="000000"/>
                    <w:szCs w:val="24"/>
                    <w:lang w:bidi="de-DE"/>
                  </w:rPr>
                </w:pPr>
                <w:r>
                  <w:rPr>
                    <w:color w:val="000000"/>
                    <w:szCs w:val="24"/>
                    <w:lang w:bidi="de-DE"/>
                  </w:rPr>
                  <w:t>13.</w:t>
                  <w:tab/>
                </w:r>
              </w:p>
            </w:tc>
            <w:tc>
              <w:tcPr>
                <w:tcW w:w="919" w:type="pct"/>
                <w:shd w:val="clear" w:color="auto" w:fill="FFFFFF"/>
                <w:hideMark/>
              </w:tcPr>
              <w:p>
                <w:pPr>
                  <w:rPr>
                    <w:color w:val="000000"/>
                    <w:szCs w:val="24"/>
                  </w:rPr>
                </w:pPr>
                <w:r>
                  <w:rPr>
                    <w:color w:val="000000"/>
                    <w:szCs w:val="24"/>
                    <w:lang w:bidi="de-DE"/>
                  </w:rPr>
                  <w:t>Sulfatai</w:t>
                </w:r>
              </w:p>
            </w:tc>
            <w:tc>
              <w:tcPr>
                <w:tcW w:w="3645" w:type="pct"/>
                <w:shd w:val="clear" w:color="auto" w:fill="FFFFFF"/>
                <w:vAlign w:val="center"/>
              </w:tcPr>
              <w:p>
                <w:pPr>
                  <w:widowControl w:val="0"/>
                  <w:rPr>
                    <w:color w:val="000000"/>
                    <w:szCs w:val="24"/>
                    <w:lang w:bidi="de-DE"/>
                  </w:rPr>
                </w:pPr>
                <w:r>
                  <w:rPr>
                    <w:rFonts w:eastAsia="Calibri"/>
                  </w:rPr>
                  <w:t>LST EN ISO 10304-1; ISO 15923-1; ISO 22743</w:t>
                </w:r>
              </w:p>
            </w:tc>
          </w:tr>
          <w:tr>
            <w:trPr>
              <w:trHeight w:val="37"/>
              <w:jc w:val="center"/>
            </w:trPr>
            <w:tc>
              <w:tcPr>
                <w:tcW w:w="435" w:type="pct"/>
                <w:shd w:val="clear" w:color="auto" w:fill="FFFFFF"/>
              </w:tcPr>
              <w:p>
                <w:pPr>
                  <w:ind w:firstLine="310"/>
                  <w:jc w:val="center"/>
                  <w:rPr>
                    <w:color w:val="000000"/>
                    <w:szCs w:val="24"/>
                    <w:lang w:bidi="de-DE"/>
                  </w:rPr>
                </w:pPr>
                <w:r>
                  <w:rPr>
                    <w:color w:val="000000"/>
                    <w:szCs w:val="24"/>
                    <w:lang w:bidi="de-DE"/>
                  </w:rPr>
                  <w:t>14.</w:t>
                </w:r>
              </w:p>
            </w:tc>
            <w:tc>
              <w:tcPr>
                <w:tcW w:w="919" w:type="pct"/>
                <w:shd w:val="clear" w:color="auto" w:fill="FFFFFF"/>
              </w:tcPr>
              <w:p>
                <w:pPr>
                  <w:rPr>
                    <w:color w:val="000000"/>
                    <w:szCs w:val="24"/>
                    <w:lang w:bidi="de-DE"/>
                  </w:rPr>
                </w:pPr>
                <w:r>
                  <w:rPr>
                    <w:color w:val="000000"/>
                    <w:szCs w:val="24"/>
                    <w:lang w:bidi="de-DE"/>
                  </w:rPr>
                  <w:t>Cianidai</w:t>
                </w:r>
              </w:p>
            </w:tc>
            <w:tc>
              <w:tcPr>
                <w:tcW w:w="3645" w:type="pct"/>
                <w:shd w:val="clear" w:color="auto" w:fill="FFFFFF"/>
                <w:vAlign w:val="center"/>
              </w:tcPr>
              <w:p>
                <w:pPr>
                  <w:rPr>
                    <w:color w:val="000000"/>
                    <w:szCs w:val="24"/>
                    <w:lang w:bidi="de-DE"/>
                  </w:rPr>
                </w:pPr>
                <w:r>
                  <w:rPr>
                    <w:color w:val="000000"/>
                    <w:szCs w:val="24"/>
                    <w:lang w:bidi="de-DE"/>
                  </w:rPr>
                  <w:t>LST EN ISO 14403-1; LST EN ISO 14403-2; ISO 6703-2</w:t>
                </w:r>
              </w:p>
            </w:tc>
          </w:tr>
        </w:tbl>
        <w:p>
          <w:pPr>
            <w:tabs>
              <w:tab w:val="left" w:pos="8821"/>
            </w:tabs>
            <w:ind w:left="6237"/>
            <w:rPr>
              <w:color w:val="414142"/>
              <w:szCs w:val="24"/>
            </w:rPr>
          </w:pPr>
        </w:p>
        <w:p>
          <w:pPr>
            <w:jc w:val="right"/>
            <w:sectPr>
              <w:footnotePr>
                <w:pos w:val="beneathText"/>
              </w:footnotePr>
              <w:pgSz w:w="11905" w:h="16837" w:code="9"/>
              <w:pgMar w:top="1134" w:right="567" w:bottom="1134" w:left="1701" w:header="794" w:footer="919" w:gutter="0"/>
              <w:pgNumType w:start="1"/>
              <w:cols w:space="1296"/>
              <w:formProt w:val="0"/>
              <w:titlePg/>
              <w:docGrid w:linePitch="360"/>
            </w:sectPr>
          </w:pPr>
        </w:p>
        <w:p>
          <w:pPr>
            <w:tabs>
              <w:tab w:val="center" w:pos="4986"/>
              <w:tab w:val="right" w:pos="9972"/>
            </w:tabs>
          </w:pPr>
        </w:p>
      </w:sdtContent>
    </w:sdt>
    <w:sdt>
      <w:sdtPr>
        <w:alias w:val="4 pr."/>
        <w:tag w:val="part_63a2be227eb3413ea2240013b8ad7733"/>
        <w:lock w:val="sdtLocked"/>
        <w:richText/>
      </w:sdtPr>
      <w:sdtContent>
        <w:p>
          <w:pPr>
            <w:jc w:val="right"/>
          </w:pPr>
          <w:r>
            <w:t xml:space="preserve">Atliekų deginimo įrenginiuose ir bendro </w:t>
          </w:r>
        </w:p>
        <w:p>
          <w:pPr>
            <w:jc w:val="right"/>
          </w:pPr>
          <w:r>
            <w:t xml:space="preserve">atliekų  deginimo</w:t>
          </w:r>
          <w:r>
            <w:rPr>
              <w:bCs/>
            </w:rPr>
            <w:t xml:space="preserve"> įrenginiuose</w:t>
          </w:r>
          <w:r>
            <w:t xml:space="preserve"> susidariusių</w:t>
          </w:r>
        </w:p>
        <w:p>
          <w:pPr>
            <w:ind w:left="5040" w:firstLine="372"/>
            <w:jc w:val="right"/>
          </w:pPr>
          <w:r>
            <w:t xml:space="preserve">nepavojingųjų  pelenų ir šlako atliekų tvarkymo ir panaudojimo reikalavimų</w:t>
          </w:r>
        </w:p>
        <w:p>
          <w:pPr>
            <w:ind w:firstLine="5456"/>
            <w:jc w:val="right"/>
          </w:pPr>
          <w:sdt>
            <w:sdtPr>
              <w:alias w:val="Numeris"/>
              <w:tag w:val="nr_63a2be227eb3413ea2240013b8ad7733"/>
              <w:lock w:val="sdtLocked"/>
              <w:richText/>
            </w:sdtPr>
            <w:sdtContent>
              <w:r>
                <w:t>4</w:t>
              </w:r>
            </w:sdtContent>
          </w:sdt>
          <w:r>
            <w:t xml:space="preserve"> priedas</w:t>
          </w:r>
        </w:p>
        <w:p>
          <w:pPr>
            <w:tabs>
              <w:tab w:val="left" w:pos="8821"/>
            </w:tabs>
            <w:ind w:left="6237"/>
            <w:rPr>
              <w:color w:val="414142"/>
              <w:szCs w:val="24"/>
            </w:rPr>
          </w:pPr>
        </w:p>
        <w:p>
          <w:pPr>
            <w:ind w:firstLine="629"/>
            <w:jc w:val="center"/>
            <w:rPr>
              <w:b/>
              <w:color w:val="000000"/>
              <w:szCs w:val="24"/>
            </w:rPr>
          </w:pPr>
          <w:sdt>
            <w:sdtPr>
              <w:alias w:val="Pavadinimas"/>
              <w:tag w:val="title_63a2be227eb3413ea2240013b8ad7733"/>
              <w:lock w:val="sdtLocked"/>
              <w:richText/>
            </w:sdtPr>
            <w:sdtContent>
              <w:r>
                <w:rPr>
                  <w:b/>
                  <w:color w:val="000000"/>
                  <w:szCs w:val="24"/>
                </w:rPr>
                <w:t xml:space="preserve">IŠPLOVIMO RIBINĖS VERTĖS, KAI CHEMINĖ MEDŽIAGA GALI BŪTI PANAUDOTA STATINIŲ STATYBOJE IR (ARBA) STATYBINIŲ PRODUKTŲ GAMYBOJE </w:t>
              </w:r>
            </w:sdtContent>
          </w:sdt>
        </w:p>
        <w:p>
          <w:pPr>
            <w:ind w:firstLine="567"/>
            <w:jc w:val="center"/>
            <w:rPr>
              <w:b/>
              <w:color w:val="000000"/>
              <w:szCs w:val="24"/>
            </w:rPr>
          </w:pPr>
        </w:p>
        <w:tbl>
          <w:tblPr>
            <w:tblW w:w="489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4A0" w:firstRow="1" w:lastRow="0" w:firstColumn="1" w:lastColumn="0" w:noHBand="0" w:noVBand="1"/>
          </w:tblPr>
          <w:tblGrid>
            <w:gridCol w:w="908"/>
            <w:gridCol w:w="2866"/>
            <w:gridCol w:w="1811"/>
            <w:gridCol w:w="3969"/>
          </w:tblGrid>
          <w:tr>
            <w:trPr>
              <w:trHeight w:val="181"/>
              <w:tblHeader/>
            </w:trPr>
            <w:tc>
              <w:tcPr>
                <w:tcW w:w="475" w:type="pct"/>
                <w:shd w:val="clear" w:color="auto" w:fill="FFFFFF"/>
              </w:tcPr>
              <w:p>
                <w:pPr>
                  <w:tabs>
                    <w:tab w:val="left" w:pos="426"/>
                    <w:tab w:val="left" w:pos="1134"/>
                  </w:tabs>
                  <w:ind w:firstLine="186"/>
                  <w:rPr>
                    <w:b/>
                    <w:color w:val="000000"/>
                    <w:szCs w:val="24"/>
                    <w:lang w:bidi="de-DE"/>
                  </w:rPr>
                </w:pPr>
                <w:r>
                  <w:rPr>
                    <w:b/>
                    <w:color w:val="000000"/>
                    <w:szCs w:val="24"/>
                    <w:lang w:bidi="de-DE"/>
                  </w:rPr>
                  <w:t>Eil.</w:t>
                </w:r>
              </w:p>
              <w:p>
                <w:pPr>
                  <w:tabs>
                    <w:tab w:val="left" w:pos="426"/>
                    <w:tab w:val="left" w:pos="1134"/>
                  </w:tabs>
                  <w:ind w:left="284" w:hanging="80"/>
                  <w:rPr>
                    <w:b/>
                    <w:color w:val="000000"/>
                    <w:szCs w:val="24"/>
                    <w:lang w:bidi="de-DE"/>
                  </w:rPr>
                </w:pPr>
                <w:r>
                  <w:rPr>
                    <w:b/>
                    <w:color w:val="000000"/>
                    <w:szCs w:val="24"/>
                    <w:lang w:bidi="de-DE"/>
                  </w:rPr>
                  <w:t>Nr.</w:t>
                </w:r>
              </w:p>
            </w:tc>
            <w:tc>
              <w:tcPr>
                <w:tcW w:w="1500" w:type="pct"/>
                <w:shd w:val="clear" w:color="auto" w:fill="FFFFFF"/>
                <w:vAlign w:val="center"/>
                <w:hideMark/>
              </w:tcPr>
              <w:p>
                <w:pPr>
                  <w:tabs>
                    <w:tab w:val="left" w:pos="993"/>
                    <w:tab w:val="left" w:pos="1134"/>
                  </w:tabs>
                  <w:ind w:left="1080" w:hanging="938"/>
                  <w:jc w:val="center"/>
                  <w:rPr>
                    <w:b/>
                    <w:color w:val="000000"/>
                    <w:szCs w:val="24"/>
                  </w:rPr>
                </w:pPr>
                <w:r>
                  <w:rPr>
                    <w:b/>
                    <w:color w:val="000000"/>
                    <w:szCs w:val="24"/>
                    <w:lang w:bidi="de-DE"/>
                  </w:rPr>
                  <w:t>Parametras</w:t>
                </w:r>
              </w:p>
            </w:tc>
            <w:tc>
              <w:tcPr>
                <w:tcW w:w="948" w:type="pct"/>
                <w:shd w:val="clear" w:color="auto" w:fill="FFFFFF"/>
                <w:vAlign w:val="center"/>
                <w:hideMark/>
              </w:tcPr>
              <w:p>
                <w:pPr>
                  <w:jc w:val="center"/>
                  <w:rPr>
                    <w:b/>
                    <w:color w:val="000000"/>
                    <w:szCs w:val="24"/>
                  </w:rPr>
                </w:pPr>
                <w:r>
                  <w:rPr>
                    <w:b/>
                    <w:color w:val="000000"/>
                    <w:szCs w:val="24"/>
                    <w:lang w:bidi="de-DE"/>
                  </w:rPr>
                  <w:t>Matavimo vienetas</w:t>
                </w:r>
              </w:p>
            </w:tc>
            <w:tc>
              <w:tcPr>
                <w:tcW w:w="2077" w:type="pct"/>
                <w:shd w:val="clear" w:color="auto" w:fill="FFFFFF"/>
                <w:vAlign w:val="center"/>
                <w:hideMark/>
              </w:tcPr>
              <w:p>
                <w:pPr>
                  <w:ind w:left="1080"/>
                  <w:rPr>
                    <w:b/>
                    <w:color w:val="000000"/>
                    <w:szCs w:val="24"/>
                  </w:rPr>
                </w:pPr>
                <w:r>
                  <w:rPr>
                    <w:b/>
                    <w:color w:val="000000"/>
                    <w:szCs w:val="24"/>
                    <w:lang w:bidi="de-DE"/>
                  </w:rPr>
                  <w:t>Vertė</w:t>
                </w:r>
              </w:p>
            </w:tc>
          </w:tr>
          <w:tr>
            <w:trPr>
              <w:trHeight w:val="201"/>
            </w:trPr>
            <w:tc>
              <w:tcPr>
                <w:tcW w:w="475" w:type="pct"/>
                <w:shd w:val="clear" w:color="auto" w:fill="FFFFFF"/>
              </w:tcPr>
              <w:p>
                <w:pPr>
                  <w:ind w:left="1080" w:hanging="720"/>
                  <w:rPr>
                    <w:color w:val="000000"/>
                    <w:szCs w:val="24"/>
                    <w:lang w:bidi="de-DE"/>
                  </w:rPr>
                </w:pPr>
                <w:r>
                  <w:rPr>
                    <w:color w:val="000000"/>
                    <w:szCs w:val="24"/>
                    <w:lang w:bidi="de-DE"/>
                  </w:rPr>
                  <w:t>1.</w:t>
                  <w:tab/>
                </w:r>
              </w:p>
            </w:tc>
            <w:tc>
              <w:tcPr>
                <w:tcW w:w="1500" w:type="pct"/>
                <w:shd w:val="clear" w:color="auto" w:fill="FFFFFF"/>
                <w:vAlign w:val="center"/>
                <w:hideMark/>
              </w:tcPr>
              <w:p>
                <w:pPr>
                  <w:rPr>
                    <w:color w:val="000000"/>
                    <w:szCs w:val="24"/>
                  </w:rPr>
                </w:pPr>
                <w:r>
                  <w:rPr>
                    <w:color w:val="000000"/>
                    <w:szCs w:val="24"/>
                    <w:lang w:bidi="de-DE"/>
                  </w:rPr>
                  <w:t>Spalva</w:t>
                </w:r>
              </w:p>
            </w:tc>
            <w:tc>
              <w:tcPr>
                <w:tcW w:w="948" w:type="pct"/>
                <w:shd w:val="clear" w:color="auto" w:fill="FFFFFF"/>
                <w:vAlign w:val="center"/>
              </w:tcPr>
              <w:p>
                <w:pPr>
                  <w:jc w:val="center"/>
                  <w:rPr>
                    <w:color w:val="000000"/>
                    <w:szCs w:val="24"/>
                    <w:lang w:bidi="de-DE"/>
                  </w:rPr>
                </w:pPr>
                <w:r>
                  <w:rPr>
                    <w:color w:val="000000"/>
                    <w:szCs w:val="24"/>
                    <w:lang w:bidi="de-DE"/>
                  </w:rPr>
                  <w:t>-</w:t>
                </w:r>
              </w:p>
            </w:tc>
            <w:tc>
              <w:tcPr>
                <w:tcW w:w="2077" w:type="pct"/>
                <w:shd w:val="clear" w:color="auto" w:fill="FFFFFF"/>
                <w:vAlign w:val="center"/>
              </w:tcPr>
              <w:p>
                <w:pPr>
                  <w:jc w:val="center"/>
                  <w:rPr>
                    <w:color w:val="000000"/>
                    <w:szCs w:val="24"/>
                  </w:rPr>
                </w:pPr>
                <w:r>
                  <w:rPr>
                    <w:color w:val="000000"/>
                    <w:szCs w:val="24"/>
                  </w:rPr>
                  <w:t>Įvertinama ėminiui apibūdinti</w:t>
                </w:r>
              </w:p>
            </w:tc>
          </w:tr>
          <w:tr>
            <w:trPr>
              <w:trHeight w:val="220"/>
            </w:trPr>
            <w:tc>
              <w:tcPr>
                <w:tcW w:w="475" w:type="pct"/>
                <w:shd w:val="clear" w:color="auto" w:fill="FFFFFF"/>
              </w:tcPr>
              <w:p>
                <w:pPr>
                  <w:ind w:left="1080" w:hanging="720"/>
                  <w:rPr>
                    <w:color w:val="000000"/>
                    <w:szCs w:val="24"/>
                    <w:lang w:bidi="de-DE"/>
                  </w:rPr>
                </w:pPr>
                <w:r>
                  <w:rPr>
                    <w:color w:val="000000"/>
                    <w:szCs w:val="24"/>
                    <w:lang w:bidi="de-DE"/>
                  </w:rPr>
                  <w:t>2.</w:t>
                  <w:tab/>
                </w:r>
              </w:p>
            </w:tc>
            <w:tc>
              <w:tcPr>
                <w:tcW w:w="1500" w:type="pct"/>
                <w:shd w:val="clear" w:color="auto" w:fill="FFFFFF"/>
                <w:vAlign w:val="center"/>
                <w:hideMark/>
              </w:tcPr>
              <w:p>
                <w:pPr>
                  <w:rPr>
                    <w:color w:val="000000"/>
                    <w:szCs w:val="24"/>
                  </w:rPr>
                </w:pPr>
                <w:r>
                  <w:rPr>
                    <w:color w:val="000000"/>
                    <w:szCs w:val="24"/>
                    <w:lang w:bidi="de-DE"/>
                  </w:rPr>
                  <w:t xml:space="preserve">Drumstumas  </w:t>
                </w:r>
              </w:p>
            </w:tc>
            <w:tc>
              <w:tcPr>
                <w:tcW w:w="948" w:type="pct"/>
                <w:shd w:val="clear" w:color="auto" w:fill="FFFFFF"/>
                <w:vAlign w:val="center"/>
              </w:tcPr>
              <w:p>
                <w:pPr>
                  <w:jc w:val="center"/>
                  <w:rPr>
                    <w:color w:val="000000"/>
                    <w:szCs w:val="24"/>
                    <w:lang w:bidi="de-DE"/>
                  </w:rPr>
                </w:pPr>
                <w:r>
                  <w:rPr>
                    <w:color w:val="000000"/>
                    <w:szCs w:val="24"/>
                    <w:lang w:bidi="de-DE"/>
                  </w:rPr>
                  <w:t>-</w:t>
                </w:r>
              </w:p>
            </w:tc>
            <w:tc>
              <w:tcPr>
                <w:tcW w:w="2077" w:type="pct"/>
                <w:shd w:val="clear" w:color="auto" w:fill="FFFFFF"/>
                <w:vAlign w:val="center"/>
              </w:tcPr>
              <w:p>
                <w:pPr>
                  <w:jc w:val="center"/>
                  <w:rPr>
                    <w:color w:val="000000"/>
                    <w:szCs w:val="24"/>
                  </w:rPr>
                </w:pPr>
                <w:r>
                  <w:rPr>
                    <w:color w:val="000000"/>
                    <w:szCs w:val="24"/>
                  </w:rPr>
                  <w:t>Įvertinama ėminiui apibūdinti</w:t>
                </w:r>
              </w:p>
            </w:tc>
          </w:tr>
          <w:tr>
            <w:trPr>
              <w:trHeight w:val="113"/>
            </w:trPr>
            <w:tc>
              <w:tcPr>
                <w:tcW w:w="475" w:type="pct"/>
                <w:shd w:val="clear" w:color="auto" w:fill="FFFFFF"/>
              </w:tcPr>
              <w:p>
                <w:pPr>
                  <w:ind w:left="1080" w:hanging="720"/>
                  <w:rPr>
                    <w:color w:val="000000"/>
                    <w:szCs w:val="24"/>
                    <w:lang w:bidi="de-DE"/>
                  </w:rPr>
                </w:pPr>
                <w:r>
                  <w:rPr>
                    <w:color w:val="000000"/>
                    <w:szCs w:val="24"/>
                    <w:lang w:bidi="de-DE"/>
                  </w:rPr>
                  <w:t>3.</w:t>
                  <w:tab/>
                </w:r>
              </w:p>
            </w:tc>
            <w:tc>
              <w:tcPr>
                <w:tcW w:w="1500" w:type="pct"/>
                <w:shd w:val="clear" w:color="auto" w:fill="FFFFFF"/>
                <w:vAlign w:val="center"/>
                <w:hideMark/>
              </w:tcPr>
              <w:p>
                <w:pPr>
                  <w:rPr>
                    <w:color w:val="000000"/>
                    <w:szCs w:val="24"/>
                  </w:rPr>
                </w:pPr>
                <w:r>
                  <w:rPr>
                    <w:color w:val="000000"/>
                    <w:szCs w:val="24"/>
                    <w:lang w:bidi="de-DE"/>
                  </w:rPr>
                  <w:t xml:space="preserve">Kvapas </w:t>
                </w:r>
              </w:p>
            </w:tc>
            <w:tc>
              <w:tcPr>
                <w:tcW w:w="948" w:type="pct"/>
                <w:shd w:val="clear" w:color="auto" w:fill="FFFFFF"/>
                <w:vAlign w:val="center"/>
              </w:tcPr>
              <w:p>
                <w:pPr>
                  <w:jc w:val="center"/>
                  <w:rPr>
                    <w:color w:val="000000"/>
                    <w:szCs w:val="24"/>
                    <w:lang w:bidi="de-DE"/>
                  </w:rPr>
                </w:pPr>
                <w:r>
                  <w:rPr>
                    <w:color w:val="000000"/>
                    <w:szCs w:val="24"/>
                    <w:lang w:bidi="de-DE"/>
                  </w:rPr>
                  <w:t>-</w:t>
                </w:r>
              </w:p>
            </w:tc>
            <w:tc>
              <w:tcPr>
                <w:tcW w:w="2077" w:type="pct"/>
                <w:shd w:val="clear" w:color="auto" w:fill="FFFFFF"/>
                <w:vAlign w:val="center"/>
              </w:tcPr>
              <w:p>
                <w:pPr>
                  <w:jc w:val="center"/>
                  <w:rPr>
                    <w:color w:val="000000"/>
                    <w:szCs w:val="24"/>
                    <w:lang w:bidi="de-DE"/>
                  </w:rPr>
                </w:pPr>
                <w:r>
                  <w:rPr>
                    <w:color w:val="000000"/>
                    <w:szCs w:val="24"/>
                  </w:rPr>
                  <w:t>Įvertinama ėminiui apibūdinti</w:t>
                </w:r>
              </w:p>
            </w:tc>
          </w:tr>
          <w:tr>
            <w:trPr>
              <w:trHeight w:val="133"/>
            </w:trPr>
            <w:tc>
              <w:tcPr>
                <w:tcW w:w="475" w:type="pct"/>
                <w:shd w:val="clear" w:color="auto" w:fill="FFFFFF"/>
              </w:tcPr>
              <w:p>
                <w:pPr>
                  <w:ind w:left="1080" w:hanging="720"/>
                  <w:rPr>
                    <w:color w:val="000000"/>
                    <w:szCs w:val="24"/>
                    <w:lang w:bidi="de-DE"/>
                  </w:rPr>
                </w:pPr>
                <w:r>
                  <w:rPr>
                    <w:color w:val="000000"/>
                    <w:szCs w:val="24"/>
                    <w:lang w:bidi="de-DE"/>
                  </w:rPr>
                  <w:t>4.</w:t>
                  <w:tab/>
                </w:r>
              </w:p>
            </w:tc>
            <w:tc>
              <w:tcPr>
                <w:tcW w:w="1500" w:type="pct"/>
                <w:shd w:val="clear" w:color="auto" w:fill="FFFFFF"/>
                <w:vAlign w:val="center"/>
                <w:hideMark/>
              </w:tcPr>
              <w:p>
                <w:pPr>
                  <w:rPr>
                    <w:color w:val="000000"/>
                    <w:szCs w:val="24"/>
                  </w:rPr>
                </w:pPr>
                <w:r>
                  <w:rPr>
                    <w:color w:val="000000"/>
                    <w:szCs w:val="24"/>
                    <w:lang w:bidi="de-DE"/>
                  </w:rPr>
                  <w:t>pH</w:t>
                </w:r>
              </w:p>
            </w:tc>
            <w:tc>
              <w:tcPr>
                <w:tcW w:w="948" w:type="pct"/>
                <w:shd w:val="clear" w:color="auto" w:fill="FFFFFF"/>
                <w:vAlign w:val="center"/>
              </w:tcPr>
              <w:p>
                <w:pPr>
                  <w:jc w:val="center"/>
                  <w:rPr>
                    <w:color w:val="000000"/>
                    <w:szCs w:val="24"/>
                    <w:lang w:bidi="de-DE"/>
                  </w:rPr>
                </w:pPr>
                <w:r>
                  <w:rPr>
                    <w:color w:val="000000"/>
                    <w:szCs w:val="24"/>
                    <w:lang w:bidi="de-DE"/>
                  </w:rPr>
                  <w:t>vnt.</w:t>
                </w:r>
              </w:p>
            </w:tc>
            <w:tc>
              <w:tcPr>
                <w:tcW w:w="2077" w:type="pct"/>
                <w:shd w:val="clear" w:color="auto" w:fill="FFFFFF"/>
                <w:vAlign w:val="center"/>
                <w:hideMark/>
              </w:tcPr>
              <w:p>
                <w:pPr>
                  <w:jc w:val="center"/>
                  <w:rPr>
                    <w:color w:val="000000"/>
                    <w:szCs w:val="24"/>
                  </w:rPr>
                </w:pPr>
                <w:r>
                  <w:rPr>
                    <w:color w:val="000000"/>
                    <w:szCs w:val="24"/>
                    <w:lang w:bidi="de-DE"/>
                  </w:rPr>
                  <w:t>7-13</w:t>
                </w:r>
              </w:p>
            </w:tc>
          </w:tr>
          <w:tr>
            <w:trPr>
              <w:trHeight w:val="152"/>
            </w:trPr>
            <w:tc>
              <w:tcPr>
                <w:tcW w:w="475" w:type="pct"/>
                <w:shd w:val="clear" w:color="auto" w:fill="FFFFFF"/>
              </w:tcPr>
              <w:p>
                <w:pPr>
                  <w:ind w:left="1080" w:hanging="720"/>
                  <w:rPr>
                    <w:color w:val="000000"/>
                    <w:szCs w:val="24"/>
                    <w:lang w:bidi="de-DE"/>
                  </w:rPr>
                </w:pPr>
                <w:r>
                  <w:rPr>
                    <w:color w:val="000000"/>
                    <w:szCs w:val="24"/>
                    <w:lang w:bidi="de-DE"/>
                  </w:rPr>
                  <w:t>5.</w:t>
                  <w:tab/>
                </w:r>
              </w:p>
            </w:tc>
            <w:tc>
              <w:tcPr>
                <w:tcW w:w="1500" w:type="pct"/>
                <w:shd w:val="clear" w:color="auto" w:fill="FFFFFF"/>
                <w:vAlign w:val="center"/>
                <w:hideMark/>
              </w:tcPr>
              <w:p>
                <w:pPr>
                  <w:rPr>
                    <w:color w:val="000000"/>
                    <w:szCs w:val="24"/>
                  </w:rPr>
                </w:pPr>
                <w:r>
                  <w:rPr>
                    <w:color w:val="000000"/>
                    <w:szCs w:val="24"/>
                    <w:lang w:bidi="de-DE"/>
                  </w:rPr>
                  <w:t>Elektros laidumas</w:t>
                </w:r>
              </w:p>
            </w:tc>
            <w:tc>
              <w:tcPr>
                <w:tcW w:w="948" w:type="pct"/>
                <w:shd w:val="clear" w:color="auto" w:fill="FFFFFF"/>
                <w:vAlign w:val="center"/>
              </w:tcPr>
              <w:p>
                <w:pPr>
                  <w:jc w:val="center"/>
                  <w:rPr>
                    <w:color w:val="000000"/>
                    <w:szCs w:val="24"/>
                    <w:lang w:bidi="de-DE"/>
                  </w:rPr>
                </w:pPr>
                <w:r>
                  <w:rPr>
                    <w:color w:val="000000"/>
                    <w:szCs w:val="24"/>
                    <w:lang w:bidi="de-DE"/>
                  </w:rPr>
                  <w:t>µS/cm</w:t>
                </w:r>
              </w:p>
            </w:tc>
            <w:tc>
              <w:tcPr>
                <w:tcW w:w="2077" w:type="pct"/>
                <w:shd w:val="clear" w:color="auto" w:fill="FFFFFF"/>
                <w:vAlign w:val="center"/>
              </w:tcPr>
              <w:p>
                <w:pPr>
                  <w:jc w:val="center"/>
                  <w:rPr>
                    <w:color w:val="000000"/>
                    <w:szCs w:val="24"/>
                    <w:lang w:bidi="de-DE"/>
                  </w:rPr>
                </w:pPr>
                <w:r>
                  <w:rPr>
                    <w:color w:val="000000"/>
                    <w:szCs w:val="24"/>
                    <w:lang w:bidi="de-DE"/>
                  </w:rPr>
                  <w:t>6000</w:t>
                </w:r>
              </w:p>
            </w:tc>
          </w:tr>
          <w:tr>
            <w:trPr>
              <w:trHeight w:val="186"/>
            </w:trPr>
            <w:tc>
              <w:tcPr>
                <w:tcW w:w="475" w:type="pct"/>
                <w:shd w:val="clear" w:color="auto" w:fill="FFFFFF"/>
              </w:tcPr>
              <w:p>
                <w:pPr>
                  <w:ind w:left="1080" w:hanging="720"/>
                  <w:rPr>
                    <w:color w:val="000000"/>
                    <w:szCs w:val="24"/>
                    <w:lang w:bidi="de-DE"/>
                  </w:rPr>
                </w:pPr>
                <w:r>
                  <w:rPr>
                    <w:color w:val="000000"/>
                    <w:szCs w:val="24"/>
                    <w:lang w:bidi="de-DE"/>
                  </w:rPr>
                  <w:t>6.</w:t>
                  <w:tab/>
                </w:r>
              </w:p>
            </w:tc>
            <w:tc>
              <w:tcPr>
                <w:tcW w:w="1500" w:type="pct"/>
                <w:shd w:val="clear" w:color="auto" w:fill="FFFFFF"/>
                <w:vAlign w:val="center"/>
                <w:hideMark/>
              </w:tcPr>
              <w:p>
                <w:pPr>
                  <w:rPr>
                    <w:color w:val="000000"/>
                    <w:szCs w:val="24"/>
                  </w:rPr>
                </w:pPr>
                <w:r>
                  <w:rPr>
                    <w:color w:val="000000"/>
                    <w:szCs w:val="24"/>
                    <w:lang w:bidi="de-DE"/>
                  </w:rPr>
                  <w:t>Ištirpusi organinė anglis</w:t>
                </w:r>
              </w:p>
            </w:tc>
            <w:tc>
              <w:tcPr>
                <w:tcW w:w="948" w:type="pct"/>
                <w:shd w:val="clear" w:color="auto" w:fill="FFFFFF"/>
                <w:vAlign w:val="center"/>
              </w:tcPr>
              <w:p>
                <w:pPr>
                  <w:jc w:val="center"/>
                  <w:rPr>
                    <w:color w:val="000000"/>
                    <w:szCs w:val="24"/>
                    <w:lang w:bidi="de-DE"/>
                  </w:rPr>
                </w:pPr>
                <w:r>
                  <w:rPr>
                    <w:color w:val="000000"/>
                    <w:szCs w:val="24"/>
                    <w:lang w:bidi="de-DE"/>
                  </w:rPr>
                  <w:t>µg/l</w:t>
                </w:r>
              </w:p>
            </w:tc>
            <w:tc>
              <w:tcPr>
                <w:tcW w:w="2077" w:type="pct"/>
                <w:shd w:val="clear" w:color="auto" w:fill="FFFFFF"/>
                <w:vAlign w:val="center"/>
                <w:hideMark/>
              </w:tcPr>
              <w:p>
                <w:pPr>
                  <w:jc w:val="center"/>
                  <w:rPr>
                    <w:color w:val="000000"/>
                    <w:szCs w:val="24"/>
                  </w:rPr>
                </w:pPr>
                <w:r>
                  <w:rPr>
                    <w:color w:val="000000"/>
                    <w:szCs w:val="24"/>
                    <w:lang w:bidi="de-DE"/>
                  </w:rPr>
                  <w:t>Įvertinama ėminiui apibūdinti</w:t>
                </w:r>
              </w:p>
            </w:tc>
          </w:tr>
          <w:tr>
            <w:trPr>
              <w:trHeight w:val="207"/>
            </w:trPr>
            <w:tc>
              <w:tcPr>
                <w:tcW w:w="475" w:type="pct"/>
                <w:shd w:val="clear" w:color="auto" w:fill="FFFFFF"/>
              </w:tcPr>
              <w:p>
                <w:pPr>
                  <w:ind w:left="1080" w:hanging="720"/>
                  <w:rPr>
                    <w:color w:val="000000"/>
                    <w:szCs w:val="24"/>
                    <w:lang w:bidi="de-DE"/>
                  </w:rPr>
                </w:pPr>
                <w:r>
                  <w:rPr>
                    <w:color w:val="000000"/>
                    <w:szCs w:val="24"/>
                    <w:lang w:bidi="de-DE"/>
                  </w:rPr>
                  <w:t>7.</w:t>
                  <w:tab/>
                </w:r>
              </w:p>
            </w:tc>
            <w:tc>
              <w:tcPr>
                <w:tcW w:w="1500" w:type="pct"/>
                <w:shd w:val="clear" w:color="auto" w:fill="FFFFFF"/>
                <w:vAlign w:val="center"/>
                <w:hideMark/>
              </w:tcPr>
              <w:p>
                <w:pPr>
                  <w:rPr>
                    <w:color w:val="000000"/>
                    <w:szCs w:val="24"/>
                  </w:rPr>
                </w:pPr>
                <w:r>
                  <w:rPr>
                    <w:color w:val="000000"/>
                    <w:szCs w:val="24"/>
                    <w:lang w:bidi="de-DE"/>
                  </w:rPr>
                  <w:t>Arsenas</w:t>
                </w:r>
              </w:p>
            </w:tc>
            <w:tc>
              <w:tcPr>
                <w:tcW w:w="948" w:type="pct"/>
                <w:shd w:val="clear" w:color="auto" w:fill="FFFFFF"/>
                <w:vAlign w:val="center"/>
                <w:hideMark/>
              </w:tcPr>
              <w:p>
                <w:pPr>
                  <w:jc w:val="center"/>
                  <w:rPr>
                    <w:color w:val="000000"/>
                    <w:szCs w:val="24"/>
                  </w:rPr>
                </w:pPr>
                <w:r>
                  <w:rPr>
                    <w:color w:val="000000"/>
                    <w:szCs w:val="24"/>
                    <w:lang w:bidi="de-DE"/>
                  </w:rPr>
                  <w:t>µg/l</w:t>
                </w:r>
              </w:p>
            </w:tc>
            <w:tc>
              <w:tcPr>
                <w:tcW w:w="2077" w:type="pct"/>
                <w:shd w:val="clear" w:color="auto" w:fill="FFFFFF"/>
                <w:vAlign w:val="center"/>
                <w:hideMark/>
              </w:tcPr>
              <w:p>
                <w:pPr>
                  <w:ind w:firstLine="62"/>
                  <w:jc w:val="center"/>
                  <w:rPr>
                    <w:color w:val="000000"/>
                    <w:szCs w:val="24"/>
                  </w:rPr>
                </w:pPr>
                <w:r>
                  <w:rPr>
                    <w:color w:val="000000"/>
                    <w:szCs w:val="24"/>
                    <w:lang w:bidi="de-DE"/>
                  </w:rPr>
                  <w:t>50</w:t>
                </w:r>
              </w:p>
            </w:tc>
          </w:tr>
          <w:tr>
            <w:trPr>
              <w:trHeight w:val="240"/>
            </w:trPr>
            <w:tc>
              <w:tcPr>
                <w:tcW w:w="475" w:type="pct"/>
                <w:shd w:val="clear" w:color="auto" w:fill="FFFFFF"/>
              </w:tcPr>
              <w:p>
                <w:pPr>
                  <w:ind w:left="1080" w:hanging="720"/>
                  <w:rPr>
                    <w:color w:val="000000"/>
                    <w:szCs w:val="24"/>
                    <w:lang w:bidi="de-DE"/>
                  </w:rPr>
                </w:pPr>
                <w:r>
                  <w:rPr>
                    <w:color w:val="000000"/>
                    <w:szCs w:val="24"/>
                    <w:lang w:bidi="de-DE"/>
                  </w:rPr>
                  <w:t>8.</w:t>
                  <w:tab/>
                </w:r>
              </w:p>
            </w:tc>
            <w:tc>
              <w:tcPr>
                <w:tcW w:w="1500" w:type="pct"/>
                <w:shd w:val="clear" w:color="auto" w:fill="FFFFFF"/>
                <w:vAlign w:val="center"/>
                <w:hideMark/>
              </w:tcPr>
              <w:p>
                <w:pPr>
                  <w:rPr>
                    <w:color w:val="000000"/>
                    <w:szCs w:val="24"/>
                  </w:rPr>
                </w:pPr>
                <w:r>
                  <w:rPr>
                    <w:color w:val="000000"/>
                    <w:szCs w:val="24"/>
                    <w:lang w:bidi="de-DE"/>
                  </w:rPr>
                  <w:t>Švinas</w:t>
                </w:r>
              </w:p>
            </w:tc>
            <w:tc>
              <w:tcPr>
                <w:tcW w:w="948" w:type="pct"/>
                <w:shd w:val="clear" w:color="auto" w:fill="FFFFFF"/>
                <w:vAlign w:val="center"/>
                <w:hideMark/>
              </w:tcPr>
              <w:p>
                <w:pPr>
                  <w:jc w:val="center"/>
                  <w:rPr>
                    <w:color w:val="000000"/>
                    <w:szCs w:val="24"/>
                  </w:rPr>
                </w:pPr>
                <w:r>
                  <w:rPr>
                    <w:color w:val="000000"/>
                    <w:szCs w:val="24"/>
                    <w:lang w:bidi="de-DE"/>
                  </w:rPr>
                  <w:t>µg/l</w:t>
                </w:r>
              </w:p>
            </w:tc>
            <w:tc>
              <w:tcPr>
                <w:tcW w:w="2077" w:type="pct"/>
                <w:shd w:val="clear" w:color="auto" w:fill="FFFFFF"/>
                <w:vAlign w:val="center"/>
                <w:hideMark/>
              </w:tcPr>
              <w:p>
                <w:pPr>
                  <w:jc w:val="center"/>
                  <w:rPr>
                    <w:szCs w:val="24"/>
                  </w:rPr>
                </w:pPr>
                <w:r>
                  <w:rPr>
                    <w:szCs w:val="24"/>
                    <w:lang w:bidi="de-DE"/>
                  </w:rPr>
                  <w:t>50</w:t>
                </w:r>
              </w:p>
            </w:tc>
          </w:tr>
          <w:tr>
            <w:trPr>
              <w:trHeight w:val="260"/>
            </w:trPr>
            <w:tc>
              <w:tcPr>
                <w:tcW w:w="475" w:type="pct"/>
                <w:shd w:val="clear" w:color="auto" w:fill="FFFFFF"/>
              </w:tcPr>
              <w:p>
                <w:pPr>
                  <w:ind w:left="1080" w:hanging="720"/>
                  <w:rPr>
                    <w:color w:val="000000"/>
                    <w:szCs w:val="24"/>
                    <w:lang w:bidi="de-DE"/>
                  </w:rPr>
                </w:pPr>
                <w:r>
                  <w:rPr>
                    <w:color w:val="000000"/>
                    <w:szCs w:val="24"/>
                    <w:lang w:bidi="de-DE"/>
                  </w:rPr>
                  <w:t>9.</w:t>
                  <w:tab/>
                </w:r>
              </w:p>
            </w:tc>
            <w:tc>
              <w:tcPr>
                <w:tcW w:w="1500" w:type="pct"/>
                <w:shd w:val="clear" w:color="auto" w:fill="FFFFFF"/>
                <w:vAlign w:val="center"/>
                <w:hideMark/>
              </w:tcPr>
              <w:p>
                <w:pPr>
                  <w:rPr>
                    <w:color w:val="000000"/>
                    <w:szCs w:val="24"/>
                  </w:rPr>
                </w:pPr>
                <w:r>
                  <w:rPr>
                    <w:color w:val="000000"/>
                    <w:szCs w:val="24"/>
                    <w:lang w:bidi="de-DE"/>
                  </w:rPr>
                  <w:t xml:space="preserve">Kadmis </w:t>
                </w:r>
              </w:p>
            </w:tc>
            <w:tc>
              <w:tcPr>
                <w:tcW w:w="948" w:type="pct"/>
                <w:shd w:val="clear" w:color="auto" w:fill="FFFFFF"/>
                <w:vAlign w:val="center"/>
                <w:hideMark/>
              </w:tcPr>
              <w:p>
                <w:pPr>
                  <w:jc w:val="center"/>
                  <w:rPr>
                    <w:color w:val="000000"/>
                    <w:szCs w:val="24"/>
                  </w:rPr>
                </w:pPr>
                <w:r>
                  <w:rPr>
                    <w:color w:val="000000"/>
                    <w:szCs w:val="24"/>
                    <w:lang w:bidi="de-DE"/>
                  </w:rPr>
                  <w:t>µg/l</w:t>
                </w:r>
              </w:p>
            </w:tc>
            <w:tc>
              <w:tcPr>
                <w:tcW w:w="2077" w:type="pct"/>
                <w:shd w:val="clear" w:color="auto" w:fill="FFFFFF"/>
                <w:vAlign w:val="center"/>
                <w:hideMark/>
              </w:tcPr>
              <w:p>
                <w:pPr>
                  <w:jc w:val="center"/>
                  <w:rPr>
                    <w:szCs w:val="24"/>
                  </w:rPr>
                </w:pPr>
                <w:r>
                  <w:rPr>
                    <w:szCs w:val="24"/>
                    <w:lang w:bidi="de-DE"/>
                  </w:rPr>
                  <w:t>3</w:t>
                </w:r>
              </w:p>
            </w:tc>
          </w:tr>
          <w:tr>
            <w:trPr>
              <w:trHeight w:val="139"/>
            </w:trPr>
            <w:tc>
              <w:tcPr>
                <w:tcW w:w="475" w:type="pct"/>
                <w:shd w:val="clear" w:color="auto" w:fill="FFFFFF"/>
              </w:tcPr>
              <w:p>
                <w:pPr>
                  <w:ind w:left="1080" w:hanging="720"/>
                  <w:rPr>
                    <w:color w:val="000000"/>
                    <w:szCs w:val="24"/>
                    <w:lang w:bidi="de-DE"/>
                  </w:rPr>
                </w:pPr>
                <w:r>
                  <w:rPr>
                    <w:color w:val="000000"/>
                    <w:szCs w:val="24"/>
                    <w:lang w:bidi="de-DE"/>
                  </w:rPr>
                  <w:t>10.</w:t>
                  <w:tab/>
                </w:r>
              </w:p>
            </w:tc>
            <w:tc>
              <w:tcPr>
                <w:tcW w:w="1500" w:type="pct"/>
                <w:shd w:val="clear" w:color="auto" w:fill="FFFFFF"/>
                <w:vAlign w:val="center"/>
                <w:hideMark/>
              </w:tcPr>
              <w:p>
                <w:pPr>
                  <w:rPr>
                    <w:color w:val="000000"/>
                    <w:szCs w:val="24"/>
                  </w:rPr>
                </w:pPr>
                <w:r>
                  <w:rPr>
                    <w:color w:val="000000"/>
                    <w:szCs w:val="24"/>
                    <w:lang w:bidi="de-DE"/>
                  </w:rPr>
                  <w:t xml:space="preserve">Chromas </w:t>
                </w:r>
              </w:p>
            </w:tc>
            <w:tc>
              <w:tcPr>
                <w:tcW w:w="948" w:type="pct"/>
                <w:shd w:val="clear" w:color="auto" w:fill="FFFFFF"/>
                <w:vAlign w:val="center"/>
                <w:hideMark/>
              </w:tcPr>
              <w:p>
                <w:pPr>
                  <w:jc w:val="center"/>
                  <w:rPr>
                    <w:color w:val="000000"/>
                    <w:szCs w:val="24"/>
                  </w:rPr>
                </w:pPr>
                <w:r>
                  <w:rPr>
                    <w:color w:val="000000"/>
                    <w:szCs w:val="24"/>
                    <w:lang w:bidi="de-DE"/>
                  </w:rPr>
                  <w:t>µg/l</w:t>
                </w:r>
              </w:p>
            </w:tc>
            <w:tc>
              <w:tcPr>
                <w:tcW w:w="2077" w:type="pct"/>
                <w:shd w:val="clear" w:color="auto" w:fill="FFFFFF"/>
                <w:vAlign w:val="center"/>
                <w:hideMark/>
              </w:tcPr>
              <w:p>
                <w:pPr>
                  <w:jc w:val="center"/>
                  <w:rPr>
                    <w:szCs w:val="24"/>
                  </w:rPr>
                </w:pPr>
                <w:r>
                  <w:rPr>
                    <w:szCs w:val="24"/>
                    <w:lang w:bidi="de-DE"/>
                  </w:rPr>
                  <w:t>200</w:t>
                </w:r>
              </w:p>
            </w:tc>
          </w:tr>
          <w:tr>
            <w:trPr>
              <w:trHeight w:val="173"/>
            </w:trPr>
            <w:tc>
              <w:tcPr>
                <w:tcW w:w="475" w:type="pct"/>
                <w:shd w:val="clear" w:color="auto" w:fill="FFFFFF"/>
              </w:tcPr>
              <w:p>
                <w:pPr>
                  <w:ind w:left="1080" w:hanging="720"/>
                  <w:rPr>
                    <w:color w:val="000000"/>
                    <w:szCs w:val="24"/>
                    <w:lang w:bidi="de-DE"/>
                  </w:rPr>
                </w:pPr>
                <w:r>
                  <w:rPr>
                    <w:color w:val="000000"/>
                    <w:szCs w:val="24"/>
                    <w:lang w:bidi="de-DE"/>
                  </w:rPr>
                  <w:t>11.</w:t>
                  <w:tab/>
                </w:r>
              </w:p>
            </w:tc>
            <w:tc>
              <w:tcPr>
                <w:tcW w:w="1500" w:type="pct"/>
                <w:shd w:val="clear" w:color="auto" w:fill="FFFFFF"/>
                <w:vAlign w:val="center"/>
                <w:hideMark/>
              </w:tcPr>
              <w:p>
                <w:pPr>
                  <w:rPr>
                    <w:color w:val="000000"/>
                    <w:szCs w:val="24"/>
                  </w:rPr>
                </w:pPr>
                <w:r>
                  <w:rPr>
                    <w:color w:val="000000"/>
                    <w:szCs w:val="24"/>
                    <w:lang w:bidi="de-DE"/>
                  </w:rPr>
                  <w:t>Varis</w:t>
                </w:r>
              </w:p>
            </w:tc>
            <w:tc>
              <w:tcPr>
                <w:tcW w:w="948" w:type="pct"/>
                <w:shd w:val="clear" w:color="auto" w:fill="FFFFFF"/>
                <w:vAlign w:val="center"/>
                <w:hideMark/>
              </w:tcPr>
              <w:p>
                <w:pPr>
                  <w:jc w:val="center"/>
                  <w:rPr>
                    <w:color w:val="000000"/>
                    <w:szCs w:val="24"/>
                  </w:rPr>
                </w:pPr>
                <w:r>
                  <w:rPr>
                    <w:color w:val="000000"/>
                    <w:szCs w:val="24"/>
                    <w:lang w:bidi="de-DE"/>
                  </w:rPr>
                  <w:t>µg/l</w:t>
                </w:r>
              </w:p>
            </w:tc>
            <w:tc>
              <w:tcPr>
                <w:tcW w:w="2077" w:type="pct"/>
                <w:shd w:val="clear" w:color="auto" w:fill="FFFFFF"/>
                <w:vAlign w:val="center"/>
                <w:hideMark/>
              </w:tcPr>
              <w:p>
                <w:pPr>
                  <w:jc w:val="center"/>
                  <w:rPr>
                    <w:strike/>
                    <w:szCs w:val="24"/>
                  </w:rPr>
                </w:pPr>
                <w:r>
                  <w:rPr>
                    <w:szCs w:val="24"/>
                    <w:lang w:bidi="de-DE"/>
                  </w:rPr>
                  <w:t>150</w:t>
                </w:r>
              </w:p>
            </w:tc>
          </w:tr>
          <w:tr>
            <w:trPr>
              <w:trHeight w:val="192"/>
            </w:trPr>
            <w:tc>
              <w:tcPr>
                <w:tcW w:w="475" w:type="pct"/>
                <w:shd w:val="clear" w:color="auto" w:fill="FFFFFF"/>
              </w:tcPr>
              <w:p>
                <w:pPr>
                  <w:ind w:left="1080" w:hanging="720"/>
                  <w:rPr>
                    <w:color w:val="000000"/>
                    <w:szCs w:val="24"/>
                    <w:lang w:bidi="de-DE"/>
                  </w:rPr>
                </w:pPr>
                <w:r>
                  <w:rPr>
                    <w:color w:val="000000"/>
                    <w:szCs w:val="24"/>
                    <w:lang w:bidi="de-DE"/>
                  </w:rPr>
                  <w:t>12.</w:t>
                  <w:tab/>
                </w:r>
              </w:p>
            </w:tc>
            <w:tc>
              <w:tcPr>
                <w:tcW w:w="1500" w:type="pct"/>
                <w:shd w:val="clear" w:color="auto" w:fill="FFFFFF"/>
                <w:vAlign w:val="center"/>
                <w:hideMark/>
              </w:tcPr>
              <w:p>
                <w:pPr>
                  <w:rPr>
                    <w:color w:val="000000"/>
                    <w:szCs w:val="24"/>
                  </w:rPr>
                </w:pPr>
                <w:r>
                  <w:rPr>
                    <w:color w:val="000000"/>
                    <w:szCs w:val="24"/>
                    <w:lang w:bidi="de-DE"/>
                  </w:rPr>
                  <w:t>Nikelis</w:t>
                </w:r>
              </w:p>
            </w:tc>
            <w:tc>
              <w:tcPr>
                <w:tcW w:w="948" w:type="pct"/>
                <w:shd w:val="clear" w:color="auto" w:fill="FFFFFF"/>
                <w:vAlign w:val="center"/>
                <w:hideMark/>
              </w:tcPr>
              <w:p>
                <w:pPr>
                  <w:jc w:val="center"/>
                  <w:rPr>
                    <w:color w:val="000000"/>
                    <w:szCs w:val="24"/>
                  </w:rPr>
                </w:pPr>
                <w:r>
                  <w:rPr>
                    <w:color w:val="000000"/>
                    <w:szCs w:val="24"/>
                    <w:lang w:bidi="de-DE"/>
                  </w:rPr>
                  <w:t>µg/l</w:t>
                </w:r>
              </w:p>
            </w:tc>
            <w:tc>
              <w:tcPr>
                <w:tcW w:w="2077" w:type="pct"/>
                <w:shd w:val="clear" w:color="auto" w:fill="FFFFFF"/>
                <w:vAlign w:val="center"/>
                <w:hideMark/>
              </w:tcPr>
              <w:p>
                <w:pPr>
                  <w:jc w:val="center"/>
                  <w:rPr>
                    <w:szCs w:val="24"/>
                  </w:rPr>
                </w:pPr>
                <w:r>
                  <w:rPr>
                    <w:szCs w:val="24"/>
                    <w:lang w:bidi="de-DE"/>
                  </w:rPr>
                  <w:t>40</w:t>
                </w:r>
              </w:p>
            </w:tc>
          </w:tr>
          <w:tr>
            <w:trPr>
              <w:trHeight w:val="213"/>
            </w:trPr>
            <w:tc>
              <w:tcPr>
                <w:tcW w:w="475" w:type="pct"/>
                <w:shd w:val="clear" w:color="auto" w:fill="FFFFFF"/>
              </w:tcPr>
              <w:p>
                <w:pPr>
                  <w:ind w:left="1080" w:hanging="720"/>
                  <w:rPr>
                    <w:color w:val="000000"/>
                    <w:szCs w:val="24"/>
                    <w:lang w:bidi="de-DE"/>
                  </w:rPr>
                </w:pPr>
                <w:r>
                  <w:rPr>
                    <w:color w:val="000000"/>
                    <w:szCs w:val="24"/>
                    <w:lang w:bidi="de-DE"/>
                  </w:rPr>
                  <w:t>13.</w:t>
                  <w:tab/>
                </w:r>
              </w:p>
            </w:tc>
            <w:tc>
              <w:tcPr>
                <w:tcW w:w="1500" w:type="pct"/>
                <w:shd w:val="clear" w:color="auto" w:fill="FFFFFF"/>
                <w:vAlign w:val="center"/>
                <w:hideMark/>
              </w:tcPr>
              <w:p>
                <w:pPr>
                  <w:rPr>
                    <w:color w:val="000000"/>
                    <w:szCs w:val="24"/>
                  </w:rPr>
                </w:pPr>
                <w:r>
                  <w:rPr>
                    <w:color w:val="000000"/>
                    <w:szCs w:val="24"/>
                    <w:lang w:bidi="de-DE"/>
                  </w:rPr>
                  <w:t>Gyvsidabris</w:t>
                </w:r>
              </w:p>
            </w:tc>
            <w:tc>
              <w:tcPr>
                <w:tcW w:w="948" w:type="pct"/>
                <w:shd w:val="clear" w:color="auto" w:fill="FFFFFF"/>
                <w:vAlign w:val="center"/>
                <w:hideMark/>
              </w:tcPr>
              <w:p>
                <w:pPr>
                  <w:jc w:val="center"/>
                  <w:rPr>
                    <w:color w:val="000000"/>
                    <w:szCs w:val="24"/>
                  </w:rPr>
                </w:pPr>
                <w:r>
                  <w:rPr>
                    <w:color w:val="000000"/>
                    <w:szCs w:val="24"/>
                    <w:lang w:bidi="de-DE"/>
                  </w:rPr>
                  <w:t>µg/l</w:t>
                </w:r>
              </w:p>
            </w:tc>
            <w:tc>
              <w:tcPr>
                <w:tcW w:w="2077" w:type="pct"/>
                <w:shd w:val="clear" w:color="auto" w:fill="FFFFFF"/>
                <w:vAlign w:val="center"/>
                <w:hideMark/>
              </w:tcPr>
              <w:p>
                <w:pPr>
                  <w:jc w:val="center"/>
                  <w:rPr>
                    <w:szCs w:val="24"/>
                  </w:rPr>
                </w:pPr>
                <w:r>
                  <w:rPr>
                    <w:szCs w:val="24"/>
                    <w:lang w:bidi="de-DE"/>
                  </w:rPr>
                  <w:t>1</w:t>
                </w:r>
              </w:p>
            </w:tc>
          </w:tr>
          <w:tr>
            <w:trPr>
              <w:trHeight w:val="105"/>
            </w:trPr>
            <w:tc>
              <w:tcPr>
                <w:tcW w:w="475" w:type="pct"/>
                <w:shd w:val="clear" w:color="auto" w:fill="FFFFFF"/>
              </w:tcPr>
              <w:p>
                <w:pPr>
                  <w:ind w:left="1080" w:hanging="720"/>
                  <w:rPr>
                    <w:color w:val="000000"/>
                    <w:szCs w:val="24"/>
                    <w:lang w:bidi="de-DE"/>
                  </w:rPr>
                </w:pPr>
                <w:r>
                  <w:rPr>
                    <w:color w:val="000000"/>
                    <w:szCs w:val="24"/>
                    <w:lang w:bidi="de-DE"/>
                  </w:rPr>
                  <w:t>14.</w:t>
                  <w:tab/>
                </w:r>
              </w:p>
            </w:tc>
            <w:tc>
              <w:tcPr>
                <w:tcW w:w="1500" w:type="pct"/>
                <w:shd w:val="clear" w:color="auto" w:fill="FFFFFF"/>
                <w:vAlign w:val="center"/>
                <w:hideMark/>
              </w:tcPr>
              <w:p>
                <w:pPr>
                  <w:rPr>
                    <w:color w:val="000000"/>
                    <w:szCs w:val="24"/>
                  </w:rPr>
                </w:pPr>
                <w:r>
                  <w:rPr>
                    <w:color w:val="000000"/>
                    <w:szCs w:val="24"/>
                    <w:lang w:bidi="de-DE"/>
                  </w:rPr>
                  <w:t xml:space="preserve">Cinkas </w:t>
                </w:r>
              </w:p>
            </w:tc>
            <w:tc>
              <w:tcPr>
                <w:tcW w:w="948" w:type="pct"/>
                <w:shd w:val="clear" w:color="auto" w:fill="FFFFFF"/>
                <w:vAlign w:val="center"/>
                <w:hideMark/>
              </w:tcPr>
              <w:p>
                <w:pPr>
                  <w:jc w:val="center"/>
                  <w:rPr>
                    <w:color w:val="000000"/>
                    <w:szCs w:val="24"/>
                  </w:rPr>
                </w:pPr>
                <w:r>
                  <w:rPr>
                    <w:color w:val="000000"/>
                    <w:szCs w:val="24"/>
                    <w:lang w:bidi="de-DE"/>
                  </w:rPr>
                  <w:t>µg/l</w:t>
                </w:r>
              </w:p>
            </w:tc>
            <w:tc>
              <w:tcPr>
                <w:tcW w:w="2077" w:type="pct"/>
                <w:shd w:val="clear" w:color="auto" w:fill="FFFFFF"/>
                <w:vAlign w:val="center"/>
                <w:hideMark/>
              </w:tcPr>
              <w:p>
                <w:pPr>
                  <w:jc w:val="center"/>
                  <w:rPr>
                    <w:szCs w:val="24"/>
                  </w:rPr>
                </w:pPr>
                <w:r>
                  <w:rPr>
                    <w:szCs w:val="24"/>
                    <w:lang w:bidi="de-DE"/>
                  </w:rPr>
                  <w:t>300</w:t>
                </w:r>
              </w:p>
            </w:tc>
          </w:tr>
          <w:tr>
            <w:trPr>
              <w:trHeight w:val="124"/>
            </w:trPr>
            <w:tc>
              <w:tcPr>
                <w:tcW w:w="475" w:type="pct"/>
                <w:shd w:val="clear" w:color="auto" w:fill="FFFFFF"/>
              </w:tcPr>
              <w:p>
                <w:pPr>
                  <w:ind w:left="1080" w:hanging="720"/>
                  <w:rPr>
                    <w:color w:val="000000"/>
                    <w:szCs w:val="24"/>
                    <w:lang w:bidi="de-DE"/>
                  </w:rPr>
                </w:pPr>
                <w:r>
                  <w:rPr>
                    <w:color w:val="000000"/>
                    <w:szCs w:val="24"/>
                    <w:lang w:bidi="de-DE"/>
                  </w:rPr>
                  <w:t>15.</w:t>
                  <w:tab/>
                </w:r>
              </w:p>
            </w:tc>
            <w:tc>
              <w:tcPr>
                <w:tcW w:w="1500" w:type="pct"/>
                <w:shd w:val="clear" w:color="auto" w:fill="FFFFFF"/>
                <w:vAlign w:val="center"/>
                <w:hideMark/>
              </w:tcPr>
              <w:p>
                <w:pPr>
                  <w:rPr>
                    <w:color w:val="000000"/>
                    <w:szCs w:val="24"/>
                  </w:rPr>
                </w:pPr>
                <w:r>
                  <w:rPr>
                    <w:color w:val="000000"/>
                    <w:szCs w:val="24"/>
                    <w:lang w:bidi="de-DE"/>
                  </w:rPr>
                  <w:t>Chloridai</w:t>
                </w:r>
              </w:p>
            </w:tc>
            <w:tc>
              <w:tcPr>
                <w:tcW w:w="948" w:type="pct"/>
                <w:shd w:val="clear" w:color="auto" w:fill="FFFFFF"/>
                <w:vAlign w:val="center"/>
                <w:hideMark/>
              </w:tcPr>
              <w:p>
                <w:pPr>
                  <w:jc w:val="center"/>
                  <w:rPr>
                    <w:color w:val="000000"/>
                    <w:szCs w:val="24"/>
                  </w:rPr>
                </w:pPr>
                <w:r>
                  <w:rPr>
                    <w:color w:val="000000"/>
                    <w:szCs w:val="24"/>
                    <w:lang w:bidi="de-DE"/>
                  </w:rPr>
                  <w:t>mg/l</w:t>
                </w:r>
              </w:p>
            </w:tc>
            <w:tc>
              <w:tcPr>
                <w:tcW w:w="2077" w:type="pct"/>
                <w:shd w:val="clear" w:color="auto" w:fill="FFFFFF"/>
                <w:vAlign w:val="center"/>
                <w:hideMark/>
              </w:tcPr>
              <w:p>
                <w:pPr>
                  <w:jc w:val="center"/>
                  <w:rPr>
                    <w:szCs w:val="24"/>
                  </w:rPr>
                </w:pPr>
                <w:r>
                  <w:rPr>
                    <w:szCs w:val="24"/>
                    <w:lang w:bidi="de-DE"/>
                  </w:rPr>
                  <w:t>1000</w:t>
                </w:r>
              </w:p>
            </w:tc>
          </w:tr>
          <w:tr>
            <w:trPr>
              <w:trHeight w:val="144"/>
            </w:trPr>
            <w:tc>
              <w:tcPr>
                <w:tcW w:w="475" w:type="pct"/>
                <w:shd w:val="clear" w:color="auto" w:fill="FFFFFF"/>
              </w:tcPr>
              <w:p>
                <w:pPr>
                  <w:ind w:left="1080" w:hanging="720"/>
                  <w:rPr>
                    <w:color w:val="000000"/>
                    <w:szCs w:val="24"/>
                    <w:lang w:bidi="de-DE"/>
                  </w:rPr>
                </w:pPr>
                <w:r>
                  <w:rPr>
                    <w:color w:val="000000"/>
                    <w:szCs w:val="24"/>
                    <w:lang w:bidi="de-DE"/>
                  </w:rPr>
                  <w:t>16.</w:t>
                  <w:tab/>
                </w:r>
              </w:p>
            </w:tc>
            <w:tc>
              <w:tcPr>
                <w:tcW w:w="1500" w:type="pct"/>
                <w:shd w:val="clear" w:color="auto" w:fill="FFFFFF"/>
                <w:vAlign w:val="center"/>
                <w:hideMark/>
              </w:tcPr>
              <w:p>
                <w:pPr>
                  <w:rPr>
                    <w:color w:val="000000"/>
                    <w:szCs w:val="24"/>
                  </w:rPr>
                </w:pPr>
                <w:r>
                  <w:rPr>
                    <w:color w:val="000000"/>
                    <w:szCs w:val="24"/>
                    <w:lang w:bidi="de-DE"/>
                  </w:rPr>
                  <w:t>Sulfatai</w:t>
                </w:r>
              </w:p>
            </w:tc>
            <w:tc>
              <w:tcPr>
                <w:tcW w:w="948" w:type="pct"/>
                <w:shd w:val="clear" w:color="auto" w:fill="FFFFFF"/>
                <w:vAlign w:val="center"/>
                <w:hideMark/>
              </w:tcPr>
              <w:p>
                <w:pPr>
                  <w:jc w:val="center"/>
                  <w:rPr>
                    <w:color w:val="000000"/>
                    <w:szCs w:val="24"/>
                  </w:rPr>
                </w:pPr>
                <w:r>
                  <w:rPr>
                    <w:color w:val="000000"/>
                    <w:szCs w:val="24"/>
                    <w:lang w:bidi="de-DE"/>
                  </w:rPr>
                  <w:t>mg/l</w:t>
                </w:r>
              </w:p>
            </w:tc>
            <w:tc>
              <w:tcPr>
                <w:tcW w:w="2077" w:type="pct"/>
                <w:shd w:val="clear" w:color="auto" w:fill="FFFFFF"/>
                <w:vAlign w:val="center"/>
                <w:hideMark/>
              </w:tcPr>
              <w:p>
                <w:pPr>
                  <w:jc w:val="center"/>
                  <w:rPr>
                    <w:szCs w:val="24"/>
                  </w:rPr>
                </w:pPr>
                <w:r>
                  <w:rPr>
                    <w:szCs w:val="24"/>
                    <w:lang w:bidi="de-DE"/>
                  </w:rPr>
                  <w:t>2000</w:t>
                </w:r>
              </w:p>
            </w:tc>
          </w:tr>
          <w:tr>
            <w:trPr>
              <w:trHeight w:val="37"/>
            </w:trPr>
            <w:tc>
              <w:tcPr>
                <w:tcW w:w="475" w:type="pct"/>
                <w:shd w:val="clear" w:color="auto" w:fill="FFFFFF"/>
              </w:tcPr>
              <w:p>
                <w:pPr>
                  <w:ind w:firstLine="372"/>
                  <w:rPr>
                    <w:color w:val="000000"/>
                    <w:szCs w:val="24"/>
                    <w:lang w:bidi="de-DE"/>
                  </w:rPr>
                </w:pPr>
                <w:r>
                  <w:rPr>
                    <w:color w:val="000000"/>
                    <w:szCs w:val="24"/>
                    <w:lang w:bidi="de-DE"/>
                  </w:rPr>
                  <w:t>17.</w:t>
                </w:r>
              </w:p>
            </w:tc>
            <w:tc>
              <w:tcPr>
                <w:tcW w:w="1500" w:type="pct"/>
                <w:shd w:val="clear" w:color="auto" w:fill="FFFFFF"/>
                <w:vAlign w:val="center"/>
              </w:tcPr>
              <w:p>
                <w:pPr>
                  <w:rPr>
                    <w:color w:val="000000"/>
                    <w:szCs w:val="24"/>
                    <w:lang w:bidi="de-DE"/>
                  </w:rPr>
                </w:pPr>
                <w:r>
                  <w:rPr>
                    <w:color w:val="000000"/>
                    <w:szCs w:val="24"/>
                    <w:lang w:bidi="de-DE"/>
                  </w:rPr>
                  <w:t xml:space="preserve">Cianidai </w:t>
                </w:r>
              </w:p>
            </w:tc>
            <w:tc>
              <w:tcPr>
                <w:tcW w:w="948" w:type="pct"/>
                <w:shd w:val="clear" w:color="auto" w:fill="FFFFFF"/>
                <w:vAlign w:val="center"/>
              </w:tcPr>
              <w:p>
                <w:pPr>
                  <w:jc w:val="center"/>
                  <w:rPr>
                    <w:color w:val="000000"/>
                    <w:szCs w:val="24"/>
                    <w:lang w:bidi="de-DE"/>
                  </w:rPr>
                </w:pPr>
                <w:r>
                  <w:rPr>
                    <w:color w:val="000000"/>
                    <w:szCs w:val="24"/>
                    <w:lang w:bidi="de-DE"/>
                  </w:rPr>
                  <w:t>mg/l</w:t>
                </w:r>
              </w:p>
            </w:tc>
            <w:tc>
              <w:tcPr>
                <w:tcW w:w="2077" w:type="pct"/>
                <w:shd w:val="clear" w:color="auto" w:fill="FFFFFF"/>
                <w:vAlign w:val="center"/>
              </w:tcPr>
              <w:p>
                <w:pPr>
                  <w:jc w:val="center"/>
                  <w:rPr>
                    <w:szCs w:val="24"/>
                    <w:lang w:bidi="de-DE"/>
                  </w:rPr>
                </w:pPr>
                <w:r>
                  <w:rPr>
                    <w:szCs w:val="24"/>
                    <w:lang w:bidi="de-DE"/>
                  </w:rPr>
                  <w:t>0,020</w:t>
                </w:r>
              </w:p>
            </w:tc>
          </w:tr>
        </w:tbl>
        <w:p>
          <w:pPr>
            <w:tabs>
              <w:tab w:val="left" w:pos="8821"/>
            </w:tabs>
            <w:ind w:left="6237" w:firstLine="62"/>
            <w:rPr>
              <w:color w:val="414142"/>
              <w:szCs w:val="24"/>
            </w:rPr>
          </w:pPr>
        </w:p>
        <w:p>
          <w:pPr>
            <w:tabs>
              <w:tab w:val="left" w:pos="8821"/>
            </w:tabs>
            <w:ind w:left="5670"/>
            <w:rPr>
              <w:color w:val="414142"/>
              <w:szCs w:val="24"/>
            </w:rPr>
          </w:pPr>
        </w:p>
        <w:p>
          <w:pPr>
            <w:tabs>
              <w:tab w:val="left" w:pos="8821"/>
            </w:tabs>
            <w:ind w:left="5670"/>
            <w:rPr>
              <w:color w:val="414142"/>
              <w:szCs w:val="24"/>
            </w:rPr>
          </w:pPr>
        </w:p>
        <w:p>
          <w:pPr>
            <w:tabs>
              <w:tab w:val="left" w:pos="8821"/>
            </w:tabs>
            <w:ind w:left="5670"/>
            <w:rPr>
              <w:color w:val="414142"/>
              <w:szCs w:val="24"/>
            </w:rPr>
          </w:pPr>
        </w:p>
        <w:p>
          <w:pPr>
            <w:tabs>
              <w:tab w:val="left" w:pos="8821"/>
            </w:tabs>
            <w:ind w:left="5670"/>
            <w:rPr>
              <w:color w:val="414142"/>
              <w:szCs w:val="24"/>
            </w:rPr>
          </w:pPr>
        </w:p>
        <w:p>
          <w:pPr>
            <w:tabs>
              <w:tab w:val="left" w:pos="8821"/>
            </w:tabs>
            <w:ind w:left="5670"/>
            <w:rPr>
              <w:color w:val="414142"/>
              <w:szCs w:val="24"/>
            </w:rPr>
          </w:pPr>
        </w:p>
        <w:p>
          <w:pPr>
            <w:tabs>
              <w:tab w:val="left" w:pos="8821"/>
            </w:tabs>
            <w:ind w:left="5670"/>
            <w:rPr>
              <w:color w:val="414142"/>
              <w:szCs w:val="24"/>
            </w:rPr>
          </w:pPr>
        </w:p>
        <w:p>
          <w:pPr>
            <w:tabs>
              <w:tab w:val="left" w:pos="8821"/>
            </w:tabs>
            <w:ind w:left="5670"/>
            <w:rPr>
              <w:color w:val="414142"/>
              <w:szCs w:val="24"/>
            </w:rPr>
          </w:pPr>
        </w:p>
        <w:p>
          <w:pPr>
            <w:tabs>
              <w:tab w:val="left" w:pos="8821"/>
            </w:tabs>
            <w:ind w:left="5670"/>
            <w:rPr>
              <w:color w:val="414142"/>
              <w:szCs w:val="24"/>
            </w:rPr>
          </w:pPr>
        </w:p>
        <w:p>
          <w:pPr>
            <w:tabs>
              <w:tab w:val="left" w:pos="8821"/>
            </w:tabs>
            <w:ind w:left="5670"/>
            <w:rPr>
              <w:color w:val="414142"/>
              <w:szCs w:val="24"/>
            </w:rPr>
          </w:pPr>
        </w:p>
        <w:p>
          <w:pPr>
            <w:tabs>
              <w:tab w:val="left" w:pos="8821"/>
            </w:tabs>
            <w:ind w:left="5670"/>
            <w:rPr>
              <w:color w:val="414142"/>
              <w:szCs w:val="24"/>
            </w:rPr>
          </w:pPr>
        </w:p>
        <w:p>
          <w:pPr>
            <w:tabs>
              <w:tab w:val="left" w:pos="8821"/>
            </w:tabs>
            <w:ind w:left="5670"/>
            <w:rPr>
              <w:color w:val="414142"/>
              <w:szCs w:val="24"/>
            </w:rPr>
            <w:sectPr>
              <w:footnotePr>
                <w:pos w:val="beneathText"/>
              </w:footnotePr>
              <w:pgSz w:w="11905" w:h="16837" w:code="9"/>
              <w:pgMar w:top="1134" w:right="567" w:bottom="1134" w:left="1701" w:header="794" w:footer="919" w:gutter="0"/>
              <w:pgNumType w:start="1"/>
              <w:cols w:space="1296"/>
              <w:formProt w:val="0"/>
              <w:titlePg/>
              <w:docGrid w:linePitch="360"/>
            </w:sectPr>
          </w:pPr>
        </w:p>
        <w:p>
          <w:pPr>
            <w:tabs>
              <w:tab w:val="center" w:pos="4986"/>
              <w:tab w:val="right" w:pos="9972"/>
            </w:tabs>
          </w:pPr>
        </w:p>
      </w:sdtContent>
    </w:sdt>
    <w:sdt>
      <w:sdtPr>
        <w:alias w:val="5 pr."/>
        <w:tag w:val="part_279f4e9df99145ac8fb598c900339ddd"/>
        <w:lock w:val="sdtLocked"/>
        <w:richText/>
      </w:sdtPr>
      <w:sdtContent>
        <w:p>
          <w:pPr>
            <w:jc w:val="right"/>
          </w:pPr>
          <w:r>
            <w:t xml:space="preserve">Atliekų deginimo įrenginiuose ir bendro </w:t>
          </w:r>
        </w:p>
        <w:p>
          <w:pPr>
            <w:jc w:val="right"/>
          </w:pPr>
          <w:r>
            <w:t xml:space="preserve">atliekų  deginimo</w:t>
          </w:r>
          <w:r>
            <w:rPr>
              <w:bCs/>
            </w:rPr>
            <w:t xml:space="preserve"> įrenginiuose</w:t>
          </w:r>
          <w:r>
            <w:t xml:space="preserve"> susidariusių</w:t>
          </w:r>
        </w:p>
        <w:p>
          <w:pPr>
            <w:ind w:left="5040" w:firstLine="372"/>
            <w:jc w:val="right"/>
          </w:pPr>
          <w:r>
            <w:t xml:space="preserve">nepavojingųjų  pelenų ir šlako atliekų tvarkymo ir panaudojimo reikalavimų</w:t>
          </w:r>
        </w:p>
        <w:p>
          <w:pPr>
            <w:ind w:firstLine="5456"/>
            <w:jc w:val="right"/>
          </w:pPr>
          <w:sdt>
            <w:sdtPr>
              <w:alias w:val="Numeris"/>
              <w:tag w:val="nr_279f4e9df99145ac8fb598c900339ddd"/>
              <w:lock w:val="sdtLocked"/>
              <w:richText/>
            </w:sdtPr>
            <w:sdtContent>
              <w:r>
                <w:t>5</w:t>
              </w:r>
            </w:sdtContent>
          </w:sdt>
          <w:r>
            <w:t xml:space="preserve"> priedas</w:t>
          </w:r>
        </w:p>
        <w:p>
          <w:pPr>
            <w:ind w:firstLine="3348"/>
            <w:jc w:val="right"/>
          </w:pPr>
        </w:p>
        <w:p>
          <w:pPr>
            <w:suppressAutoHyphens/>
            <w:ind w:firstLine="567"/>
            <w:jc w:val="center"/>
            <w:rPr>
              <w:i/>
              <w:iCs/>
              <w:color w:val="000000"/>
              <w:szCs w:val="24"/>
            </w:rPr>
          </w:pPr>
          <w:r>
            <w:rPr>
              <w:b/>
              <w:bCs/>
              <w:color w:val="000000"/>
              <w:szCs w:val="24"/>
            </w:rPr>
            <w:t>APDOROTŲ PELENŲ IR ŠLAKO ATLIEKŲ PANAUDOJIMO STATINIŲ STATYBOJE PLANAS Nr</w:t>
          </w:r>
          <w:r>
            <w:rPr>
              <w:i/>
              <w:iCs/>
              <w:color w:val="000000"/>
              <w:szCs w:val="24"/>
            </w:rPr>
            <w:t>.________</w:t>
          </w:r>
        </w:p>
        <w:p>
          <w:pPr>
            <w:suppressAutoHyphens/>
            <w:ind w:firstLine="567"/>
            <w:jc w:val="both"/>
            <w:rPr>
              <w:color w:val="000000"/>
              <w:szCs w:val="24"/>
            </w:rPr>
          </w:pPr>
        </w:p>
        <w:p>
          <w:pPr>
            <w:suppressAutoHyphens/>
            <w:ind w:firstLine="567"/>
            <w:jc w:val="both"/>
            <w:rPr>
              <w:color w:val="000000"/>
              <w:szCs w:val="24"/>
            </w:rPr>
          </w:pPr>
          <w:r>
            <w:rPr>
              <w:color w:val="000000"/>
              <w:szCs w:val="24"/>
            </w:rPr>
            <w:t>______________________________________________________________________</w:t>
          </w:r>
        </w:p>
        <w:p>
          <w:pPr>
            <w:suppressAutoHyphens/>
            <w:ind w:firstLine="620"/>
            <w:jc w:val="center"/>
            <w:rPr>
              <w:color w:val="000000"/>
              <w:szCs w:val="24"/>
            </w:rPr>
          </w:pPr>
          <w:r>
            <w:rPr>
              <w:color w:val="000000"/>
              <w:szCs w:val="24"/>
            </w:rPr>
            <w:t>(Įmonės, numatančios pelenų ir šlako atliekų panaudojimą, (toliau – atliekų naudotojas) pavadinimas, įmonės kodas, buveinės adresas)</w:t>
          </w:r>
        </w:p>
        <w:p>
          <w:pPr>
            <w:suppressAutoHyphens/>
            <w:ind w:firstLine="567"/>
            <w:jc w:val="both"/>
            <w:rPr>
              <w:i/>
              <w:iCs/>
              <w:color w:val="000000"/>
              <w:szCs w:val="24"/>
            </w:rPr>
          </w:pPr>
        </w:p>
        <w:p>
          <w:pPr>
            <w:suppressAutoHyphens/>
            <w:ind w:firstLine="567"/>
            <w:jc w:val="both"/>
            <w:rPr>
              <w:color w:val="000000"/>
              <w:szCs w:val="24"/>
            </w:rPr>
          </w:pPr>
          <w:r>
            <w:rPr>
              <w:color w:val="000000"/>
              <w:szCs w:val="24"/>
            </w:rPr>
            <w:t>___________________________________________________________________________</w:t>
          </w:r>
        </w:p>
        <w:p>
          <w:pPr>
            <w:suppressAutoHyphens/>
            <w:ind w:firstLine="567"/>
            <w:jc w:val="center"/>
            <w:rPr>
              <w:color w:val="000000"/>
              <w:szCs w:val="24"/>
            </w:rPr>
          </w:pPr>
          <w:r>
            <w:rPr>
              <w:color w:val="000000"/>
              <w:szCs w:val="24"/>
            </w:rPr>
            <w:t xml:space="preserve">(Atliekų naudotojo kontaktinio asmens duomenys, telefono,  el. pašto adresas)</w:t>
          </w:r>
        </w:p>
        <w:p>
          <w:pPr>
            <w:suppressAutoHyphens/>
            <w:ind w:firstLine="567"/>
            <w:jc w:val="both"/>
            <w:rPr>
              <w:color w:val="000000"/>
              <w:szCs w:val="24"/>
            </w:rPr>
          </w:pPr>
        </w:p>
        <w:p>
          <w:pPr>
            <w:suppressAutoHyphens/>
            <w:ind w:firstLine="567"/>
            <w:jc w:val="both"/>
            <w:rPr>
              <w:color w:val="000000"/>
              <w:szCs w:val="24"/>
            </w:rPr>
          </w:pPr>
        </w:p>
        <w:p>
          <w:pPr>
            <w:suppressAutoHyphens/>
            <w:ind w:firstLine="567"/>
            <w:jc w:val="both"/>
            <w:rPr>
              <w:color w:val="000000"/>
              <w:szCs w:val="24"/>
            </w:rPr>
          </w:pPr>
          <w:r>
            <w:rPr>
              <w:color w:val="000000"/>
              <w:szCs w:val="24"/>
            </w:rPr>
            <w:t>Galioja iki ...............m.....................................d.</w:t>
          </w:r>
        </w:p>
        <w:p>
          <w:pPr>
            <w:suppressAutoHyphens/>
            <w:ind w:firstLine="2058"/>
            <w:jc w:val="both"/>
            <w:rPr>
              <w:color w:val="000000"/>
              <w:szCs w:val="24"/>
            </w:rPr>
          </w:pPr>
          <w:r>
            <w:rPr>
              <w:color w:val="000000"/>
              <w:szCs w:val="24"/>
            </w:rPr>
            <w:t>(Pildo pelenų ir šlako naudotojas)</w:t>
          </w:r>
        </w:p>
        <w:p>
          <w:pPr>
            <w:suppressAutoHyphens/>
            <w:ind w:firstLine="567"/>
            <w:jc w:val="both"/>
            <w:rPr>
              <w:color w:val="000000"/>
              <w:szCs w:val="24"/>
            </w:rPr>
          </w:pPr>
        </w:p>
        <w:sdt>
          <w:sdtPr>
            <w:alias w:val="lentele"/>
            <w:tag w:val="part_d791ed1317394424a39f2ce0b23fd4a5"/>
            <w:lock w:val="sdtLocked"/>
            <w:richText/>
          </w:sdtPr>
          <w:sdtContent>
            <w:p>
              <w:pPr>
                <w:suppressAutoHyphens/>
                <w:ind w:firstLine="567"/>
                <w:rPr>
                  <w:b/>
                  <w:color w:val="000000"/>
                  <w:szCs w:val="24"/>
                </w:rPr>
              </w:pPr>
              <w:sdt>
                <w:sdtPr>
                  <w:alias w:val="Pavadinimas"/>
                  <w:tag w:val="title_d791ed1317394424a39f2ce0b23fd4a5"/>
                  <w:lock w:val="sdtLocked"/>
                  <w:richText/>
                </w:sdtPr>
                <w:sdtContent>
                  <w:r>
                    <w:rPr>
                      <w:b/>
                      <w:color w:val="000000"/>
                      <w:szCs w:val="24"/>
                    </w:rPr>
                    <w:t>1 lentelė. Pelenų ir šlako atliekų apdorojimą vykdžiusių įmonių duomenys</w:t>
                  </w:r>
                </w:sdtContent>
              </w:sdt>
            </w:p>
            <w:tbl>
              <w:tblPr>
                <w:tblW w:w="9639" w:type="dxa"/>
                <w:tblInd w:w="108" w:type="dxa"/>
                <w:tblLayout w:type="fixed"/>
                <w:tblCellMar>
                  <w:left w:w="0" w:type="dxa"/>
                  <w:right w:w="0" w:type="dxa"/>
                </w:tblCellMar>
                <w:tblLook w:val="04A0" w:firstRow="1" w:lastRow="0" w:firstColumn="1" w:lastColumn="0" w:noHBand="0" w:noVBand="1"/>
              </w:tblPr>
              <w:tblGrid>
                <w:gridCol w:w="709"/>
                <w:gridCol w:w="4536"/>
                <w:gridCol w:w="4394"/>
              </w:tblGrid>
              <w:tr>
                <w:trPr>
                  <w:trHeight w:val="1050"/>
                </w:trPr>
                <w:tc>
                  <w:tcPr>
                    <w:tcW w:w="709" w:type="dxa"/>
                    <w:tcBorders>
                      <w:top w:val="single" w:sz="4" w:space="0" w:color="000000"/>
                      <w:left w:val="single" w:sz="4" w:space="0" w:color="000000"/>
                      <w:bottom w:val="single" w:sz="4" w:space="0" w:color="000000"/>
                      <w:right w:val="single" w:sz="4" w:space="0" w:color="000000"/>
                    </w:tcBorders>
                    <w:shd w:val="clear" w:color="auto" w:fill="FFFFFF"/>
                    <w:tcMar>
                      <w:top w:w="57" w:type="dxa"/>
                      <w:left w:w="108" w:type="dxa"/>
                      <w:bottom w:w="57" w:type="dxa"/>
                      <w:right w:w="108" w:type="dxa"/>
                    </w:tcMar>
                  </w:tcPr>
                  <w:p>
                    <w:pPr>
                      <w:suppressAutoHyphens/>
                      <w:jc w:val="center"/>
                      <w:rPr>
                        <w:color w:val="000000"/>
                        <w:szCs w:val="24"/>
                      </w:rPr>
                    </w:pPr>
                    <w:r>
                      <w:rPr>
                        <w:color w:val="000000"/>
                        <w:szCs w:val="24"/>
                      </w:rPr>
                      <w:t>Eilės Nr.</w:t>
                    </w:r>
                  </w:p>
                  <w:p>
                    <w:pPr>
                      <w:suppressAutoHyphens/>
                      <w:ind w:firstLine="567"/>
                      <w:jc w:val="center"/>
                      <w:rPr>
                        <w:color w:val="000000"/>
                        <w:szCs w:val="24"/>
                      </w:rPr>
                    </w:pPr>
                  </w:p>
                </w:tc>
                <w:tc>
                  <w:tcPr>
                    <w:tcW w:w="453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rPr>
                    </w:pPr>
                    <w:r>
                      <w:rPr>
                        <w:color w:val="000000"/>
                        <w:szCs w:val="24"/>
                      </w:rPr>
                      <w:t>Pelenų ir šlakų atliekų apdorojimą vykdžiusios įmonės (toliau – atliekų tvarkytojas) pavadinimas, įmonės kodas, veiklavietės adresas</w:t>
                    </w:r>
                  </w:p>
                </w:tc>
                <w:tc>
                  <w:tcPr>
                    <w:tcW w:w="439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jc w:val="center"/>
                      <w:rPr>
                        <w:color w:val="000000"/>
                        <w:szCs w:val="24"/>
                      </w:rPr>
                    </w:pPr>
                    <w:r>
                      <w:rPr>
                        <w:color w:val="000000"/>
                        <w:szCs w:val="24"/>
                      </w:rPr>
                      <w:t xml:space="preserve">Atliekų tvarkytojo  ir atliekų naudotojo sutarties dėl pagal šį planą numatomų panaudoti pelenų ir šlako įsigijimo data ir numeris</w:t>
                    </w:r>
                  </w:p>
                  <w:p>
                    <w:pPr>
                      <w:suppressAutoHyphens/>
                      <w:jc w:val="center"/>
                      <w:rPr>
                        <w:color w:val="000000"/>
                        <w:szCs w:val="24"/>
                      </w:rPr>
                    </w:pPr>
                  </w:p>
                </w:tc>
              </w:tr>
              <w:tr>
                <w:trPr>
                  <w:trHeight w:val="252"/>
                </w:trPr>
                <w:tc>
                  <w:tcPr>
                    <w:tcW w:w="70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rPr>
                    </w:pPr>
                    <w:r>
                      <w:rPr>
                        <w:color w:val="000000"/>
                        <w:szCs w:val="24"/>
                      </w:rPr>
                      <w:t>1.</w:t>
                    </w:r>
                  </w:p>
                </w:tc>
                <w:tc>
                  <w:tcPr>
                    <w:tcW w:w="453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439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r>
              <w:tr>
                <w:trPr>
                  <w:trHeight w:val="252"/>
                </w:trPr>
                <w:tc>
                  <w:tcPr>
                    <w:tcW w:w="70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rPr>
                    </w:pPr>
                    <w:r>
                      <w:rPr>
                        <w:color w:val="000000"/>
                        <w:szCs w:val="24"/>
                      </w:rPr>
                      <w:t>2.</w:t>
                    </w:r>
                  </w:p>
                </w:tc>
                <w:tc>
                  <w:tcPr>
                    <w:tcW w:w="453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439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r>
              <w:tr>
                <w:trPr>
                  <w:trHeight w:val="252"/>
                </w:trPr>
                <w:tc>
                  <w:tcPr>
                    <w:tcW w:w="70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rPr>
                    </w:pPr>
                    <w:r>
                      <w:rPr>
                        <w:color w:val="000000"/>
                        <w:szCs w:val="24"/>
                      </w:rPr>
                      <w:t>3.</w:t>
                    </w:r>
                  </w:p>
                </w:tc>
                <w:tc>
                  <w:tcPr>
                    <w:tcW w:w="453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439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r>
              <w:tr>
                <w:trPr>
                  <w:trHeight w:val="252"/>
                </w:trPr>
                <w:tc>
                  <w:tcPr>
                    <w:tcW w:w="70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rPr>
                    </w:pPr>
                    <w:r>
                      <w:rPr>
                        <w:color w:val="000000"/>
                        <w:szCs w:val="24"/>
                      </w:rPr>
                      <w:t>4.</w:t>
                    </w:r>
                  </w:p>
                </w:tc>
                <w:tc>
                  <w:tcPr>
                    <w:tcW w:w="453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439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r>
            </w:tbl>
            <w:p>
              <w:pPr>
                <w:keepLines/>
                <w:suppressAutoHyphens/>
                <w:ind w:firstLine="567"/>
                <w:jc w:val="center"/>
                <w:rPr>
                  <w:b/>
                  <w:bCs/>
                  <w:color w:val="000000"/>
                  <w:szCs w:val="24"/>
                </w:rPr>
              </w:pPr>
            </w:p>
          </w:sdtContent>
        </w:sdt>
        <w:sdt>
          <w:sdtPr>
            <w:alias w:val="lentele"/>
            <w:tag w:val="part_2e958c05bb554a24a8d064684aa63d78"/>
            <w:lock w:val="sdtLocked"/>
            <w:richText/>
          </w:sdtPr>
          <w:sdtContent>
            <w:p>
              <w:pPr>
                <w:suppressAutoHyphens/>
                <w:ind w:firstLine="567"/>
                <w:jc w:val="both"/>
                <w:rPr>
                  <w:b/>
                  <w:bCs/>
                  <w:caps/>
                  <w:color w:val="000000"/>
                  <w:szCs w:val="24"/>
                </w:rPr>
              </w:pPr>
              <w:sdt>
                <w:sdtPr>
                  <w:alias w:val="Pavadinimas"/>
                  <w:tag w:val="title_2e958c05bb554a24a8d064684aa63d78"/>
                  <w:lock w:val="sdtLocked"/>
                  <w:richText/>
                </w:sdtPr>
                <w:sdtContent>
                  <w:r>
                    <w:rPr>
                      <w:b/>
                      <w:color w:val="000000"/>
                      <w:szCs w:val="24"/>
                    </w:rPr>
                    <w:t>2 lentelė. Informacija apie apdorotų pelenų ir šlako atliekų (toliau – pelenai ir šlakas) panaudojimą</w:t>
                  </w:r>
                </w:sdtContent>
              </w:sdt>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1"/>
                <w:gridCol w:w="4353"/>
                <w:gridCol w:w="4245"/>
              </w:tblGrid>
              <w:tr>
                <w:tc>
                  <w:tcPr>
                    <w:tcW w:w="730" w:type="dxa"/>
                    <w:vAlign w:val="center"/>
                  </w:tcPr>
                  <w:p>
                    <w:pPr>
                      <w:keepLines/>
                      <w:widowControl w:val="0"/>
                      <w:suppressAutoHyphens/>
                      <w:ind w:left="862" w:hanging="720"/>
                      <w:rPr>
                        <w:bCs/>
                        <w:caps/>
                        <w:color w:val="000000"/>
                        <w:sz w:val="22"/>
                        <w:szCs w:val="24"/>
                        <w:lang w:val="en-US"/>
                      </w:rPr>
                    </w:pPr>
                    <w:r>
                      <w:rPr>
                        <w:bCs/>
                        <w:caps/>
                        <w:color w:val="000000"/>
                        <w:szCs w:val="24"/>
                        <w:lang w:val="en-US"/>
                      </w:rPr>
                      <w:t>1.</w:t>
                      <w:tab/>
                    </w:r>
                  </w:p>
                </w:tc>
                <w:tc>
                  <w:tcPr>
                    <w:tcW w:w="4473" w:type="dxa"/>
                  </w:tcPr>
                  <w:p>
                    <w:pPr>
                      <w:keepLines/>
                      <w:widowControl w:val="0"/>
                      <w:suppressAutoHyphens/>
                      <w:rPr>
                        <w:b/>
                        <w:bCs/>
                        <w:caps/>
                        <w:color w:val="000000"/>
                        <w:sz w:val="22"/>
                        <w:szCs w:val="24"/>
                      </w:rPr>
                    </w:pPr>
                    <w:r>
                      <w:rPr>
                        <w:szCs w:val="24"/>
                      </w:rPr>
                      <w:t xml:space="preserve">Pelenų ir šlako numatomo  tiesioginio panaudojimo paskirtis </w:t>
                    </w:r>
                  </w:p>
                </w:tc>
                <w:tc>
                  <w:tcPr>
                    <w:tcW w:w="4436" w:type="dxa"/>
                  </w:tcPr>
                  <w:p>
                    <w:pPr>
                      <w:keepLines/>
                      <w:widowControl w:val="0"/>
                      <w:suppressAutoHyphens/>
                      <w:rPr>
                        <w:b/>
                        <w:bCs/>
                        <w:caps/>
                        <w:color w:val="000000"/>
                        <w:sz w:val="22"/>
                        <w:szCs w:val="24"/>
                        <w:lang w:val="en-US"/>
                      </w:rPr>
                    </w:pPr>
                  </w:p>
                </w:tc>
              </w:tr>
              <w:tr>
                <w:tc>
                  <w:tcPr>
                    <w:tcW w:w="730" w:type="dxa"/>
                    <w:vAlign w:val="center"/>
                  </w:tcPr>
                  <w:p>
                    <w:pPr>
                      <w:keepLines/>
                      <w:widowControl w:val="0"/>
                      <w:suppressAutoHyphens/>
                      <w:ind w:left="862" w:hanging="720"/>
                      <w:rPr>
                        <w:bCs/>
                        <w:caps/>
                        <w:color w:val="000000"/>
                        <w:sz w:val="22"/>
                        <w:szCs w:val="24"/>
                        <w:lang w:val="en-US"/>
                      </w:rPr>
                    </w:pPr>
                    <w:r>
                      <w:rPr>
                        <w:bCs/>
                        <w:caps/>
                        <w:color w:val="000000"/>
                        <w:szCs w:val="24"/>
                        <w:lang w:val="en-US"/>
                      </w:rPr>
                      <w:t>2.</w:t>
                      <w:tab/>
                    </w:r>
                  </w:p>
                </w:tc>
                <w:tc>
                  <w:tcPr>
                    <w:tcW w:w="4473" w:type="dxa"/>
                  </w:tcPr>
                  <w:p>
                    <w:pPr>
                      <w:keepLines/>
                      <w:widowControl w:val="0"/>
                      <w:suppressAutoHyphens/>
                      <w:rPr>
                        <w:szCs w:val="24"/>
                      </w:rPr>
                    </w:pPr>
                    <w:r>
                      <w:rPr>
                        <w:szCs w:val="24"/>
                      </w:rPr>
                      <w:t>Numatomas panaudoti pelenų ir šlako kiekis (tonomis)</w:t>
                    </w:r>
                  </w:p>
                </w:tc>
                <w:tc>
                  <w:tcPr>
                    <w:tcW w:w="4436" w:type="dxa"/>
                  </w:tcPr>
                  <w:p>
                    <w:pPr>
                      <w:keepLines/>
                      <w:widowControl w:val="0"/>
                      <w:suppressAutoHyphens/>
                      <w:rPr>
                        <w:b/>
                        <w:bCs/>
                        <w:caps/>
                        <w:color w:val="000000"/>
                        <w:sz w:val="22"/>
                        <w:szCs w:val="24"/>
                        <w:lang w:val="en-US"/>
                      </w:rPr>
                    </w:pPr>
                  </w:p>
                </w:tc>
              </w:tr>
              <w:tr>
                <w:tc>
                  <w:tcPr>
                    <w:tcW w:w="730" w:type="dxa"/>
                    <w:vAlign w:val="center"/>
                  </w:tcPr>
                  <w:p>
                    <w:pPr>
                      <w:keepLines/>
                      <w:widowControl w:val="0"/>
                      <w:suppressAutoHyphens/>
                      <w:ind w:left="862" w:hanging="720"/>
                      <w:rPr>
                        <w:bCs/>
                        <w:caps/>
                        <w:color w:val="000000"/>
                        <w:sz w:val="22"/>
                        <w:szCs w:val="24"/>
                        <w:lang w:val="en-US"/>
                      </w:rPr>
                    </w:pPr>
                    <w:r>
                      <w:rPr>
                        <w:bCs/>
                        <w:caps/>
                        <w:color w:val="000000"/>
                        <w:szCs w:val="24"/>
                        <w:lang w:val="en-US"/>
                      </w:rPr>
                      <w:t>3.</w:t>
                      <w:tab/>
                    </w:r>
                  </w:p>
                </w:tc>
                <w:tc>
                  <w:tcPr>
                    <w:tcW w:w="4473" w:type="dxa"/>
                  </w:tcPr>
                  <w:p>
                    <w:pPr>
                      <w:keepLines/>
                      <w:widowControl w:val="0"/>
                      <w:suppressAutoHyphens/>
                      <w:rPr>
                        <w:sz w:val="22"/>
                        <w:szCs w:val="24"/>
                        <w:lang w:val="en-US"/>
                      </w:rPr>
                    </w:pPr>
                    <w:r>
                      <w:rPr>
                        <w:szCs w:val="24"/>
                      </w:rPr>
                      <w:t xml:space="preserve">Statinio, kurio statyboje numatoma vykdyti pelenų ir šlako panaudojimą,  aprašymas:</w:t>
                    </w:r>
                  </w:p>
                </w:tc>
                <w:tc>
                  <w:tcPr>
                    <w:tcW w:w="4436" w:type="dxa"/>
                  </w:tcPr>
                  <w:p>
                    <w:pPr>
                      <w:keepLines/>
                      <w:widowControl w:val="0"/>
                      <w:suppressAutoHyphens/>
                      <w:rPr>
                        <w:b/>
                        <w:bCs/>
                        <w:caps/>
                        <w:color w:val="000000"/>
                        <w:sz w:val="22"/>
                        <w:szCs w:val="24"/>
                        <w:lang w:val="en-US"/>
                      </w:rPr>
                    </w:pPr>
                  </w:p>
                </w:tc>
              </w:tr>
              <w:tr>
                <w:tc>
                  <w:tcPr>
                    <w:tcW w:w="730" w:type="dxa"/>
                    <w:vAlign w:val="center"/>
                  </w:tcPr>
                  <w:p>
                    <w:pPr>
                      <w:keepLines/>
                      <w:widowControl w:val="0"/>
                      <w:suppressAutoHyphens/>
                      <w:ind w:left="34"/>
                      <w:rPr>
                        <w:bCs/>
                        <w:caps/>
                        <w:color w:val="000000"/>
                        <w:szCs w:val="24"/>
                        <w:lang w:val="en-US"/>
                      </w:rPr>
                    </w:pPr>
                    <w:r>
                      <w:rPr>
                        <w:bCs/>
                        <w:caps/>
                        <w:color w:val="000000"/>
                        <w:szCs w:val="24"/>
                        <w:lang w:val="en-US"/>
                      </w:rPr>
                      <w:t>3.1.</w:t>
                    </w:r>
                  </w:p>
                </w:tc>
                <w:tc>
                  <w:tcPr>
                    <w:tcW w:w="4473" w:type="dxa"/>
                  </w:tcPr>
                  <w:p>
                    <w:pPr>
                      <w:keepLines/>
                      <w:widowControl w:val="0"/>
                      <w:suppressAutoHyphens/>
                      <w:rPr>
                        <w:b/>
                        <w:bCs/>
                        <w:caps/>
                        <w:color w:val="000000"/>
                        <w:sz w:val="22"/>
                        <w:szCs w:val="24"/>
                      </w:rPr>
                    </w:pPr>
                    <w:r>
                      <w:rPr>
                        <w:szCs w:val="24"/>
                      </w:rPr>
                      <w:t>vietovės(-ių), kurioje yra statinys pavadinimas (miestas, rajonas, seniūnija)</w:t>
                    </w:r>
                  </w:p>
                </w:tc>
                <w:tc>
                  <w:tcPr>
                    <w:tcW w:w="4436" w:type="dxa"/>
                  </w:tcPr>
                  <w:p>
                    <w:pPr>
                      <w:keepLines/>
                      <w:widowControl w:val="0"/>
                      <w:suppressAutoHyphens/>
                      <w:rPr>
                        <w:b/>
                        <w:bCs/>
                        <w:caps/>
                        <w:color w:val="000000"/>
                        <w:sz w:val="22"/>
                        <w:szCs w:val="24"/>
                        <w:lang w:val="en-US"/>
                      </w:rPr>
                    </w:pPr>
                  </w:p>
                </w:tc>
              </w:tr>
              <w:tr>
                <w:tc>
                  <w:tcPr>
                    <w:tcW w:w="730" w:type="dxa"/>
                    <w:vAlign w:val="center"/>
                  </w:tcPr>
                  <w:p>
                    <w:pPr>
                      <w:keepLines/>
                      <w:widowControl w:val="0"/>
                      <w:suppressAutoHyphens/>
                      <w:ind w:left="34"/>
                      <w:rPr>
                        <w:bCs/>
                        <w:caps/>
                        <w:color w:val="000000"/>
                        <w:szCs w:val="24"/>
                        <w:lang w:val="en-US"/>
                      </w:rPr>
                    </w:pPr>
                    <w:r>
                      <w:rPr>
                        <w:bCs/>
                        <w:caps/>
                        <w:color w:val="000000"/>
                        <w:szCs w:val="24"/>
                        <w:lang w:val="en-US"/>
                      </w:rPr>
                      <w:t>3.2.</w:t>
                    </w:r>
                  </w:p>
                </w:tc>
                <w:tc>
                  <w:tcPr>
                    <w:tcW w:w="4473" w:type="dxa"/>
                  </w:tcPr>
                  <w:p>
                    <w:pPr>
                      <w:keepLines/>
                      <w:widowControl w:val="0"/>
                      <w:suppressAutoHyphens/>
                      <w:rPr>
                        <w:szCs w:val="24"/>
                      </w:rPr>
                    </w:pPr>
                    <w:r>
                      <w:rPr>
                        <w:szCs w:val="24"/>
                      </w:rPr>
                      <w:t>sklypo (-ų) kadastrinis numeris</w:t>
                    </w:r>
                  </w:p>
                </w:tc>
                <w:tc>
                  <w:tcPr>
                    <w:tcW w:w="4436" w:type="dxa"/>
                  </w:tcPr>
                  <w:p>
                    <w:pPr>
                      <w:keepLines/>
                      <w:widowControl w:val="0"/>
                      <w:suppressAutoHyphens/>
                      <w:rPr>
                        <w:b/>
                        <w:bCs/>
                        <w:caps/>
                        <w:color w:val="000000"/>
                        <w:sz w:val="22"/>
                        <w:szCs w:val="24"/>
                        <w:lang w:val="en-US"/>
                      </w:rPr>
                    </w:pPr>
                  </w:p>
                </w:tc>
              </w:tr>
              <w:tr>
                <w:tc>
                  <w:tcPr>
                    <w:tcW w:w="730" w:type="dxa"/>
                    <w:vAlign w:val="center"/>
                  </w:tcPr>
                  <w:p>
                    <w:pPr>
                      <w:keepLines/>
                      <w:widowControl w:val="0"/>
                      <w:suppressAutoHyphens/>
                      <w:ind w:left="34"/>
                      <w:rPr>
                        <w:bCs/>
                        <w:caps/>
                        <w:color w:val="000000"/>
                        <w:szCs w:val="24"/>
                        <w:lang w:val="en-US"/>
                      </w:rPr>
                    </w:pPr>
                    <w:r>
                      <w:rPr>
                        <w:bCs/>
                        <w:caps/>
                        <w:color w:val="000000"/>
                        <w:szCs w:val="24"/>
                        <w:lang w:val="en-US"/>
                      </w:rPr>
                      <w:t>3.3.</w:t>
                    </w:r>
                  </w:p>
                </w:tc>
                <w:tc>
                  <w:tcPr>
                    <w:tcW w:w="4473" w:type="dxa"/>
                  </w:tcPr>
                  <w:p>
                    <w:pPr>
                      <w:keepLines/>
                      <w:widowControl w:val="0"/>
                      <w:suppressAutoHyphens/>
                      <w:rPr>
                        <w:sz w:val="22"/>
                        <w:szCs w:val="24"/>
                        <w:lang w:val="en-US"/>
                      </w:rPr>
                    </w:pPr>
                    <w:r>
                      <w:rPr>
                        <w:szCs w:val="24"/>
                      </w:rPr>
                      <w:t>teritorijos (-ų) plotas</w:t>
                    </w:r>
                  </w:p>
                </w:tc>
                <w:tc>
                  <w:tcPr>
                    <w:tcW w:w="4436" w:type="dxa"/>
                  </w:tcPr>
                  <w:p>
                    <w:pPr>
                      <w:keepLines/>
                      <w:widowControl w:val="0"/>
                      <w:suppressAutoHyphens/>
                      <w:rPr>
                        <w:b/>
                        <w:bCs/>
                        <w:caps/>
                        <w:color w:val="000000"/>
                        <w:sz w:val="22"/>
                        <w:szCs w:val="24"/>
                        <w:lang w:val="en-US"/>
                      </w:rPr>
                    </w:pPr>
                  </w:p>
                </w:tc>
              </w:tr>
              <w:tr>
                <w:tc>
                  <w:tcPr>
                    <w:tcW w:w="730" w:type="dxa"/>
                    <w:vAlign w:val="center"/>
                  </w:tcPr>
                  <w:p>
                    <w:pPr>
                      <w:keepLines/>
                      <w:widowControl w:val="0"/>
                      <w:suppressAutoHyphens/>
                      <w:ind w:left="34" w:hanging="720"/>
                      <w:rPr>
                        <w:bCs/>
                        <w:caps/>
                        <w:color w:val="000000"/>
                        <w:sz w:val="22"/>
                        <w:szCs w:val="24"/>
                        <w:lang w:val="en-US"/>
                      </w:rPr>
                    </w:pPr>
                    <w:r>
                      <w:rPr>
                        <w:bCs/>
                        <w:caps/>
                        <w:color w:val="000000"/>
                        <w:szCs w:val="24"/>
                        <w:lang w:val="en-US"/>
                      </w:rPr>
                      <w:t>4.</w:t>
                      <w:tab/>
                    </w:r>
                    <w:r>
                      <w:rPr>
                        <w:bCs/>
                        <w:caps/>
                        <w:color w:val="000000"/>
                        <w:sz w:val="22"/>
                        <w:szCs w:val="24"/>
                        <w:lang w:val="en-US"/>
                      </w:rPr>
                      <w:t xml:space="preserve"> 4.</w:t>
                    </w:r>
                  </w:p>
                </w:tc>
                <w:tc>
                  <w:tcPr>
                    <w:tcW w:w="4473" w:type="dxa"/>
                  </w:tcPr>
                  <w:p>
                    <w:pPr>
                      <w:keepLines/>
                      <w:widowControl w:val="0"/>
                      <w:suppressAutoHyphens/>
                      <w:rPr>
                        <w:sz w:val="22"/>
                        <w:szCs w:val="24"/>
                        <w:lang w:val="en-US"/>
                      </w:rPr>
                    </w:pPr>
                    <w:r>
                      <w:rPr>
                        <w:szCs w:val="24"/>
                      </w:rPr>
                      <w:t>Informacija apie statinio projektą</w:t>
                    </w:r>
                    <w:r>
                      <w:rPr>
                        <w:bCs/>
                        <w:color w:val="000000"/>
                        <w:szCs w:val="24"/>
                      </w:rPr>
                      <w:t xml:space="preserve"> (nurodyti ar pelenų ir šlako panaudojimas </w:t>
                    </w:r>
                    <w:r>
                      <w:rPr>
                        <w:bCs/>
                        <w:szCs w:val="24"/>
                      </w:rPr>
                      <w:t>numatytas statinio projekte)</w:t>
                    </w:r>
                  </w:p>
                </w:tc>
                <w:tc>
                  <w:tcPr>
                    <w:tcW w:w="4436" w:type="dxa"/>
                  </w:tcPr>
                  <w:p>
                    <w:pPr>
                      <w:keepLines/>
                      <w:widowControl w:val="0"/>
                      <w:suppressAutoHyphens/>
                      <w:rPr>
                        <w:b/>
                        <w:bCs/>
                        <w:caps/>
                        <w:color w:val="000000"/>
                        <w:sz w:val="22"/>
                        <w:szCs w:val="24"/>
                        <w:lang w:val="en-US"/>
                      </w:rPr>
                    </w:pPr>
                  </w:p>
                </w:tc>
              </w:tr>
              <w:tr>
                <w:tc>
                  <w:tcPr>
                    <w:tcW w:w="730" w:type="dxa"/>
                    <w:vAlign w:val="center"/>
                  </w:tcPr>
                  <w:p>
                    <w:pPr>
                      <w:keepLines/>
                      <w:widowControl w:val="0"/>
                      <w:suppressAutoHyphens/>
                      <w:ind w:left="34" w:hanging="720"/>
                      <w:rPr>
                        <w:bCs/>
                        <w:caps/>
                        <w:color w:val="000000"/>
                        <w:sz w:val="22"/>
                        <w:szCs w:val="24"/>
                        <w:lang w:val="en-US"/>
                      </w:rPr>
                    </w:pPr>
                    <w:r>
                      <w:rPr>
                        <w:bCs/>
                        <w:caps/>
                        <w:color w:val="000000"/>
                        <w:szCs w:val="24"/>
                        <w:lang w:val="en-US"/>
                      </w:rPr>
                      <w:t>5.</w:t>
                      <w:tab/>
                    </w:r>
                    <w:r>
                      <w:rPr>
                        <w:bCs/>
                        <w:caps/>
                        <w:color w:val="000000"/>
                        <w:sz w:val="22"/>
                        <w:szCs w:val="24"/>
                        <w:lang w:val="en-US"/>
                      </w:rPr>
                      <w:t>5.</w:t>
                    </w:r>
                  </w:p>
                </w:tc>
                <w:tc>
                  <w:tcPr>
                    <w:tcW w:w="4473" w:type="dxa"/>
                  </w:tcPr>
                  <w:p>
                    <w:pPr>
                      <w:keepLines/>
                      <w:widowControl w:val="0"/>
                      <w:suppressAutoHyphens/>
                      <w:rPr>
                        <w:sz w:val="22"/>
                        <w:szCs w:val="24"/>
                        <w:lang w:val="en-US"/>
                      </w:rPr>
                    </w:pPr>
                    <w:r>
                      <w:rPr>
                        <w:szCs w:val="24"/>
                      </w:rPr>
                      <w:t xml:space="preserve">Informacija apie atitiktį reikalavimams, nustatytiems </w:t>
                    </w:r>
                    <w:r>
                      <w:rPr>
                        <w:bCs/>
                        <w:szCs w:val="24"/>
                      </w:rPr>
                      <w:t xml:space="preserve">techniniuose normatyviniuose statinio saugos ir paskirties dokumentuose, normatyviniuose techniniuose dokumentuose nustatytus statinio projektavimo, statybos, statinio naudojimo, nugriovimo </w:t>
                    </w:r>
                    <w:r>
                      <w:rPr>
                        <w:szCs w:val="24"/>
                      </w:rPr>
                      <w:t>reikalavimus ir kriterijus</w:t>
                    </w:r>
                  </w:p>
                </w:tc>
                <w:tc>
                  <w:tcPr>
                    <w:tcW w:w="4436" w:type="dxa"/>
                  </w:tcPr>
                  <w:p>
                    <w:pPr>
                      <w:keepLines/>
                      <w:widowControl w:val="0"/>
                      <w:suppressAutoHyphens/>
                      <w:rPr>
                        <w:b/>
                        <w:bCs/>
                        <w:caps/>
                        <w:color w:val="000000"/>
                        <w:sz w:val="22"/>
                        <w:szCs w:val="24"/>
                        <w:lang w:val="en-US"/>
                      </w:rPr>
                    </w:pPr>
                  </w:p>
                </w:tc>
              </w:tr>
              <w:tr>
                <w:tc>
                  <w:tcPr>
                    <w:tcW w:w="730" w:type="dxa"/>
                    <w:vAlign w:val="center"/>
                  </w:tcPr>
                  <w:p>
                    <w:pPr>
                      <w:keepLines/>
                      <w:widowControl w:val="0"/>
                      <w:suppressAutoHyphens/>
                      <w:ind w:left="862" w:hanging="720"/>
                      <w:rPr>
                        <w:bCs/>
                        <w:caps/>
                        <w:color w:val="000000"/>
                        <w:sz w:val="22"/>
                        <w:szCs w:val="24"/>
                        <w:lang w:val="en-US"/>
                      </w:rPr>
                    </w:pPr>
                    <w:r>
                      <w:rPr>
                        <w:bCs/>
                        <w:caps/>
                        <w:color w:val="000000"/>
                        <w:szCs w:val="24"/>
                        <w:lang w:val="en-US"/>
                      </w:rPr>
                      <w:t>6.</w:t>
                      <w:tab/>
                    </w:r>
                  </w:p>
                </w:tc>
                <w:tc>
                  <w:tcPr>
                    <w:tcW w:w="4473" w:type="dxa"/>
                  </w:tcPr>
                  <w:p>
                    <w:pPr>
                      <w:widowControl w:val="0"/>
                      <w:tabs>
                        <w:tab w:val="left" w:pos="450"/>
                      </w:tabs>
                      <w:suppressAutoHyphens/>
                      <w:rPr>
                        <w:sz w:val="22"/>
                        <w:szCs w:val="24"/>
                        <w:lang w:val="en-US"/>
                      </w:rPr>
                    </w:pPr>
                    <w:r>
                      <w:rPr>
                        <w:szCs w:val="24"/>
                      </w:rPr>
                      <w:t>Informacija apie taikomas aplinkosaugos priemones, vadovaujantis Atliekų deginimo įrenginiuose ir bendro atliekų deginimo įrenginiuose susidariusių nepavojingųjų pelenų ir šlako atliekų tvarkymo ir panaudojimo reikalavimais ir kitais teisės aktais, siekiant užtikrinti, kad pelenai ir šlakas nepatektų į požeminius ir (ar) paviršinius vandenis, ir apriboti dulkių susidarymą ir (ar) dulkių sklaidą laikant, kraunat, vežant pelenų ir šlako atliekas</w:t>
                    </w:r>
                  </w:p>
                </w:tc>
                <w:tc>
                  <w:tcPr>
                    <w:tcW w:w="4436" w:type="dxa"/>
                  </w:tcPr>
                  <w:p>
                    <w:pPr>
                      <w:keepLines/>
                      <w:widowControl w:val="0"/>
                      <w:suppressAutoHyphens/>
                      <w:rPr>
                        <w:b/>
                        <w:bCs/>
                        <w:caps/>
                        <w:color w:val="000000"/>
                        <w:sz w:val="22"/>
                        <w:szCs w:val="24"/>
                        <w:lang w:val="en-US"/>
                      </w:rPr>
                    </w:pPr>
                  </w:p>
                </w:tc>
              </w:tr>
              <w:tr>
                <w:tc>
                  <w:tcPr>
                    <w:tcW w:w="730" w:type="dxa"/>
                    <w:vAlign w:val="center"/>
                  </w:tcPr>
                  <w:p>
                    <w:pPr>
                      <w:keepLines/>
                      <w:widowControl w:val="0"/>
                      <w:suppressAutoHyphens/>
                      <w:ind w:left="862" w:hanging="720"/>
                      <w:rPr>
                        <w:bCs/>
                        <w:caps/>
                        <w:color w:val="000000"/>
                        <w:sz w:val="22"/>
                        <w:szCs w:val="24"/>
                        <w:lang w:val="en-US"/>
                      </w:rPr>
                    </w:pPr>
                    <w:r>
                      <w:rPr>
                        <w:bCs/>
                        <w:caps/>
                        <w:color w:val="000000"/>
                        <w:szCs w:val="24"/>
                        <w:lang w:val="en-US"/>
                      </w:rPr>
                      <w:t>7.</w:t>
                      <w:tab/>
                    </w:r>
                  </w:p>
                </w:tc>
                <w:tc>
                  <w:tcPr>
                    <w:tcW w:w="4473" w:type="dxa"/>
                  </w:tcPr>
                  <w:p>
                    <w:pPr>
                      <w:widowControl w:val="0"/>
                      <w:tabs>
                        <w:tab w:val="left" w:pos="450"/>
                      </w:tabs>
                      <w:suppressAutoHyphens/>
                      <w:rPr>
                        <w:sz w:val="22"/>
                        <w:szCs w:val="24"/>
                        <w:lang w:val="en-US"/>
                      </w:rPr>
                    </w:pPr>
                    <w:r>
                      <w:rPr>
                        <w:szCs w:val="24"/>
                      </w:rPr>
                      <w:t>Kita aktuali informacija</w:t>
                    </w:r>
                  </w:p>
                </w:tc>
                <w:tc>
                  <w:tcPr>
                    <w:tcW w:w="4436" w:type="dxa"/>
                  </w:tcPr>
                  <w:p>
                    <w:pPr>
                      <w:keepLines/>
                      <w:widowControl w:val="0"/>
                      <w:suppressAutoHyphens/>
                      <w:rPr>
                        <w:b/>
                        <w:bCs/>
                        <w:caps/>
                        <w:color w:val="000000"/>
                        <w:sz w:val="22"/>
                        <w:szCs w:val="24"/>
                        <w:lang w:val="en-US"/>
                      </w:rPr>
                    </w:pPr>
                  </w:p>
                </w:tc>
              </w:tr>
            </w:tbl>
            <w:p>
              <w:pPr>
                <w:keepLines/>
                <w:suppressAutoHyphens/>
                <w:ind w:left="1571"/>
                <w:rPr>
                  <w:b/>
                  <w:bCs/>
                  <w:caps/>
                  <w:color w:val="000000"/>
                  <w:szCs w:val="24"/>
                </w:rPr>
              </w:pPr>
            </w:p>
          </w:sdtContent>
        </w:sdt>
        <w:sdt>
          <w:sdtPr>
            <w:alias w:val="lentele"/>
            <w:tag w:val="part_22f89cb7452d418094023c1233a8638f"/>
            <w:lock w:val="sdtLocked"/>
            <w:richText/>
          </w:sdtPr>
          <w:sdtContent>
            <w:p>
              <w:pPr>
                <w:suppressAutoHyphens/>
                <w:ind w:firstLine="567"/>
                <w:rPr>
                  <w:b/>
                  <w:color w:val="000000"/>
                  <w:szCs w:val="24"/>
                </w:rPr>
              </w:pPr>
              <w:sdt>
                <w:sdtPr>
                  <w:alias w:val="Pavadinimas"/>
                  <w:tag w:val="title_22f89cb7452d418094023c1233a8638f"/>
                  <w:lock w:val="sdtLocked"/>
                  <w:richText/>
                </w:sdtPr>
                <w:sdtContent>
                  <w:r>
                    <w:rPr>
                      <w:b/>
                      <w:color w:val="000000"/>
                      <w:szCs w:val="24"/>
                    </w:rPr>
                    <w:t>3 lentelė. Pelenų ir šlakų siuntos paėmimo/naudojimo registracija</w:t>
                  </w:r>
                </w:sdtContent>
              </w:sdt>
            </w:p>
            <w:tbl>
              <w:tblPr>
                <w:tblW w:w="9639" w:type="dxa"/>
                <w:tblInd w:w="108" w:type="dxa"/>
                <w:tblLayout w:type="fixed"/>
                <w:tblCellMar>
                  <w:left w:w="0" w:type="dxa"/>
                  <w:right w:w="0" w:type="dxa"/>
                </w:tblCellMar>
                <w:tblLook w:val="04A0" w:firstRow="1" w:lastRow="0" w:firstColumn="1" w:lastColumn="0" w:noHBand="0" w:noVBand="1"/>
              </w:tblPr>
              <w:tblGrid>
                <w:gridCol w:w="708"/>
                <w:gridCol w:w="1277"/>
                <w:gridCol w:w="992"/>
                <w:gridCol w:w="1276"/>
                <w:gridCol w:w="1134"/>
                <w:gridCol w:w="1276"/>
                <w:gridCol w:w="1559"/>
                <w:gridCol w:w="1417"/>
              </w:tblGrid>
              <w:tr>
                <w:trPr>
                  <w:trHeight w:val="1943"/>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jc w:val="center"/>
                      <w:rPr>
                        <w:color w:val="000000"/>
                        <w:szCs w:val="24"/>
                      </w:rPr>
                    </w:pPr>
                    <w:r>
                      <w:rPr>
                        <w:color w:val="000000"/>
                        <w:szCs w:val="24"/>
                      </w:rPr>
                      <w:t>Eilės Nr.</w:t>
                    </w:r>
                  </w:p>
                  <w:p>
                    <w:pPr>
                      <w:suppressAutoHyphens/>
                      <w:jc w:val="center"/>
                      <w:rPr>
                        <w:color w:val="000000"/>
                        <w:szCs w:val="24"/>
                      </w:rPr>
                    </w:pPr>
                  </w:p>
                </w:tc>
                <w:tc>
                  <w:tcPr>
                    <w:tcW w:w="1277" w:type="dxa"/>
                    <w:tcBorders>
                      <w:top w:val="single" w:sz="4" w:space="0" w:color="000000"/>
                      <w:left w:val="single" w:sz="4" w:space="0" w:color="000000"/>
                      <w:bottom w:val="single" w:sz="4" w:space="0" w:color="000000"/>
                      <w:right w:val="single" w:sz="4" w:space="0" w:color="000000"/>
                    </w:tcBorders>
                  </w:tcPr>
                  <w:p>
                    <w:pPr>
                      <w:suppressAutoHyphens/>
                      <w:jc w:val="center"/>
                      <w:rPr>
                        <w:color w:val="000000"/>
                        <w:szCs w:val="24"/>
                      </w:rPr>
                    </w:pPr>
                    <w:r>
                      <w:rPr>
                        <w:color w:val="000000"/>
                        <w:szCs w:val="24"/>
                      </w:rPr>
                      <w:t>Pelenų ir šlako siuntos įsigijimo data,</w:t>
                    </w:r>
                  </w:p>
                  <w:p>
                    <w:pPr>
                      <w:suppressAutoHyphens/>
                      <w:jc w:val="center"/>
                      <w:rPr>
                        <w:color w:val="000000"/>
                        <w:szCs w:val="24"/>
                      </w:rPr>
                    </w:pPr>
                    <w:r>
                      <w:rPr>
                        <w:color w:val="000000"/>
                        <w:szCs w:val="24"/>
                      </w:rPr>
                      <w:t>sąskaitos numeris ir data</w:t>
                    </w:r>
                  </w:p>
                </w:tc>
                <w:tc>
                  <w:tcPr>
                    <w:tcW w:w="99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jc w:val="center"/>
                      <w:rPr>
                        <w:color w:val="000000"/>
                        <w:szCs w:val="24"/>
                      </w:rPr>
                    </w:pPr>
                    <w:r>
                      <w:rPr>
                        <w:color w:val="000000"/>
                        <w:szCs w:val="24"/>
                      </w:rPr>
                      <w:t>Įsigytas pelenų ir šlako kiekis, tonomis</w:t>
                    </w:r>
                  </w:p>
                  <w:p>
                    <w:pPr>
                      <w:suppressAutoHyphens/>
                      <w:jc w:val="center"/>
                      <w:rPr>
                        <w:color w:val="000000"/>
                        <w:szCs w:val="24"/>
                      </w:rPr>
                    </w:pPr>
                  </w:p>
                </w:tc>
                <w:tc>
                  <w:tcPr>
                    <w:tcW w:w="127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jc w:val="center"/>
                      <w:rPr>
                        <w:color w:val="000000"/>
                        <w:szCs w:val="24"/>
                      </w:rPr>
                    </w:pPr>
                    <w:r>
                      <w:rPr>
                        <w:color w:val="000000"/>
                        <w:szCs w:val="24"/>
                      </w:rPr>
                      <w:t>Atliekų tvarkytojo numeris iš šio priedo 1 lentelės</w:t>
                    </w:r>
                  </w:p>
                  <w:p>
                    <w:pPr>
                      <w:suppressAutoHyphens/>
                      <w:jc w:val="center"/>
                      <w:rPr>
                        <w:color w:val="000000"/>
                        <w:szCs w:val="24"/>
                      </w:rPr>
                    </w:pPr>
                  </w:p>
                </w:tc>
                <w:tc>
                  <w:tcPr>
                    <w:tcW w:w="113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jc w:val="center"/>
                      <w:rPr>
                        <w:color w:val="000000"/>
                        <w:szCs w:val="24"/>
                      </w:rPr>
                    </w:pPr>
                    <w:r>
                      <w:rPr>
                        <w:color w:val="000000"/>
                        <w:szCs w:val="24"/>
                      </w:rPr>
                      <w:t>Pelenų ir šlako labora- torinių tyrimų rezultatų data ir numeris</w:t>
                    </w:r>
                  </w:p>
                  <w:p>
                    <w:pPr>
                      <w:suppressAutoHyphens/>
                      <w:jc w:val="center"/>
                      <w:rPr>
                        <w:color w:val="000000"/>
                        <w:szCs w:val="24"/>
                      </w:rPr>
                    </w:pPr>
                  </w:p>
                </w:tc>
                <w:tc>
                  <w:tcPr>
                    <w:tcW w:w="1276" w:type="dxa"/>
                    <w:tcBorders>
                      <w:top w:val="single" w:sz="4" w:space="0" w:color="000000"/>
                      <w:left w:val="single" w:sz="4" w:space="0" w:color="000000"/>
                      <w:bottom w:val="single" w:sz="4" w:space="0" w:color="000000"/>
                      <w:right w:val="single" w:sz="4" w:space="0" w:color="000000"/>
                    </w:tcBorders>
                  </w:tcPr>
                  <w:p>
                    <w:pPr>
                      <w:suppressAutoHyphens/>
                      <w:jc w:val="center"/>
                      <w:rPr>
                        <w:color w:val="000000"/>
                        <w:szCs w:val="24"/>
                      </w:rPr>
                    </w:pPr>
                    <w:r>
                      <w:rPr>
                        <w:color w:val="000000"/>
                        <w:szCs w:val="24"/>
                      </w:rPr>
                      <w:t>Eksploata- cinių savybių deklaracijos data ir numeris</w:t>
                    </w:r>
                  </w:p>
                </w:tc>
                <w:tc>
                  <w:tcPr>
                    <w:tcW w:w="155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jc w:val="center"/>
                      <w:rPr>
                        <w:color w:val="000000"/>
                        <w:szCs w:val="24"/>
                      </w:rPr>
                    </w:pPr>
                    <w:r>
                      <w:rPr>
                        <w:color w:val="000000"/>
                        <w:szCs w:val="24"/>
                      </w:rPr>
                      <w:t xml:space="preserve">Pelenų ir šlako panaudojimo statinių statyboje data </w:t>
                    </w:r>
                  </w:p>
                  <w:p>
                    <w:pPr>
                      <w:suppressAutoHyphens/>
                      <w:jc w:val="center"/>
                      <w:rPr>
                        <w:color w:val="000000"/>
                        <w:szCs w:val="24"/>
                      </w:rPr>
                    </w:pPr>
                    <w:r>
                      <w:rPr>
                        <w:color w:val="000000"/>
                        <w:szCs w:val="24"/>
                      </w:rPr>
                      <w:t>(-os)</w:t>
                    </w:r>
                  </w:p>
                  <w:p>
                    <w:pPr>
                      <w:suppressAutoHyphens/>
                      <w:jc w:val="center"/>
                      <w:rPr>
                        <w:color w:val="000000"/>
                        <w:szCs w:val="24"/>
                      </w:rPr>
                    </w:pPr>
                  </w:p>
                </w:tc>
                <w:tc>
                  <w:tcPr>
                    <w:tcW w:w="141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jc w:val="center"/>
                      <w:rPr>
                        <w:color w:val="000000"/>
                        <w:szCs w:val="24"/>
                      </w:rPr>
                    </w:pPr>
                    <w:r>
                      <w:rPr>
                        <w:color w:val="000000"/>
                        <w:szCs w:val="24"/>
                      </w:rPr>
                      <w:t xml:space="preserve">Panaudotų statinių statyboje pelenų ir šlako  kiekis, tonomis </w:t>
                    </w:r>
                  </w:p>
                  <w:p>
                    <w:pPr>
                      <w:suppressAutoHyphens/>
                      <w:jc w:val="center"/>
                      <w:rPr>
                        <w:color w:val="000000"/>
                        <w:szCs w:val="24"/>
                      </w:rPr>
                    </w:pPr>
                  </w:p>
                </w:tc>
              </w:tr>
              <w:tr>
                <w:trPr>
                  <w:trHeight w:val="252"/>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rPr>
                    </w:pPr>
                    <w:r>
                      <w:rPr>
                        <w:color w:val="000000"/>
                        <w:szCs w:val="24"/>
                      </w:rPr>
                      <w:t>1.</w:t>
                    </w:r>
                  </w:p>
                </w:tc>
                <w:tc>
                  <w:tcPr>
                    <w:tcW w:w="1277" w:type="dxa"/>
                    <w:tcBorders>
                      <w:top w:val="single" w:sz="4" w:space="0" w:color="000000"/>
                      <w:left w:val="single" w:sz="4" w:space="0" w:color="000000"/>
                      <w:bottom w:val="single" w:sz="4" w:space="0" w:color="000000"/>
                      <w:right w:val="single" w:sz="4" w:space="0" w:color="000000"/>
                    </w:tcBorders>
                  </w:tcPr>
                  <w:p>
                    <w:pPr>
                      <w:ind w:firstLine="567"/>
                      <w:rPr>
                        <w:szCs w:val="24"/>
                      </w:rPr>
                    </w:pPr>
                  </w:p>
                </w:tc>
                <w:tc>
                  <w:tcPr>
                    <w:tcW w:w="99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27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13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276" w:type="dxa"/>
                    <w:tcBorders>
                      <w:top w:val="single" w:sz="4" w:space="0" w:color="000000"/>
                      <w:left w:val="single" w:sz="4" w:space="0" w:color="000000"/>
                      <w:bottom w:val="single" w:sz="4" w:space="0" w:color="000000"/>
                      <w:right w:val="single" w:sz="4" w:space="0" w:color="000000"/>
                    </w:tcBorders>
                  </w:tcPr>
                  <w:p>
                    <w:pPr>
                      <w:ind w:firstLine="567"/>
                      <w:rPr>
                        <w:szCs w:val="24"/>
                      </w:rPr>
                    </w:pPr>
                  </w:p>
                </w:tc>
                <w:tc>
                  <w:tcPr>
                    <w:tcW w:w="155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41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r>
              <w:tr>
                <w:trPr>
                  <w:trHeight w:val="252"/>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rPr>
                    </w:pPr>
                    <w:r>
                      <w:rPr>
                        <w:color w:val="000000"/>
                        <w:szCs w:val="24"/>
                      </w:rPr>
                      <w:t>2.</w:t>
                    </w:r>
                  </w:p>
                </w:tc>
                <w:tc>
                  <w:tcPr>
                    <w:tcW w:w="1277" w:type="dxa"/>
                    <w:tcBorders>
                      <w:top w:val="single" w:sz="4" w:space="0" w:color="000000"/>
                      <w:left w:val="single" w:sz="4" w:space="0" w:color="000000"/>
                      <w:bottom w:val="single" w:sz="4" w:space="0" w:color="000000"/>
                      <w:right w:val="single" w:sz="4" w:space="0" w:color="000000"/>
                    </w:tcBorders>
                  </w:tcPr>
                  <w:p>
                    <w:pPr>
                      <w:ind w:firstLine="567"/>
                      <w:rPr>
                        <w:szCs w:val="24"/>
                      </w:rPr>
                    </w:pPr>
                  </w:p>
                </w:tc>
                <w:tc>
                  <w:tcPr>
                    <w:tcW w:w="99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27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13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276" w:type="dxa"/>
                    <w:tcBorders>
                      <w:top w:val="single" w:sz="4" w:space="0" w:color="000000"/>
                      <w:left w:val="single" w:sz="4" w:space="0" w:color="000000"/>
                      <w:bottom w:val="single" w:sz="4" w:space="0" w:color="000000"/>
                      <w:right w:val="single" w:sz="4" w:space="0" w:color="000000"/>
                    </w:tcBorders>
                  </w:tcPr>
                  <w:p>
                    <w:pPr>
                      <w:ind w:firstLine="567"/>
                      <w:rPr>
                        <w:szCs w:val="24"/>
                      </w:rPr>
                    </w:pPr>
                  </w:p>
                </w:tc>
                <w:tc>
                  <w:tcPr>
                    <w:tcW w:w="155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41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r>
              <w:tr>
                <w:trPr>
                  <w:trHeight w:val="252"/>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rPr>
                    </w:pPr>
                    <w:r>
                      <w:rPr>
                        <w:color w:val="000000"/>
                        <w:szCs w:val="24"/>
                      </w:rPr>
                      <w:t>3.</w:t>
                    </w:r>
                  </w:p>
                </w:tc>
                <w:tc>
                  <w:tcPr>
                    <w:tcW w:w="1277" w:type="dxa"/>
                    <w:tcBorders>
                      <w:top w:val="single" w:sz="4" w:space="0" w:color="000000"/>
                      <w:left w:val="single" w:sz="4" w:space="0" w:color="000000"/>
                      <w:bottom w:val="single" w:sz="4" w:space="0" w:color="000000"/>
                      <w:right w:val="single" w:sz="4" w:space="0" w:color="000000"/>
                    </w:tcBorders>
                  </w:tcPr>
                  <w:p>
                    <w:pPr>
                      <w:ind w:firstLine="567"/>
                      <w:rPr>
                        <w:szCs w:val="24"/>
                      </w:rPr>
                    </w:pPr>
                  </w:p>
                </w:tc>
                <w:tc>
                  <w:tcPr>
                    <w:tcW w:w="99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27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13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276" w:type="dxa"/>
                    <w:tcBorders>
                      <w:top w:val="single" w:sz="4" w:space="0" w:color="000000"/>
                      <w:left w:val="single" w:sz="4" w:space="0" w:color="000000"/>
                      <w:bottom w:val="single" w:sz="4" w:space="0" w:color="000000"/>
                      <w:right w:val="single" w:sz="4" w:space="0" w:color="000000"/>
                    </w:tcBorders>
                  </w:tcPr>
                  <w:p>
                    <w:pPr>
                      <w:ind w:firstLine="567"/>
                      <w:rPr>
                        <w:szCs w:val="24"/>
                      </w:rPr>
                    </w:pPr>
                  </w:p>
                </w:tc>
                <w:tc>
                  <w:tcPr>
                    <w:tcW w:w="155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41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r>
              <w:tr>
                <w:trPr>
                  <w:trHeight w:val="252"/>
                </w:trPr>
                <w:tc>
                  <w:tcPr>
                    <w:tcW w:w="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rPr>
                    </w:pPr>
                    <w:r>
                      <w:rPr>
                        <w:color w:val="000000"/>
                        <w:szCs w:val="24"/>
                      </w:rPr>
                      <w:t>4.</w:t>
                    </w:r>
                  </w:p>
                </w:tc>
                <w:tc>
                  <w:tcPr>
                    <w:tcW w:w="1277" w:type="dxa"/>
                    <w:tcBorders>
                      <w:top w:val="single" w:sz="4" w:space="0" w:color="000000"/>
                      <w:left w:val="single" w:sz="4" w:space="0" w:color="000000"/>
                      <w:bottom w:val="single" w:sz="4" w:space="0" w:color="000000"/>
                      <w:right w:val="single" w:sz="4" w:space="0" w:color="000000"/>
                    </w:tcBorders>
                  </w:tcPr>
                  <w:p>
                    <w:pPr>
                      <w:ind w:firstLine="567"/>
                      <w:rPr>
                        <w:szCs w:val="24"/>
                      </w:rPr>
                    </w:pPr>
                  </w:p>
                </w:tc>
                <w:tc>
                  <w:tcPr>
                    <w:tcW w:w="99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27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13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276" w:type="dxa"/>
                    <w:tcBorders>
                      <w:top w:val="single" w:sz="4" w:space="0" w:color="000000"/>
                      <w:left w:val="single" w:sz="4" w:space="0" w:color="000000"/>
                      <w:bottom w:val="single" w:sz="4" w:space="0" w:color="000000"/>
                      <w:right w:val="single" w:sz="4" w:space="0" w:color="000000"/>
                    </w:tcBorders>
                  </w:tcPr>
                  <w:p>
                    <w:pPr>
                      <w:ind w:firstLine="567"/>
                      <w:rPr>
                        <w:szCs w:val="24"/>
                      </w:rPr>
                    </w:pPr>
                  </w:p>
                </w:tc>
                <w:tc>
                  <w:tcPr>
                    <w:tcW w:w="155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41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r>
            </w:tbl>
            <w:p>
              <w:pPr>
                <w:keepLines/>
                <w:suppressAutoHyphens/>
                <w:ind w:firstLine="567"/>
                <w:jc w:val="center"/>
                <w:rPr>
                  <w:b/>
                  <w:bCs/>
                  <w:color w:val="000000"/>
                  <w:szCs w:val="24"/>
                </w:rPr>
              </w:pPr>
            </w:p>
          </w:sdtContent>
        </w:sdt>
        <w:sdt>
          <w:sdtPr>
            <w:alias w:val="pastraipa"/>
            <w:tag w:val="part_646ef3ce6b8841478adc7f283063c8db"/>
            <w:lock w:val="sdtLocked"/>
            <w:richText/>
          </w:sdtPr>
          <w:sdtContent>
            <w:p>
              <w:pPr>
                <w:suppressAutoHyphens/>
                <w:ind w:firstLine="567"/>
                <w:jc w:val="both"/>
                <w:rPr>
                  <w:color w:val="000000"/>
                  <w:szCs w:val="24"/>
                </w:rPr>
              </w:pPr>
              <w:r>
                <w:rPr>
                  <w:color w:val="000000"/>
                  <w:szCs w:val="24"/>
                </w:rPr>
                <w:t>Priedai:</w:t>
              </w:r>
            </w:p>
            <w:p>
              <w:pPr>
                <w:suppressAutoHyphens/>
                <w:ind w:firstLine="567"/>
                <w:jc w:val="both"/>
                <w:rPr>
                  <w:color w:val="000000"/>
                  <w:szCs w:val="24"/>
                </w:rPr>
              </w:pPr>
            </w:p>
          </w:sdtContent>
        </w:sdt>
        <w:sdt>
          <w:sdtPr>
            <w:alias w:val="5 pr. 2 p."/>
            <w:tag w:val="part_3267cb69fc554a62b6a1f407c2dcd676"/>
            <w:lock w:val="sdtLocked"/>
            <w:richText/>
          </w:sdtPr>
          <w:sdtContent>
            <w:p>
              <w:pPr>
                <w:suppressAutoHyphens/>
                <w:ind w:firstLine="567"/>
                <w:jc w:val="both"/>
                <w:rPr>
                  <w:color w:val="000000"/>
                  <w:szCs w:val="24"/>
                </w:rPr>
              </w:pPr>
              <w:sdt>
                <w:sdtPr>
                  <w:alias w:val="Numeris"/>
                  <w:tag w:val="nr_3267cb69fc554a62b6a1f407c2dcd676"/>
                  <w:lock w:val="sdtLocked"/>
                  <w:richText/>
                </w:sdtPr>
                <w:sdtContent>
                  <w:r>
                    <w:rPr>
                      <w:color w:val="000000"/>
                      <w:szCs w:val="24"/>
                    </w:rPr>
                    <w:t>2</w:t>
                  </w:r>
                </w:sdtContent>
              </w:sdt>
              <w:r>
                <w:rPr>
                  <w:color w:val="000000"/>
                  <w:szCs w:val="24"/>
                </w:rPr>
                <w:t xml:space="preserve">. Sutarčių su atliekų tvarkytojais patvirtintos kopijos. </w:t>
              </w:r>
            </w:p>
          </w:sdtContent>
        </w:sdt>
        <w:sdt>
          <w:sdtPr>
            <w:alias w:val="5 pr. 3 p."/>
            <w:tag w:val="part_0af74906c1d44cb58ee99cb047779b6f"/>
            <w:lock w:val="sdtLocked"/>
            <w:richText/>
          </w:sdtPr>
          <w:sdtContent>
            <w:p>
              <w:pPr>
                <w:suppressAutoHyphens/>
                <w:ind w:firstLine="567"/>
                <w:jc w:val="both"/>
                <w:rPr>
                  <w:color w:val="000000"/>
                  <w:szCs w:val="24"/>
                </w:rPr>
              </w:pPr>
              <w:sdt>
                <w:sdtPr>
                  <w:alias w:val="Numeris"/>
                  <w:tag w:val="nr_0af74906c1d44cb58ee99cb047779b6f"/>
                  <w:lock w:val="sdtLocked"/>
                  <w:richText/>
                </w:sdtPr>
                <w:sdtContent>
                  <w:r>
                    <w:rPr>
                      <w:color w:val="000000"/>
                      <w:szCs w:val="24"/>
                    </w:rPr>
                    <w:t>3</w:t>
                  </w:r>
                </w:sdtContent>
              </w:sdt>
              <w:r>
                <w:rPr>
                  <w:color w:val="000000"/>
                  <w:szCs w:val="24"/>
                </w:rPr>
                <w:t xml:space="preserve">. Kiekvienos pelenų ir šlako siuntos laboratorinių tyrimų rezultatų patvirtintos kopijos          ;</w:t>
              </w:r>
            </w:p>
          </w:sdtContent>
        </w:sdt>
        <w:sdt>
          <w:sdtPr>
            <w:alias w:val="5 pr. 5 p."/>
            <w:tag w:val="part_8553311c43c94b2c9953e7436e40d350"/>
            <w:lock w:val="sdtLocked"/>
            <w:richText/>
          </w:sdtPr>
          <w:sdtContent>
            <w:p>
              <w:pPr>
                <w:suppressAutoHyphens/>
                <w:ind w:firstLine="567"/>
                <w:jc w:val="both"/>
                <w:rPr>
                  <w:color w:val="000000"/>
                  <w:szCs w:val="24"/>
                </w:rPr>
              </w:pPr>
              <w:sdt>
                <w:sdtPr>
                  <w:alias w:val="Numeris"/>
                  <w:tag w:val="nr_8553311c43c94b2c9953e7436e40d350"/>
                  <w:lock w:val="sdtLocked"/>
                  <w:richText/>
                </w:sdtPr>
                <w:sdtContent>
                  <w:r>
                    <w:rPr>
                      <w:color w:val="000000"/>
                      <w:szCs w:val="24"/>
                    </w:rPr>
                    <w:t>5</w:t>
                  </w:r>
                </w:sdtContent>
              </w:sdt>
              <w:r>
                <w:rPr>
                  <w:color w:val="000000"/>
                  <w:szCs w:val="24"/>
                </w:rPr>
                <w:t xml:space="preserve">. Kiekvienos pelenų ir šlako siuntos eksploatacinių savybių deklaracijų patvirtintos kopijos. </w:t>
              </w:r>
            </w:p>
          </w:sdtContent>
        </w:sdt>
        <w:sdt>
          <w:sdtPr>
            <w:alias w:val="pabaiga"/>
            <w:tag w:val="part_8b47193d5f774c0d9f43a271901e6366"/>
            <w:lock w:val="sdtLocked"/>
            <w:richText/>
          </w:sdtPr>
          <w:sdtContent>
            <w:p>
              <w:pPr>
                <w:suppressAutoHyphens/>
                <w:ind w:firstLine="567"/>
                <w:jc w:val="center"/>
                <w:rPr>
                  <w:color w:val="000000"/>
                  <w:szCs w:val="24"/>
                </w:rPr>
              </w:pPr>
              <w:r>
                <w:rPr>
                  <w:color w:val="000000"/>
                  <w:szCs w:val="24"/>
                </w:rPr>
                <w:t>__________________</w:t>
              </w:r>
            </w:p>
            <w:p>
              <w:pPr>
                <w:jc w:val="center"/>
                <w:rPr>
                  <w:b/>
                  <w:bCs/>
                  <w:caps/>
                  <w:color w:val="000000"/>
                </w:rPr>
              </w:pPr>
            </w:p>
            <w:p>
              <w:pPr>
                <w:jc w:val="both"/>
                <w:rPr>
                  <w:b/>
                  <w:sz w:val="20"/>
                </w:rPr>
              </w:pPr>
            </w:p>
            <w:p>
              <w:pPr>
                <w:jc w:val="both"/>
                <w:rPr>
                  <w:b/>
                  <w:sz w:val="20"/>
                </w:rPr>
              </w:pPr>
            </w:p>
            <w:p>
              <w:pPr>
                <w:ind w:firstLine="3348"/>
                <w:jc w:val="right"/>
              </w:pPr>
            </w:p>
            <w:p>
              <w:pPr>
                <w:ind w:firstLine="3348"/>
                <w:jc w:val="right"/>
              </w:pPr>
            </w:p>
            <w:p>
              <w:pPr>
                <w:ind w:firstLine="3348"/>
                <w:jc w:val="right"/>
              </w:pPr>
            </w:p>
            <w:p>
              <w:pPr>
                <w:ind w:firstLine="3348"/>
                <w:jc w:val="right"/>
              </w:pPr>
            </w:p>
            <w:p>
              <w:pPr>
                <w:ind w:firstLine="3348"/>
                <w:jc w:val="right"/>
              </w:pPr>
            </w:p>
            <w:p>
              <w:pPr>
                <w:ind w:firstLine="3348"/>
                <w:jc w:val="right"/>
              </w:pPr>
            </w:p>
            <w:p>
              <w:pPr>
                <w:ind w:firstLine="3348"/>
                <w:jc w:val="right"/>
              </w:pPr>
            </w:p>
            <w:p>
              <w:pPr>
                <w:ind w:firstLine="3348"/>
                <w:jc w:val="right"/>
              </w:pPr>
            </w:p>
            <w:p>
              <w:pPr>
                <w:widowControl w:val="0"/>
                <w:ind w:firstLine="855"/>
                <w:rPr>
                  <w:rFonts w:eastAsia="Arial"/>
                  <w:sz w:val="22"/>
                  <w:szCs w:val="22"/>
                </w:rPr>
                <w:sectPr>
                  <w:footnotePr>
                    <w:pos w:val="beneathText"/>
                  </w:footnotePr>
                  <w:pgSz w:w="11905" w:h="16837" w:code="9"/>
                  <w:pgMar w:top="1134" w:right="567" w:bottom="1134" w:left="1701" w:header="794" w:footer="919" w:gutter="0"/>
                  <w:pgNumType w:start="1"/>
                  <w:cols w:space="1296"/>
                  <w:formProt w:val="0"/>
                  <w:titlePg/>
                  <w:docGrid w:linePitch="360"/>
                </w:sectPr>
              </w:pPr>
            </w:p>
            <w:p>
              <w:pPr>
                <w:tabs>
                  <w:tab w:val="center" w:pos="4986"/>
                  <w:tab w:val="right" w:pos="9972"/>
                </w:tabs>
              </w:pPr>
            </w:p>
            <w:p>
              <w:pPr>
                <w:widowControl w:val="0"/>
                <w:ind w:firstLine="2907"/>
                <w:rPr>
                  <w:rFonts w:eastAsia="Arial"/>
                  <w:sz w:val="22"/>
                  <w:szCs w:val="22"/>
                </w:rPr>
              </w:pPr>
            </w:p>
          </w:sdtContent>
        </w:sdt>
      </w:sdtContent>
    </w:sdt>
    <w:sdt>
      <w:sdtPr>
        <w:alias w:val="6 pr."/>
        <w:tag w:val="part_a2112cea8f1a41d19523f964d43ef47f"/>
        <w:lock w:val="sdtLocked"/>
        <w:richText/>
      </w:sdtPr>
      <w:sdtContent>
        <w:p>
          <w:pPr>
            <w:jc w:val="right"/>
          </w:pPr>
          <w:r>
            <w:t xml:space="preserve">Atliekų deginimo įrenginiuose ir bendro </w:t>
          </w:r>
        </w:p>
        <w:p>
          <w:pPr>
            <w:jc w:val="right"/>
          </w:pPr>
          <w:r>
            <w:t xml:space="preserve">atliekų  deginimo</w:t>
          </w:r>
          <w:r>
            <w:rPr>
              <w:bCs/>
            </w:rPr>
            <w:t xml:space="preserve"> įrenginiuose</w:t>
          </w:r>
          <w:r>
            <w:t xml:space="preserve"> susidariusių</w:t>
          </w:r>
        </w:p>
        <w:p>
          <w:pPr>
            <w:ind w:left="5040" w:firstLine="372"/>
            <w:jc w:val="right"/>
          </w:pPr>
          <w:r>
            <w:t xml:space="preserve">nepavojingųjų  pelenų ir šlako atliekų tvarkymo ir panaudojimo reikalavimų</w:t>
          </w:r>
        </w:p>
        <w:p>
          <w:pPr>
            <w:ind w:firstLine="5456"/>
            <w:jc w:val="right"/>
          </w:pPr>
          <w:sdt>
            <w:sdtPr>
              <w:alias w:val="Numeris"/>
              <w:tag w:val="nr_a2112cea8f1a41d19523f964d43ef47f"/>
              <w:lock w:val="sdtLocked"/>
              <w:richText/>
            </w:sdtPr>
            <w:sdtContent>
              <w:r>
                <w:t>6</w:t>
              </w:r>
            </w:sdtContent>
          </w:sdt>
          <w:r>
            <w:t xml:space="preserve"> priedas</w:t>
          </w:r>
        </w:p>
        <w:p>
          <w:pPr>
            <w:ind w:firstLine="3348"/>
            <w:jc w:val="right"/>
          </w:pPr>
        </w:p>
        <w:p>
          <w:pPr>
            <w:widowControl w:val="0"/>
            <w:ind w:firstLine="567"/>
            <w:jc w:val="center"/>
            <w:rPr>
              <w:rFonts w:eastAsia="Arial"/>
              <w:b/>
              <w:bCs/>
              <w:color w:val="414142"/>
              <w:szCs w:val="24"/>
            </w:rPr>
          </w:pPr>
          <w:sdt>
            <w:sdtPr>
              <w:alias w:val="Pavadinimas"/>
              <w:tag w:val="title_a2112cea8f1a41d19523f964d43ef47f"/>
              <w:lock w:val="sdtLocked"/>
              <w:richText/>
            </w:sdtPr>
            <w:sdtContent>
              <w:r>
                <w:rPr>
                  <w:rFonts w:eastAsia="Arial"/>
                  <w:b/>
                  <w:bCs/>
                  <w:color w:val="414142"/>
                  <w:szCs w:val="24"/>
                </w:rPr>
                <w:t>CHEMINĖS MEDŽIAGOS SIUNTOS ATITIKTIES ATLIEKŲ NELAIKYMO ATLIEKOMIS KRITERIJAMS DEKLARACIJA</w:t>
              </w:r>
            </w:sdtContent>
          </w:sdt>
        </w:p>
        <w:p>
          <w:pPr>
            <w:widowControl w:val="0"/>
            <w:jc w:val="center"/>
            <w:rPr>
              <w:rFonts w:eastAsia="Arial"/>
              <w:bCs/>
              <w:szCs w:val="24"/>
            </w:rPr>
          </w:pPr>
          <w:r>
            <w:rPr>
              <w:rFonts w:eastAsia="Arial"/>
              <w:bCs/>
              <w:szCs w:val="24"/>
            </w:rPr>
            <w:t>___________</w:t>
          </w:r>
        </w:p>
        <w:p>
          <w:pPr>
            <w:widowControl w:val="0"/>
            <w:jc w:val="center"/>
            <w:rPr>
              <w:rFonts w:eastAsia="Arial"/>
              <w:bCs/>
              <w:sz w:val="20"/>
            </w:rPr>
          </w:pPr>
          <w:r>
            <w:rPr>
              <w:rFonts w:eastAsia="Arial"/>
              <w:bCs/>
              <w:sz w:val="20"/>
            </w:rPr>
            <w:t>(data)</w:t>
          </w:r>
        </w:p>
        <w:p>
          <w:pPr>
            <w:widowControl w:val="0"/>
            <w:jc w:val="center"/>
            <w:rPr>
              <w:rFonts w:eastAsia="Arial"/>
              <w:bCs/>
              <w:sz w:val="20"/>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6"/>
            <w:gridCol w:w="5552"/>
            <w:gridCol w:w="2800"/>
          </w:tblGrid>
          <w:tr>
            <w:tc>
              <w:tcPr>
                <w:tcW w:w="709" w:type="dxa"/>
              </w:tcPr>
              <w:p>
                <w:pPr>
                  <w:widowControl w:val="0"/>
                  <w:ind w:left="720" w:hanging="360"/>
                  <w:rPr>
                    <w:rFonts w:eastAsia="Arial"/>
                    <w:b/>
                    <w:bCs/>
                    <w:sz w:val="20"/>
                  </w:rPr>
                </w:pPr>
                <w:r>
                  <w:rPr>
                    <w:rFonts w:eastAsia="Arial"/>
                    <w:b/>
                    <w:bCs/>
                    <w:sz w:val="20"/>
                  </w:rPr>
                  <w:t>1.</w:t>
                  <w:tab/>
                </w:r>
              </w:p>
            </w:tc>
            <w:tc>
              <w:tcPr>
                <w:tcW w:w="5812" w:type="dxa"/>
              </w:tcPr>
              <w:p>
                <w:pPr>
                  <w:widowControl w:val="0"/>
                  <w:rPr>
                    <w:rFonts w:eastAsia="Arial"/>
                    <w:b/>
                    <w:bCs/>
                    <w:szCs w:val="24"/>
                  </w:rPr>
                </w:pPr>
                <w:r>
                  <w:rPr>
                    <w:rFonts w:eastAsia="Arial"/>
                    <w:b/>
                    <w:bCs/>
                    <w:szCs w:val="24"/>
                  </w:rPr>
                  <w:t>Cheminės medžiagos gamintojo duomenys:</w:t>
                </w:r>
              </w:p>
              <w:p>
                <w:pPr>
                  <w:widowControl w:val="0"/>
                  <w:ind w:left="3091" w:hanging="3057"/>
                  <w:jc w:val="both"/>
                  <w:rPr>
                    <w:rFonts w:eastAsia="Arial"/>
                    <w:bCs/>
                    <w:szCs w:val="24"/>
                  </w:rPr>
                </w:pPr>
                <w:r>
                  <w:rPr>
                    <w:rFonts w:eastAsia="Arial"/>
                    <w:bCs/>
                    <w:szCs w:val="24"/>
                  </w:rPr>
                  <w:t>Įmonės pavadinimas, kodas</w:t>
                </w:r>
              </w:p>
              <w:p>
                <w:pPr>
                  <w:widowControl w:val="0"/>
                  <w:ind w:left="3091" w:hanging="3057"/>
                  <w:jc w:val="both"/>
                  <w:rPr>
                    <w:rFonts w:eastAsia="Arial"/>
                    <w:bCs/>
                    <w:szCs w:val="24"/>
                  </w:rPr>
                </w:pPr>
                <w:r>
                  <w:rPr>
                    <w:rFonts w:eastAsia="Arial"/>
                    <w:bCs/>
                    <w:szCs w:val="24"/>
                  </w:rPr>
                  <w:t>Veiklavietės adresas</w:t>
                </w:r>
              </w:p>
              <w:p>
                <w:pPr>
                  <w:widowControl w:val="0"/>
                  <w:ind w:left="34"/>
                  <w:jc w:val="both"/>
                  <w:rPr>
                    <w:rFonts w:ascii="Arial" w:eastAsia="Arial" w:hAnsi="Arial" w:cs="Arial"/>
                    <w:bCs/>
                    <w:sz w:val="25"/>
                    <w:szCs w:val="24"/>
                    <w:lang w:val="en-US"/>
                  </w:rPr>
                </w:pPr>
                <w:r>
                  <w:rPr>
                    <w:rFonts w:eastAsia="Arial"/>
                    <w:bCs/>
                    <w:szCs w:val="24"/>
                  </w:rPr>
                  <w:t xml:space="preserve">Kontaktinio asmens vardas, pavardė, pareigos,  telefono numeris, el. pašto adresas</w:t>
                </w:r>
              </w:p>
            </w:tc>
            <w:tc>
              <w:tcPr>
                <w:tcW w:w="2977" w:type="dxa"/>
              </w:tcPr>
              <w:p>
                <w:pPr>
                  <w:widowControl w:val="0"/>
                  <w:jc w:val="center"/>
                  <w:rPr>
                    <w:rFonts w:eastAsia="Arial"/>
                    <w:bCs/>
                    <w:sz w:val="20"/>
                  </w:rPr>
                </w:pPr>
              </w:p>
            </w:tc>
          </w:tr>
          <w:tr>
            <w:tc>
              <w:tcPr>
                <w:tcW w:w="709" w:type="dxa"/>
              </w:tcPr>
              <w:p>
                <w:pPr>
                  <w:widowControl w:val="0"/>
                  <w:ind w:left="720" w:hanging="360"/>
                  <w:rPr>
                    <w:rFonts w:eastAsia="Arial"/>
                    <w:b/>
                    <w:bCs/>
                    <w:sz w:val="20"/>
                  </w:rPr>
                </w:pPr>
                <w:r>
                  <w:rPr>
                    <w:rFonts w:eastAsia="Arial"/>
                    <w:b/>
                    <w:bCs/>
                    <w:sz w:val="20"/>
                  </w:rPr>
                  <w:t>2.</w:t>
                  <w:tab/>
                </w:r>
              </w:p>
            </w:tc>
            <w:tc>
              <w:tcPr>
                <w:tcW w:w="5812" w:type="dxa"/>
              </w:tcPr>
              <w:p>
                <w:pPr>
                  <w:widowControl w:val="0"/>
                  <w:ind w:left="3091" w:hanging="3057"/>
                  <w:rPr>
                    <w:rFonts w:eastAsia="Arial"/>
                    <w:b/>
                    <w:bCs/>
                    <w:szCs w:val="24"/>
                  </w:rPr>
                </w:pPr>
                <w:r>
                  <w:rPr>
                    <w:rFonts w:eastAsia="Arial"/>
                    <w:b/>
                    <w:bCs/>
                    <w:szCs w:val="24"/>
                  </w:rPr>
                  <w:t>Cheminės medžiagos siuntos gavėjo duomenys:</w:t>
                </w:r>
              </w:p>
              <w:p>
                <w:pPr>
                  <w:widowControl w:val="0"/>
                  <w:ind w:left="3091" w:hanging="3057"/>
                  <w:rPr>
                    <w:rFonts w:eastAsia="Arial"/>
                    <w:bCs/>
                    <w:szCs w:val="24"/>
                  </w:rPr>
                </w:pPr>
                <w:r>
                  <w:rPr>
                    <w:rFonts w:eastAsia="Arial"/>
                    <w:bCs/>
                    <w:szCs w:val="24"/>
                  </w:rPr>
                  <w:t>Įmonės pavadinimas, kodas</w:t>
                </w:r>
              </w:p>
              <w:p>
                <w:pPr>
                  <w:widowControl w:val="0"/>
                  <w:ind w:left="3091" w:hanging="3057"/>
                  <w:rPr>
                    <w:rFonts w:eastAsia="Arial"/>
                    <w:b/>
                    <w:bCs/>
                    <w:szCs w:val="24"/>
                  </w:rPr>
                </w:pPr>
                <w:r>
                  <w:rPr>
                    <w:rFonts w:eastAsia="Arial"/>
                    <w:bCs/>
                    <w:szCs w:val="24"/>
                  </w:rPr>
                  <w:t xml:space="preserve">Veiklavietės adresas </w:t>
                </w:r>
              </w:p>
            </w:tc>
            <w:tc>
              <w:tcPr>
                <w:tcW w:w="2977" w:type="dxa"/>
              </w:tcPr>
              <w:p>
                <w:pPr>
                  <w:widowControl w:val="0"/>
                  <w:jc w:val="center"/>
                  <w:rPr>
                    <w:rFonts w:eastAsia="Arial"/>
                    <w:bCs/>
                    <w:sz w:val="20"/>
                  </w:rPr>
                </w:pPr>
              </w:p>
            </w:tc>
          </w:tr>
          <w:tr>
            <w:trPr>
              <w:trHeight w:val="997"/>
            </w:trPr>
            <w:tc>
              <w:tcPr>
                <w:tcW w:w="709" w:type="dxa"/>
              </w:tcPr>
              <w:p>
                <w:pPr>
                  <w:widowControl w:val="0"/>
                  <w:ind w:left="720" w:hanging="360"/>
                  <w:jc w:val="both"/>
                  <w:rPr>
                    <w:rFonts w:eastAsia="Arial"/>
                    <w:b/>
                    <w:bCs/>
                    <w:sz w:val="20"/>
                  </w:rPr>
                </w:pPr>
                <w:r>
                  <w:rPr>
                    <w:rFonts w:eastAsia="Arial"/>
                    <w:b/>
                    <w:bCs/>
                    <w:sz w:val="20"/>
                  </w:rPr>
                  <w:t>3.</w:t>
                  <w:tab/>
                </w:r>
              </w:p>
            </w:tc>
            <w:tc>
              <w:tcPr>
                <w:tcW w:w="5812" w:type="dxa"/>
              </w:tcPr>
              <w:p>
                <w:pPr>
                  <w:widowControl w:val="0"/>
                  <w:jc w:val="both"/>
                  <w:rPr>
                    <w:rFonts w:eastAsia="Arial"/>
                    <w:bCs/>
                    <w:szCs w:val="24"/>
                  </w:rPr>
                </w:pPr>
                <w:r>
                  <w:rPr>
                    <w:rFonts w:eastAsia="Arial"/>
                    <w:b/>
                    <w:bCs/>
                    <w:szCs w:val="24"/>
                  </w:rPr>
                  <w:t xml:space="preserve">Unikalus produkto tipo identifikacinis kodas, tipo, partijos ar serijos numeris ar bet koks kitas elementas, pagal kuri galima identifikuoti  produktą, ir produkto pagaminimo data, vieta</w:t>
                </w:r>
              </w:p>
            </w:tc>
            <w:tc>
              <w:tcPr>
                <w:tcW w:w="2977" w:type="dxa"/>
              </w:tcPr>
              <w:p>
                <w:pPr>
                  <w:widowControl w:val="0"/>
                  <w:jc w:val="center"/>
                  <w:rPr>
                    <w:rFonts w:eastAsia="Arial"/>
                    <w:bCs/>
                    <w:sz w:val="20"/>
                  </w:rPr>
                </w:pPr>
              </w:p>
            </w:tc>
          </w:tr>
          <w:tr>
            <w:trPr>
              <w:trHeight w:val="262"/>
            </w:trPr>
            <w:tc>
              <w:tcPr>
                <w:tcW w:w="709" w:type="dxa"/>
              </w:tcPr>
              <w:p>
                <w:pPr>
                  <w:widowControl w:val="0"/>
                  <w:ind w:left="720" w:hanging="360"/>
                  <w:rPr>
                    <w:rFonts w:eastAsia="Arial"/>
                    <w:b/>
                    <w:bCs/>
                    <w:sz w:val="20"/>
                  </w:rPr>
                </w:pPr>
                <w:r>
                  <w:rPr>
                    <w:rFonts w:eastAsia="Arial"/>
                    <w:b/>
                    <w:bCs/>
                    <w:sz w:val="20"/>
                  </w:rPr>
                  <w:t>4.</w:t>
                  <w:tab/>
                </w:r>
              </w:p>
            </w:tc>
            <w:tc>
              <w:tcPr>
                <w:tcW w:w="5812" w:type="dxa"/>
              </w:tcPr>
              <w:p>
                <w:pPr>
                  <w:widowControl w:val="0"/>
                  <w:rPr>
                    <w:rFonts w:eastAsia="Arial"/>
                    <w:b/>
                    <w:bCs/>
                    <w:szCs w:val="24"/>
                  </w:rPr>
                </w:pPr>
                <w:r>
                  <w:rPr>
                    <w:rFonts w:eastAsia="Arial"/>
                    <w:b/>
                    <w:bCs/>
                    <w:szCs w:val="24"/>
                  </w:rPr>
                  <w:t xml:space="preserve">Siuntos svoris </w:t>
                </w:r>
              </w:p>
            </w:tc>
            <w:tc>
              <w:tcPr>
                <w:tcW w:w="2977" w:type="dxa"/>
              </w:tcPr>
              <w:p>
                <w:pPr>
                  <w:widowControl w:val="0"/>
                  <w:jc w:val="center"/>
                  <w:rPr>
                    <w:rFonts w:eastAsia="Arial"/>
                    <w:bCs/>
                    <w:sz w:val="20"/>
                  </w:rPr>
                </w:pPr>
              </w:p>
            </w:tc>
          </w:tr>
          <w:tr>
            <w:tc>
              <w:tcPr>
                <w:tcW w:w="709" w:type="dxa"/>
              </w:tcPr>
              <w:p>
                <w:pPr>
                  <w:widowControl w:val="0"/>
                  <w:ind w:left="720" w:hanging="360"/>
                  <w:rPr>
                    <w:rFonts w:eastAsia="Arial"/>
                    <w:b/>
                    <w:bCs/>
                    <w:sz w:val="20"/>
                  </w:rPr>
                </w:pPr>
                <w:r>
                  <w:rPr>
                    <w:rFonts w:eastAsia="Arial"/>
                    <w:b/>
                    <w:bCs/>
                    <w:sz w:val="20"/>
                  </w:rPr>
                  <w:t>5.</w:t>
                  <w:tab/>
                </w:r>
              </w:p>
            </w:tc>
            <w:tc>
              <w:tcPr>
                <w:tcW w:w="5812" w:type="dxa"/>
              </w:tcPr>
              <w:p>
                <w:pPr>
                  <w:widowControl w:val="0"/>
                  <w:rPr>
                    <w:rFonts w:eastAsia="Arial"/>
                    <w:b/>
                    <w:bCs/>
                    <w:szCs w:val="24"/>
                  </w:rPr>
                </w:pPr>
                <w:r>
                  <w:rPr>
                    <w:rFonts w:eastAsia="Arial"/>
                    <w:b/>
                    <w:bCs/>
                    <w:szCs w:val="24"/>
                  </w:rPr>
                  <w:t>Siuntoje esančios cheminės medžiagos yra skirtos tik tiesioginiam naudojimui (nurodyti numatytą naudojimą)</w:t>
                </w:r>
              </w:p>
            </w:tc>
            <w:tc>
              <w:tcPr>
                <w:tcW w:w="2977" w:type="dxa"/>
              </w:tcPr>
              <w:p>
                <w:pPr>
                  <w:widowControl w:val="0"/>
                  <w:jc w:val="center"/>
                  <w:rPr>
                    <w:rFonts w:eastAsia="Arial"/>
                    <w:bCs/>
                    <w:sz w:val="20"/>
                  </w:rPr>
                </w:pPr>
              </w:p>
            </w:tc>
          </w:tr>
          <w:tr>
            <w:tc>
              <w:tcPr>
                <w:tcW w:w="709" w:type="dxa"/>
              </w:tcPr>
              <w:p>
                <w:pPr>
                  <w:widowControl w:val="0"/>
                  <w:ind w:left="720" w:hanging="360"/>
                  <w:rPr>
                    <w:rFonts w:eastAsia="Arial"/>
                    <w:b/>
                    <w:bCs/>
                    <w:sz w:val="20"/>
                  </w:rPr>
                </w:pPr>
                <w:r>
                  <w:rPr>
                    <w:rFonts w:eastAsia="Arial"/>
                    <w:b/>
                    <w:bCs/>
                    <w:sz w:val="20"/>
                  </w:rPr>
                  <w:t>6.</w:t>
                  <w:tab/>
                </w:r>
              </w:p>
            </w:tc>
            <w:tc>
              <w:tcPr>
                <w:tcW w:w="5812" w:type="dxa"/>
              </w:tcPr>
              <w:p>
                <w:pPr>
                  <w:widowControl w:val="0"/>
                  <w:rPr>
                    <w:rFonts w:eastAsia="Arial"/>
                    <w:b/>
                    <w:bCs/>
                    <w:szCs w:val="24"/>
                  </w:rPr>
                </w:pPr>
                <w:r>
                  <w:rPr>
                    <w:rFonts w:eastAsia="Arial"/>
                    <w:b/>
                    <w:bCs/>
                    <w:szCs w:val="24"/>
                  </w:rPr>
                  <w:t>Cheminės medžiagos registracijos numeris arba produkto ir technologinio tyrimo bei plėtros pranešimo (PPORD) numeris ir data</w:t>
                </w:r>
              </w:p>
            </w:tc>
            <w:tc>
              <w:tcPr>
                <w:tcW w:w="2977" w:type="dxa"/>
              </w:tcPr>
              <w:p>
                <w:pPr>
                  <w:widowControl w:val="0"/>
                  <w:jc w:val="center"/>
                  <w:rPr>
                    <w:rFonts w:eastAsia="Arial"/>
                    <w:bCs/>
                    <w:sz w:val="20"/>
                  </w:rPr>
                </w:pPr>
              </w:p>
            </w:tc>
          </w:tr>
          <w:tr>
            <w:tc>
              <w:tcPr>
                <w:tcW w:w="709" w:type="dxa"/>
              </w:tcPr>
              <w:p>
                <w:pPr>
                  <w:widowControl w:val="0"/>
                  <w:ind w:left="720" w:hanging="360"/>
                  <w:rPr>
                    <w:rFonts w:eastAsia="Arial"/>
                    <w:b/>
                    <w:bCs/>
                    <w:sz w:val="20"/>
                  </w:rPr>
                </w:pPr>
                <w:r>
                  <w:rPr>
                    <w:rFonts w:eastAsia="Arial"/>
                    <w:b/>
                    <w:bCs/>
                    <w:sz w:val="20"/>
                  </w:rPr>
                  <w:t>7.</w:t>
                  <w:tab/>
                </w:r>
              </w:p>
            </w:tc>
            <w:tc>
              <w:tcPr>
                <w:tcW w:w="5812" w:type="dxa"/>
              </w:tcPr>
              <w:p>
                <w:pPr>
                  <w:widowControl w:val="0"/>
                  <w:rPr>
                    <w:rFonts w:eastAsia="Arial"/>
                    <w:b/>
                    <w:bCs/>
                    <w:szCs w:val="24"/>
                  </w:rPr>
                </w:pPr>
                <w:r>
                  <w:rPr>
                    <w:rFonts w:eastAsia="Arial"/>
                    <w:b/>
                    <w:bCs/>
                    <w:szCs w:val="24"/>
                  </w:rPr>
                  <w:t>Eksploatacinių savybių deklaracijos numeris, data</w:t>
                </w:r>
              </w:p>
            </w:tc>
            <w:tc>
              <w:tcPr>
                <w:tcW w:w="2977" w:type="dxa"/>
              </w:tcPr>
              <w:p>
                <w:pPr>
                  <w:widowControl w:val="0"/>
                  <w:jc w:val="center"/>
                  <w:rPr>
                    <w:rFonts w:eastAsia="Arial"/>
                    <w:bCs/>
                    <w:sz w:val="20"/>
                  </w:rPr>
                </w:pPr>
              </w:p>
              <w:p>
                <w:pPr>
                  <w:widowControl w:val="0"/>
                  <w:jc w:val="center"/>
                  <w:rPr>
                    <w:rFonts w:eastAsia="Arial"/>
                    <w:bCs/>
                    <w:sz w:val="20"/>
                  </w:rPr>
                </w:pPr>
              </w:p>
            </w:tc>
          </w:tr>
          <w:tr>
            <w:tc>
              <w:tcPr>
                <w:tcW w:w="709" w:type="dxa"/>
              </w:tcPr>
              <w:p>
                <w:pPr>
                  <w:widowControl w:val="0"/>
                  <w:ind w:left="720" w:hanging="360"/>
                  <w:rPr>
                    <w:rFonts w:eastAsia="Arial"/>
                    <w:b/>
                    <w:bCs/>
                    <w:sz w:val="20"/>
                  </w:rPr>
                </w:pPr>
                <w:r>
                  <w:rPr>
                    <w:rFonts w:eastAsia="Arial"/>
                    <w:b/>
                    <w:bCs/>
                    <w:sz w:val="20"/>
                  </w:rPr>
                  <w:t>8.</w:t>
                  <w:tab/>
                </w:r>
              </w:p>
            </w:tc>
            <w:tc>
              <w:tcPr>
                <w:tcW w:w="5812" w:type="dxa"/>
              </w:tcPr>
              <w:p>
                <w:pPr>
                  <w:widowControl w:val="0"/>
                  <w:rPr>
                    <w:rFonts w:eastAsia="Arial"/>
                    <w:b/>
                    <w:bCs/>
                    <w:szCs w:val="24"/>
                  </w:rPr>
                </w:pPr>
                <w:r>
                  <w:rPr>
                    <w:rFonts w:eastAsia="Arial"/>
                    <w:b/>
                    <w:bCs/>
                    <w:szCs w:val="24"/>
                  </w:rPr>
                  <w:t>Laboratorinių tyrimų rezultatų numeris ir data</w:t>
                </w:r>
              </w:p>
            </w:tc>
            <w:tc>
              <w:tcPr>
                <w:tcW w:w="2977" w:type="dxa"/>
              </w:tcPr>
              <w:p>
                <w:pPr>
                  <w:widowControl w:val="0"/>
                  <w:jc w:val="center"/>
                  <w:rPr>
                    <w:rFonts w:eastAsia="Arial"/>
                    <w:bCs/>
                    <w:sz w:val="20"/>
                  </w:rPr>
                </w:pPr>
              </w:p>
            </w:tc>
          </w:tr>
          <w:tr>
            <w:tc>
              <w:tcPr>
                <w:tcW w:w="709" w:type="dxa"/>
              </w:tcPr>
              <w:p>
                <w:pPr>
                  <w:widowControl w:val="0"/>
                  <w:ind w:left="720" w:hanging="360"/>
                  <w:rPr>
                    <w:rFonts w:eastAsia="Arial"/>
                    <w:b/>
                    <w:bCs/>
                    <w:sz w:val="20"/>
                  </w:rPr>
                </w:pPr>
                <w:r>
                  <w:rPr>
                    <w:rFonts w:eastAsia="Arial"/>
                    <w:b/>
                    <w:bCs/>
                    <w:sz w:val="20"/>
                  </w:rPr>
                  <w:t>9.</w:t>
                  <w:tab/>
                </w:r>
              </w:p>
            </w:tc>
            <w:tc>
              <w:tcPr>
                <w:tcW w:w="5812" w:type="dxa"/>
              </w:tcPr>
              <w:p>
                <w:pPr>
                  <w:widowControl w:val="0"/>
                  <w:rPr>
                    <w:rFonts w:eastAsia="Arial"/>
                    <w:b/>
                    <w:bCs/>
                    <w:szCs w:val="24"/>
                  </w:rPr>
                </w:pPr>
                <w:r>
                  <w:rPr>
                    <w:rFonts w:eastAsia="Arial"/>
                    <w:b/>
                    <w:bCs/>
                    <w:szCs w:val="24"/>
                  </w:rPr>
                  <w:t>Kita informacija</w:t>
                </w:r>
              </w:p>
            </w:tc>
            <w:tc>
              <w:tcPr>
                <w:tcW w:w="2977" w:type="dxa"/>
              </w:tcPr>
              <w:p>
                <w:pPr>
                  <w:widowControl w:val="0"/>
                  <w:jc w:val="center"/>
                  <w:rPr>
                    <w:rFonts w:eastAsia="Arial"/>
                    <w:bCs/>
                    <w:sz w:val="20"/>
                  </w:rPr>
                </w:pPr>
              </w:p>
              <w:p>
                <w:pPr>
                  <w:widowControl w:val="0"/>
                  <w:jc w:val="center"/>
                  <w:rPr>
                    <w:rFonts w:eastAsia="Arial"/>
                    <w:bCs/>
                    <w:sz w:val="20"/>
                  </w:rPr>
                </w:pPr>
              </w:p>
            </w:tc>
          </w:tr>
        </w:tbl>
        <w:p>
          <w:pPr>
            <w:widowControl w:val="0"/>
            <w:jc w:val="center"/>
            <w:rPr>
              <w:rFonts w:eastAsia="Arial"/>
              <w:bCs/>
              <w:sz w:val="20"/>
            </w:rPr>
          </w:pPr>
        </w:p>
        <w:p>
          <w:pPr>
            <w:tabs>
              <w:tab w:val="left" w:pos="606"/>
            </w:tabs>
            <w:jc w:val="both"/>
            <w:rPr>
              <w:szCs w:val="24"/>
            </w:rPr>
          </w:pPr>
          <w:r>
            <w:rPr>
              <w:spacing w:val="-3"/>
              <w:szCs w:val="24"/>
            </w:rPr>
            <w:t xml:space="preserve">Patvirtinu, kad cheminės medžiagos siunta  atitinka Atliekų deginimo įrenginiuose ir bendro atliekų deginimo įrenginiuose susidariusių nepavojingųjų pelenų ir šlako atliekų tvarkymo ir panaudojimo taisyklių reikalavimų 34.1–34.4 papunkčiuose nurodytus kriterijus.</w:t>
          </w:r>
        </w:p>
        <w:p>
          <w:pPr>
            <w:widowControl w:val="0"/>
            <w:jc w:val="both"/>
            <w:rPr>
              <w:rFonts w:eastAsia="Arial"/>
              <w:szCs w:val="24"/>
            </w:rPr>
          </w:pPr>
        </w:p>
        <w:p>
          <w:pPr>
            <w:tabs>
              <w:tab w:val="left" w:pos="606"/>
            </w:tabs>
            <w:jc w:val="both"/>
            <w:rPr>
              <w:szCs w:val="24"/>
            </w:rPr>
          </w:pPr>
          <w:r>
            <w:rPr>
              <w:szCs w:val="24"/>
            </w:rPr>
            <w:t>Patvirtinu, kad mūsų įmonėje yra įdiegta kokybės valdymo sistema.</w:t>
          </w:r>
        </w:p>
        <w:p>
          <w:pPr>
            <w:tabs>
              <w:tab w:val="left" w:pos="606"/>
            </w:tabs>
            <w:jc w:val="both"/>
            <w:rPr>
              <w:szCs w:val="24"/>
            </w:rPr>
          </w:pPr>
        </w:p>
        <w:p>
          <w:pPr>
            <w:tabs>
              <w:tab w:val="left" w:pos="606"/>
            </w:tabs>
            <w:jc w:val="both"/>
            <w:rPr>
              <w:szCs w:val="24"/>
            </w:rPr>
          </w:pPr>
          <w:r>
            <w:rPr>
              <w:szCs w:val="24"/>
            </w:rPr>
            <w:t xml:space="preserve">Patvirtinu, </w:t>
          </w:r>
          <w:r>
            <w:rPr>
              <w:spacing w:val="3"/>
              <w:szCs w:val="24"/>
            </w:rPr>
            <w:t xml:space="preserve">kad </w:t>
          </w:r>
          <w:r>
            <w:rPr>
              <w:spacing w:val="-4"/>
              <w:szCs w:val="24"/>
            </w:rPr>
            <w:t xml:space="preserve">visa </w:t>
          </w:r>
          <w:r>
            <w:rPr>
              <w:szCs w:val="24"/>
            </w:rPr>
            <w:t>deklaracijoje minėta informacija yra išsami ir teisinga.</w:t>
          </w:r>
        </w:p>
        <w:p>
          <w:pPr>
            <w:widowControl w:val="0"/>
            <w:rPr>
              <w:rFonts w:eastAsia="Arial"/>
              <w:szCs w:val="24"/>
            </w:rPr>
          </w:pPr>
        </w:p>
        <w:p>
          <w:pPr>
            <w:widowControl w:val="0"/>
            <w:rPr>
              <w:rFonts w:eastAsia="Arial"/>
              <w:szCs w:val="24"/>
            </w:rPr>
          </w:pPr>
          <w:r>
            <w:rPr>
              <w:rFonts w:eastAsia="Arial"/>
              <w:szCs w:val="24"/>
            </w:rPr>
            <w:t>_____________________________________________________</w:t>
            <w:tab/>
            <w:tab/>
            <w:t>_______________</w:t>
          </w:r>
        </w:p>
        <w:p>
          <w:pPr>
            <w:widowControl w:val="0"/>
            <w:rPr>
              <w:rFonts w:eastAsia="Arial"/>
              <w:sz w:val="22"/>
              <w:szCs w:val="22"/>
            </w:rPr>
          </w:pPr>
          <w:r>
            <w:rPr>
              <w:rFonts w:eastAsia="Arial"/>
              <w:sz w:val="22"/>
              <w:szCs w:val="22"/>
            </w:rPr>
            <w:t xml:space="preserve">(pareigos, vardas, pavardė) </w:t>
            <w:tab/>
            <w:tab/>
            <w:tab/>
            <w:tab/>
            <w:tab/>
            <w:tab/>
            <w:tab/>
            <w:tab/>
            <w:t>(parašas)</w:t>
          </w:r>
        </w:p>
        <w:p>
          <w:pPr>
            <w:widowControl w:val="0"/>
            <w:rPr>
              <w:rFonts w:eastAsia="Arial"/>
              <w:sz w:val="22"/>
              <w:szCs w:val="22"/>
            </w:rPr>
          </w:pPr>
        </w:p>
        <w:p>
          <w:pPr>
            <w:widowControl w:val="0"/>
            <w:rPr>
              <w:rFonts w:eastAsia="Arial"/>
              <w:sz w:val="22"/>
              <w:szCs w:val="22"/>
            </w:rPr>
          </w:pPr>
        </w:p>
        <w:p>
          <w:pPr>
            <w:widowControl w:val="0"/>
            <w:ind w:firstLine="3990"/>
            <w:rPr>
              <w:rFonts w:ascii="Arial" w:eastAsia="Courier New" w:hAnsi="Arial" w:cs="Arial"/>
              <w:sz w:val="18"/>
              <w:szCs w:val="24"/>
              <w:shd w:val="clear" w:color="auto" w:fill="FFFFFF"/>
              <w:lang w:val="en-US" w:eastAsia="de-DE" w:bidi="de-DE"/>
            </w:rPr>
          </w:pPr>
          <w:r>
            <w:rPr>
              <w:rFonts w:ascii="Arial" w:eastAsia="Courier New" w:hAnsi="Arial" w:cs="Arial"/>
              <w:sz w:val="18"/>
              <w:szCs w:val="24"/>
              <w:shd w:val="clear" w:color="auto" w:fill="FFFFFF"/>
              <w:lang w:val="en-US" w:eastAsia="de-DE" w:bidi="de-DE"/>
            </w:rPr>
            <w:t>_____________________</w:t>
          </w:r>
        </w:p>
        <w:tbl>
          <w:tblPr>
            <w:tblW w:w="9643" w:type="dxa"/>
            <w:tblInd w:w="8" w:type="dxa"/>
            <w:tblLayout w:type="fixed"/>
            <w:tblCellMar>
              <w:left w:w="0" w:type="dxa"/>
              <w:right w:w="0" w:type="dxa"/>
            </w:tblCellMar>
            <w:tblLook w:val="0000" w:firstRow="0" w:lastRow="0" w:firstColumn="0" w:lastColumn="0" w:noHBand="0" w:noVBand="0"/>
          </w:tblPr>
          <w:tblGrid>
            <w:gridCol w:w="4817"/>
            <w:gridCol w:w="4679"/>
            <w:gridCol w:w="147"/>
          </w:tblGrid>
          <w:tr>
            <w:trPr>
              <w:trHeight w:val="340"/>
            </w:trPr>
            <w:tc>
              <w:tcPr>
                <w:tcW w:w="4817" w:type="dxa"/>
                <w:vAlign w:val="bottom"/>
              </w:tcPr>
              <w:p>
                <w:pPr>
                  <w:suppressLineNumbers/>
                  <w:suppressAutoHyphens/>
                  <w:rPr>
                    <w:lang w:eastAsia="lt-LT"/>
                  </w:rPr>
                </w:pPr>
              </w:p>
            </w:tc>
            <w:tc>
              <w:tcPr>
                <w:tcW w:w="4826" w:type="dxa"/>
                <w:gridSpan w:val="2"/>
                <w:vAlign w:val="bottom"/>
              </w:tcPr>
              <w:p>
                <w:pPr>
                  <w:suppressAutoHyphens/>
                  <w:ind w:right="34"/>
                  <w:jc w:val="right"/>
                  <w:rPr>
                    <w:lang w:eastAsia="lt-LT"/>
                  </w:rPr>
                </w:pPr>
              </w:p>
            </w:tc>
          </w:tr>
          <w:tr>
            <w:trPr>
              <w:gridAfter w:val="1"/>
              <w:wAfter w:w="147" w:type="dxa"/>
              <w:trHeight w:val="297"/>
            </w:trPr>
            <w:tc>
              <w:tcPr>
                <w:tcW w:w="4817" w:type="dxa"/>
                <w:vAlign w:val="bottom"/>
              </w:tcPr>
              <w:p>
                <w:pPr>
                  <w:suppressAutoHyphens/>
                  <w:rPr>
                    <w:lang w:eastAsia="lt-LT"/>
                  </w:rPr>
                </w:pPr>
              </w:p>
            </w:tc>
            <w:tc>
              <w:tcPr>
                <w:tcW w:w="4679" w:type="dxa"/>
                <w:vAlign w:val="bottom"/>
              </w:tcPr>
              <w:p>
                <w:pPr>
                  <w:suppressAutoHyphens/>
                  <w:ind w:right="34"/>
                  <w:jc w:val="right"/>
                  <w:rPr>
                    <w:lang w:eastAsia="lt-LT"/>
                  </w:rPr>
                </w:pPr>
              </w:p>
            </w:tc>
          </w:tr>
        </w:tbl>
        <w:p>
          <w:pPr>
            <w:suppressAutoHyphens/>
            <w:rPr>
              <w:lang w:eastAsia="lt-LT"/>
            </w:rPr>
          </w:pPr>
        </w:p>
      </w:sdtContent>
    </w:sdt>
    <w:sectPr>
      <w:footnotePr>
        <w:pos w:val="beneathText"/>
      </w:footnotePr>
      <w:pgSz w:w="11905" w:h="16837" w:code="9"/>
      <w:pgMar w:top="1134" w:right="567" w:bottom="1134" w:left="1701" w:header="794" w:footer="919" w:gutter="0"/>
      <w:pgNumType w:start="1"/>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suppressAutoHyphens/>
        <w:rPr>
          <w:lang w:eastAsia="lt-LT"/>
        </w:rPr>
      </w:pPr>
      <w:r>
        <w:rPr>
          <w:lang w:eastAsia="lt-LT"/>
        </w:rPr>
        <w:separator/>
      </w:r>
    </w:p>
  </w:endnote>
  <w:endnote w:type="continuationSeparator" w:id="0">
    <w:p>
      <w:pPr>
        <w:suppressAutoHyphens/>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Andale Sans UI">
    <w:altName w:val="Times New Roman"/>
    <w:charset w:val="BA"/>
    <w:family w:val="auto"/>
    <w:pitch w:val="variable"/>
  </w:font>
  <w:font w:name="Courier New">
    <w:panose1 w:val="02070309020205020404"/>
    <w:charset w:val="BA"/>
    <w:family w:val="modern"/>
    <w:pitch w:val="fixed"/>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uppressAutoHyphens/>
      <w:rPr>
        <w:rFonts w:ascii="Tahoma" w:hAnsi="Tahoma"/>
        <w:spacing w:val="10"/>
        <w:sz w:val="16"/>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uppressAutoHyphens/>
      <w:rPr>
        <w:rFonts w:ascii="Tahoma" w:hAnsi="Tahoma"/>
        <w:spacing w:val="10"/>
        <w:sz w:val="16"/>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uppressAutoHyphens/>
      <w:rPr>
        <w:rFonts w:ascii="Tahoma" w:hAnsi="Tahoma"/>
        <w:spacing w:val="10"/>
        <w:sz w:val="16"/>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suppressAutoHyphens/>
        <w:rPr>
          <w:lang w:eastAsia="lt-LT"/>
        </w:rPr>
      </w:pPr>
      <w:r>
        <w:rPr>
          <w:lang w:eastAsia="lt-LT"/>
        </w:rPr>
        <w:separator/>
      </w:r>
    </w:p>
  </w:footnote>
  <w:footnote w:type="continuationSeparator" w:id="0">
    <w:p>
      <w:pPr>
        <w:suppressAutoHyphens/>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9100"/>
      </w:tabs>
      <w:suppressAutoHyphens/>
      <w:rPr>
        <w:rFonts w:ascii="Tahoma" w:hAnsi="Tahoma"/>
        <w:spacing w:val="10"/>
        <w:sz w:val="20"/>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9100"/>
      </w:tabs>
      <w:suppressAutoHyphens/>
      <w:jc w:val="center"/>
      <w:rPr>
        <w:spacing w:val="10"/>
        <w:lang w:eastAsia="lt-LT"/>
      </w:rPr>
    </w:pPr>
    <w:r>
      <w:rPr>
        <w:spacing w:val="10"/>
        <w:lang w:eastAsia="lt-LT"/>
      </w:rPr>
      <w:fldChar w:fldCharType="begin"/>
    </w:r>
    <w:r>
      <w:rPr>
        <w:spacing w:val="10"/>
        <w:lang w:eastAsia="lt-LT"/>
      </w:rPr>
      <w:instrText xml:space="preserve"> PAGE   \* MERGEFORMAT </w:instrText>
    </w:r>
    <w:r>
      <w:rPr>
        <w:spacing w:val="10"/>
        <w:lang w:eastAsia="lt-LT"/>
      </w:rPr>
      <w:fldChar w:fldCharType="separate"/>
    </w:r>
    <w:r>
      <w:rPr>
        <w:spacing w:val="10"/>
        <w:lang w:eastAsia="lt-LT"/>
      </w:rPr>
      <w:t>2</w:t>
    </w:r>
    <w:r>
      <w:rPr>
        <w:spacing w:val="10"/>
        <w:lang w:eastAsia="lt-LT"/>
      </w:rPr>
      <w:fldChar w:fldCharType="end"/>
    </w: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removePersonalInformation/>
  <w:removeDateAndTime/>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12289"/>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7CE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382869850">
      <w:bodyDiv w:val="1"/>
      <w:marLeft w:val="0"/>
      <w:marRight w:val="0"/>
      <w:marTop w:val="0"/>
      <w:marBottom w:val="0"/>
      <w:divBdr>
        <w:top w:val="none" w:sz="0" w:space="0" w:color="auto"/>
        <w:left w:val="none" w:sz="0" w:space="0" w:color="auto"/>
        <w:bottom w:val="none" w:sz="0" w:space="0" w:color="auto"/>
        <w:right w:val="none" w:sz="0" w:space="0" w:color="auto"/>
      </w:divBdr>
      <w:divsChild>
        <w:div w:id="29842151">
          <w:marLeft w:val="0"/>
          <w:marRight w:val="0"/>
          <w:marTop w:val="0"/>
          <w:marBottom w:val="0"/>
          <w:divBdr>
            <w:top w:val="none" w:sz="0" w:space="0" w:color="auto"/>
            <w:left w:val="none" w:sz="0" w:space="0" w:color="auto"/>
            <w:bottom w:val="none" w:sz="0" w:space="0" w:color="auto"/>
            <w:right w:val="none" w:sz="0" w:space="0" w:color="auto"/>
          </w:divBdr>
          <w:divsChild>
            <w:div w:id="77681124">
              <w:marLeft w:val="0"/>
              <w:marRight w:val="0"/>
              <w:marTop w:val="0"/>
              <w:marBottom w:val="0"/>
              <w:divBdr>
                <w:top w:val="none" w:sz="0" w:space="0" w:color="auto"/>
                <w:left w:val="none" w:sz="0" w:space="0" w:color="auto"/>
                <w:bottom w:val="none" w:sz="0" w:space="0" w:color="auto"/>
                <w:right w:val="none" w:sz="0" w:space="0" w:color="auto"/>
              </w:divBdr>
            </w:div>
            <w:div w:id="638269144">
              <w:marLeft w:val="0"/>
              <w:marRight w:val="0"/>
              <w:marTop w:val="0"/>
              <w:marBottom w:val="0"/>
              <w:divBdr>
                <w:top w:val="none" w:sz="0" w:space="0" w:color="auto"/>
                <w:left w:val="none" w:sz="0" w:space="0" w:color="auto"/>
                <w:bottom w:val="none" w:sz="0" w:space="0" w:color="auto"/>
                <w:right w:val="none" w:sz="0" w:space="0" w:color="auto"/>
              </w:divBdr>
            </w:div>
            <w:div w:id="599217782">
              <w:marLeft w:val="0"/>
              <w:marRight w:val="0"/>
              <w:marTop w:val="0"/>
              <w:marBottom w:val="0"/>
              <w:divBdr>
                <w:top w:val="none" w:sz="0" w:space="0" w:color="auto"/>
                <w:left w:val="none" w:sz="0" w:space="0" w:color="auto"/>
                <w:bottom w:val="none" w:sz="0" w:space="0" w:color="auto"/>
                <w:right w:val="none" w:sz="0" w:space="0" w:color="auto"/>
              </w:divBdr>
            </w:div>
            <w:div w:id="521436883">
              <w:marLeft w:val="0"/>
              <w:marRight w:val="0"/>
              <w:marTop w:val="0"/>
              <w:marBottom w:val="0"/>
              <w:divBdr>
                <w:top w:val="none" w:sz="0" w:space="0" w:color="auto"/>
                <w:left w:val="none" w:sz="0" w:space="0" w:color="auto"/>
                <w:bottom w:val="none" w:sz="0" w:space="0" w:color="auto"/>
                <w:right w:val="none" w:sz="0" w:space="0" w:color="auto"/>
              </w:divBdr>
            </w:div>
          </w:divsChild>
        </w:div>
        <w:div w:id="2109884255">
          <w:marLeft w:val="0"/>
          <w:marRight w:val="0"/>
          <w:marTop w:val="0"/>
          <w:marBottom w:val="0"/>
          <w:divBdr>
            <w:top w:val="none" w:sz="0" w:space="0" w:color="auto"/>
            <w:left w:val="none" w:sz="0" w:space="0" w:color="auto"/>
            <w:bottom w:val="none" w:sz="0" w:space="0" w:color="auto"/>
            <w:right w:val="none" w:sz="0" w:space="0" w:color="auto"/>
          </w:divBdr>
        </w:div>
        <w:div w:id="639503779">
          <w:marLeft w:val="0"/>
          <w:marRight w:val="0"/>
          <w:marTop w:val="0"/>
          <w:marBottom w:val="0"/>
          <w:divBdr>
            <w:top w:val="none" w:sz="0" w:space="0" w:color="auto"/>
            <w:left w:val="none" w:sz="0" w:space="0" w:color="auto"/>
            <w:bottom w:val="none" w:sz="0" w:space="0" w:color="auto"/>
            <w:right w:val="none" w:sz="0" w:space="0" w:color="auto"/>
          </w:divBdr>
        </w:div>
        <w:div w:id="941493911">
          <w:marLeft w:val="0"/>
          <w:marRight w:val="0"/>
          <w:marTop w:val="0"/>
          <w:marBottom w:val="0"/>
          <w:divBdr>
            <w:top w:val="none" w:sz="0" w:space="0" w:color="auto"/>
            <w:left w:val="none" w:sz="0" w:space="0" w:color="auto"/>
            <w:bottom w:val="none" w:sz="0" w:space="0" w:color="auto"/>
            <w:right w:val="none" w:sz="0" w:space="0" w:color="auto"/>
          </w:divBdr>
        </w:div>
        <w:div w:id="1281062526">
          <w:marLeft w:val="0"/>
          <w:marRight w:val="0"/>
          <w:marTop w:val="0"/>
          <w:marBottom w:val="0"/>
          <w:divBdr>
            <w:top w:val="none" w:sz="0" w:space="0" w:color="auto"/>
            <w:left w:val="none" w:sz="0" w:space="0" w:color="auto"/>
            <w:bottom w:val="none" w:sz="0" w:space="0" w:color="auto"/>
            <w:right w:val="none" w:sz="0" w:space="0" w:color="auto"/>
          </w:divBdr>
        </w:div>
        <w:div w:id="1507789068">
          <w:marLeft w:val="0"/>
          <w:marRight w:val="0"/>
          <w:marTop w:val="0"/>
          <w:marBottom w:val="0"/>
          <w:divBdr>
            <w:top w:val="none" w:sz="0" w:space="0" w:color="auto"/>
            <w:left w:val="none" w:sz="0" w:space="0" w:color="auto"/>
            <w:bottom w:val="none" w:sz="0" w:space="0" w:color="auto"/>
            <w:right w:val="none" w:sz="0" w:space="0" w:color="auto"/>
          </w:divBdr>
        </w:div>
      </w:divsChild>
    </w:div>
    <w:div w:id="432626368">
      <w:bodyDiv w:val="1"/>
      <w:marLeft w:val="0"/>
      <w:marRight w:val="0"/>
      <w:marTop w:val="0"/>
      <w:marBottom w:val="0"/>
      <w:divBdr>
        <w:top w:val="none" w:sz="0" w:space="0" w:color="auto"/>
        <w:left w:val="none" w:sz="0" w:space="0" w:color="auto"/>
        <w:bottom w:val="none" w:sz="0" w:space="0" w:color="auto"/>
        <w:right w:val="none" w:sz="0" w:space="0" w:color="auto"/>
      </w:divBdr>
    </w:div>
    <w:div w:id="445320887">
      <w:bodyDiv w:val="1"/>
      <w:marLeft w:val="0"/>
      <w:marRight w:val="0"/>
      <w:marTop w:val="0"/>
      <w:marBottom w:val="0"/>
      <w:divBdr>
        <w:top w:val="none" w:sz="0" w:space="0" w:color="auto"/>
        <w:left w:val="none" w:sz="0" w:space="0" w:color="auto"/>
        <w:bottom w:val="none" w:sz="0" w:space="0" w:color="auto"/>
        <w:right w:val="none" w:sz="0" w:space="0" w:color="auto"/>
      </w:divBdr>
      <w:divsChild>
        <w:div w:id="107511579">
          <w:marLeft w:val="0"/>
          <w:marRight w:val="0"/>
          <w:marTop w:val="0"/>
          <w:marBottom w:val="0"/>
          <w:divBdr>
            <w:top w:val="none" w:sz="0" w:space="0" w:color="auto"/>
            <w:left w:val="none" w:sz="0" w:space="0" w:color="auto"/>
            <w:bottom w:val="none" w:sz="0" w:space="0" w:color="auto"/>
            <w:right w:val="none" w:sz="0" w:space="0" w:color="auto"/>
          </w:divBdr>
        </w:div>
        <w:div w:id="225846810">
          <w:marLeft w:val="0"/>
          <w:marRight w:val="0"/>
          <w:marTop w:val="0"/>
          <w:marBottom w:val="0"/>
          <w:divBdr>
            <w:top w:val="none" w:sz="0" w:space="0" w:color="auto"/>
            <w:left w:val="none" w:sz="0" w:space="0" w:color="auto"/>
            <w:bottom w:val="none" w:sz="0" w:space="0" w:color="auto"/>
            <w:right w:val="none" w:sz="0" w:space="0" w:color="auto"/>
          </w:divBdr>
        </w:div>
        <w:div w:id="435248002">
          <w:marLeft w:val="0"/>
          <w:marRight w:val="0"/>
          <w:marTop w:val="0"/>
          <w:marBottom w:val="0"/>
          <w:divBdr>
            <w:top w:val="none" w:sz="0" w:space="0" w:color="auto"/>
            <w:left w:val="none" w:sz="0" w:space="0" w:color="auto"/>
            <w:bottom w:val="none" w:sz="0" w:space="0" w:color="auto"/>
            <w:right w:val="none" w:sz="0" w:space="0" w:color="auto"/>
          </w:divBdr>
        </w:div>
        <w:div w:id="894973295">
          <w:marLeft w:val="0"/>
          <w:marRight w:val="0"/>
          <w:marTop w:val="0"/>
          <w:marBottom w:val="0"/>
          <w:divBdr>
            <w:top w:val="none" w:sz="0" w:space="0" w:color="auto"/>
            <w:left w:val="none" w:sz="0" w:space="0" w:color="auto"/>
            <w:bottom w:val="none" w:sz="0" w:space="0" w:color="auto"/>
            <w:right w:val="none" w:sz="0" w:space="0" w:color="auto"/>
          </w:divBdr>
        </w:div>
        <w:div w:id="1876307715">
          <w:marLeft w:val="0"/>
          <w:marRight w:val="0"/>
          <w:marTop w:val="0"/>
          <w:marBottom w:val="0"/>
          <w:divBdr>
            <w:top w:val="none" w:sz="0" w:space="0" w:color="auto"/>
            <w:left w:val="none" w:sz="0" w:space="0" w:color="auto"/>
            <w:bottom w:val="none" w:sz="0" w:space="0" w:color="auto"/>
            <w:right w:val="none" w:sz="0" w:space="0" w:color="auto"/>
          </w:divBdr>
        </w:div>
        <w:div w:id="2077319926">
          <w:marLeft w:val="0"/>
          <w:marRight w:val="0"/>
          <w:marTop w:val="0"/>
          <w:marBottom w:val="0"/>
          <w:divBdr>
            <w:top w:val="none" w:sz="0" w:space="0" w:color="auto"/>
            <w:left w:val="none" w:sz="0" w:space="0" w:color="auto"/>
            <w:bottom w:val="none" w:sz="0" w:space="0" w:color="auto"/>
            <w:right w:val="none" w:sz="0" w:space="0" w:color="auto"/>
          </w:divBdr>
        </w:div>
      </w:divsChild>
    </w:div>
    <w:div w:id="534199007">
      <w:bodyDiv w:val="1"/>
      <w:marLeft w:val="0"/>
      <w:marRight w:val="0"/>
      <w:marTop w:val="0"/>
      <w:marBottom w:val="0"/>
      <w:divBdr>
        <w:top w:val="none" w:sz="0" w:space="0" w:color="auto"/>
        <w:left w:val="none" w:sz="0" w:space="0" w:color="auto"/>
        <w:bottom w:val="none" w:sz="0" w:space="0" w:color="auto"/>
        <w:right w:val="none" w:sz="0" w:space="0" w:color="auto"/>
      </w:divBdr>
    </w:div>
    <w:div w:id="639114222">
      <w:bodyDiv w:val="1"/>
      <w:marLeft w:val="0"/>
      <w:marRight w:val="0"/>
      <w:marTop w:val="0"/>
      <w:marBottom w:val="0"/>
      <w:divBdr>
        <w:top w:val="none" w:sz="0" w:space="0" w:color="auto"/>
        <w:left w:val="none" w:sz="0" w:space="0" w:color="auto"/>
        <w:bottom w:val="none" w:sz="0" w:space="0" w:color="auto"/>
        <w:right w:val="none" w:sz="0" w:space="0" w:color="auto"/>
      </w:divBdr>
    </w:div>
    <w:div w:id="1018505500">
      <w:bodyDiv w:val="1"/>
      <w:marLeft w:val="0"/>
      <w:marRight w:val="0"/>
      <w:marTop w:val="0"/>
      <w:marBottom w:val="0"/>
      <w:divBdr>
        <w:top w:val="none" w:sz="0" w:space="0" w:color="auto"/>
        <w:left w:val="none" w:sz="0" w:space="0" w:color="auto"/>
        <w:bottom w:val="none" w:sz="0" w:space="0" w:color="auto"/>
        <w:right w:val="none" w:sz="0" w:space="0" w:color="auto"/>
      </w:divBdr>
    </w:div>
    <w:div w:id="1189952976">
      <w:bodyDiv w:val="1"/>
      <w:marLeft w:val="0"/>
      <w:marRight w:val="0"/>
      <w:marTop w:val="0"/>
      <w:marBottom w:val="0"/>
      <w:divBdr>
        <w:top w:val="none" w:sz="0" w:space="0" w:color="auto"/>
        <w:left w:val="none" w:sz="0" w:space="0" w:color="auto"/>
        <w:bottom w:val="none" w:sz="0" w:space="0" w:color="auto"/>
        <w:right w:val="none" w:sz="0" w:space="0" w:color="auto"/>
      </w:divBdr>
      <w:divsChild>
        <w:div w:id="97796674">
          <w:marLeft w:val="0"/>
          <w:marRight w:val="0"/>
          <w:marTop w:val="0"/>
          <w:marBottom w:val="0"/>
          <w:divBdr>
            <w:top w:val="none" w:sz="0" w:space="0" w:color="auto"/>
            <w:left w:val="none" w:sz="0" w:space="0" w:color="auto"/>
            <w:bottom w:val="none" w:sz="0" w:space="0" w:color="auto"/>
            <w:right w:val="none" w:sz="0" w:space="0" w:color="auto"/>
          </w:divBdr>
        </w:div>
        <w:div w:id="18550318">
          <w:marLeft w:val="0"/>
          <w:marRight w:val="0"/>
          <w:marTop w:val="0"/>
          <w:marBottom w:val="0"/>
          <w:divBdr>
            <w:top w:val="none" w:sz="0" w:space="0" w:color="auto"/>
            <w:left w:val="none" w:sz="0" w:space="0" w:color="auto"/>
            <w:bottom w:val="none" w:sz="0" w:space="0" w:color="auto"/>
            <w:right w:val="none" w:sz="0" w:space="0" w:color="auto"/>
          </w:divBdr>
        </w:div>
        <w:div w:id="391000930">
          <w:marLeft w:val="0"/>
          <w:marRight w:val="0"/>
          <w:marTop w:val="0"/>
          <w:marBottom w:val="0"/>
          <w:divBdr>
            <w:top w:val="none" w:sz="0" w:space="0" w:color="auto"/>
            <w:left w:val="none" w:sz="0" w:space="0" w:color="auto"/>
            <w:bottom w:val="none" w:sz="0" w:space="0" w:color="auto"/>
            <w:right w:val="none" w:sz="0" w:space="0" w:color="auto"/>
          </w:divBdr>
        </w:div>
        <w:div w:id="1566069465">
          <w:marLeft w:val="0"/>
          <w:marRight w:val="0"/>
          <w:marTop w:val="0"/>
          <w:marBottom w:val="0"/>
          <w:divBdr>
            <w:top w:val="none" w:sz="0" w:space="0" w:color="auto"/>
            <w:left w:val="none" w:sz="0" w:space="0" w:color="auto"/>
            <w:bottom w:val="none" w:sz="0" w:space="0" w:color="auto"/>
            <w:right w:val="none" w:sz="0" w:space="0" w:color="auto"/>
          </w:divBdr>
        </w:div>
        <w:div w:id="1579903254">
          <w:marLeft w:val="0"/>
          <w:marRight w:val="0"/>
          <w:marTop w:val="0"/>
          <w:marBottom w:val="0"/>
          <w:divBdr>
            <w:top w:val="none" w:sz="0" w:space="0" w:color="auto"/>
            <w:left w:val="none" w:sz="0" w:space="0" w:color="auto"/>
            <w:bottom w:val="none" w:sz="0" w:space="0" w:color="auto"/>
            <w:right w:val="none" w:sz="0" w:space="0" w:color="auto"/>
          </w:divBdr>
        </w:div>
        <w:div w:id="234046606">
          <w:marLeft w:val="0"/>
          <w:marRight w:val="0"/>
          <w:marTop w:val="0"/>
          <w:marBottom w:val="0"/>
          <w:divBdr>
            <w:top w:val="none" w:sz="0" w:space="0" w:color="auto"/>
            <w:left w:val="none" w:sz="0" w:space="0" w:color="auto"/>
            <w:bottom w:val="none" w:sz="0" w:space="0" w:color="auto"/>
            <w:right w:val="none" w:sz="0" w:space="0" w:color="auto"/>
          </w:divBdr>
        </w:div>
        <w:div w:id="651300194">
          <w:marLeft w:val="0"/>
          <w:marRight w:val="0"/>
          <w:marTop w:val="0"/>
          <w:marBottom w:val="0"/>
          <w:divBdr>
            <w:top w:val="none" w:sz="0" w:space="0" w:color="auto"/>
            <w:left w:val="none" w:sz="0" w:space="0" w:color="auto"/>
            <w:bottom w:val="none" w:sz="0" w:space="0" w:color="auto"/>
            <w:right w:val="none" w:sz="0" w:space="0" w:color="auto"/>
          </w:divBdr>
        </w:div>
        <w:div w:id="34084083">
          <w:marLeft w:val="0"/>
          <w:marRight w:val="0"/>
          <w:marTop w:val="0"/>
          <w:marBottom w:val="0"/>
          <w:divBdr>
            <w:top w:val="none" w:sz="0" w:space="0" w:color="auto"/>
            <w:left w:val="none" w:sz="0" w:space="0" w:color="auto"/>
            <w:bottom w:val="none" w:sz="0" w:space="0" w:color="auto"/>
            <w:right w:val="none" w:sz="0" w:space="0" w:color="auto"/>
          </w:divBdr>
        </w:div>
        <w:div w:id="1918055666">
          <w:marLeft w:val="0"/>
          <w:marRight w:val="0"/>
          <w:marTop w:val="0"/>
          <w:marBottom w:val="0"/>
          <w:divBdr>
            <w:top w:val="none" w:sz="0" w:space="0" w:color="auto"/>
            <w:left w:val="none" w:sz="0" w:space="0" w:color="auto"/>
            <w:bottom w:val="none" w:sz="0" w:space="0" w:color="auto"/>
            <w:right w:val="none" w:sz="0" w:space="0" w:color="auto"/>
          </w:divBdr>
          <w:divsChild>
            <w:div w:id="709912437">
              <w:marLeft w:val="0"/>
              <w:marRight w:val="0"/>
              <w:marTop w:val="0"/>
              <w:marBottom w:val="0"/>
              <w:divBdr>
                <w:top w:val="none" w:sz="0" w:space="0" w:color="auto"/>
                <w:left w:val="none" w:sz="0" w:space="0" w:color="auto"/>
                <w:bottom w:val="none" w:sz="0" w:space="0" w:color="auto"/>
                <w:right w:val="none" w:sz="0" w:space="0" w:color="auto"/>
              </w:divBdr>
            </w:div>
            <w:div w:id="327948848">
              <w:marLeft w:val="0"/>
              <w:marRight w:val="0"/>
              <w:marTop w:val="0"/>
              <w:marBottom w:val="0"/>
              <w:divBdr>
                <w:top w:val="none" w:sz="0" w:space="0" w:color="auto"/>
                <w:left w:val="none" w:sz="0" w:space="0" w:color="auto"/>
                <w:bottom w:val="none" w:sz="0" w:space="0" w:color="auto"/>
                <w:right w:val="none" w:sz="0" w:space="0" w:color="auto"/>
              </w:divBdr>
            </w:div>
            <w:div w:id="1031347603">
              <w:marLeft w:val="0"/>
              <w:marRight w:val="0"/>
              <w:marTop w:val="0"/>
              <w:marBottom w:val="0"/>
              <w:divBdr>
                <w:top w:val="none" w:sz="0" w:space="0" w:color="auto"/>
                <w:left w:val="none" w:sz="0" w:space="0" w:color="auto"/>
                <w:bottom w:val="none" w:sz="0" w:space="0" w:color="auto"/>
                <w:right w:val="none" w:sz="0" w:space="0" w:color="auto"/>
              </w:divBdr>
            </w:div>
            <w:div w:id="807284762">
              <w:marLeft w:val="0"/>
              <w:marRight w:val="0"/>
              <w:marTop w:val="0"/>
              <w:marBottom w:val="0"/>
              <w:divBdr>
                <w:top w:val="none" w:sz="0" w:space="0" w:color="auto"/>
                <w:left w:val="none" w:sz="0" w:space="0" w:color="auto"/>
                <w:bottom w:val="none" w:sz="0" w:space="0" w:color="auto"/>
                <w:right w:val="none" w:sz="0" w:space="0" w:color="auto"/>
              </w:divBdr>
            </w:div>
            <w:div w:id="1924605184">
              <w:marLeft w:val="0"/>
              <w:marRight w:val="0"/>
              <w:marTop w:val="0"/>
              <w:marBottom w:val="0"/>
              <w:divBdr>
                <w:top w:val="none" w:sz="0" w:space="0" w:color="auto"/>
                <w:left w:val="none" w:sz="0" w:space="0" w:color="auto"/>
                <w:bottom w:val="none" w:sz="0" w:space="0" w:color="auto"/>
                <w:right w:val="none" w:sz="0" w:space="0" w:color="auto"/>
              </w:divBdr>
            </w:div>
            <w:div w:id="2144887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009738">
      <w:bodyDiv w:val="1"/>
      <w:marLeft w:val="0"/>
      <w:marRight w:val="0"/>
      <w:marTop w:val="0"/>
      <w:marBottom w:val="0"/>
      <w:divBdr>
        <w:top w:val="none" w:sz="0" w:space="0" w:color="auto"/>
        <w:left w:val="none" w:sz="0" w:space="0" w:color="auto"/>
        <w:bottom w:val="none" w:sz="0" w:space="0" w:color="auto"/>
        <w:right w:val="none" w:sz="0" w:space="0" w:color="auto"/>
      </w:divBdr>
    </w:div>
    <w:div w:id="1384334238">
      <w:bodyDiv w:val="1"/>
      <w:marLeft w:val="0"/>
      <w:marRight w:val="0"/>
      <w:marTop w:val="0"/>
      <w:marBottom w:val="0"/>
      <w:divBdr>
        <w:top w:val="none" w:sz="0" w:space="0" w:color="auto"/>
        <w:left w:val="none" w:sz="0" w:space="0" w:color="auto"/>
        <w:bottom w:val="none" w:sz="0" w:space="0" w:color="auto"/>
        <w:right w:val="none" w:sz="0" w:space="0" w:color="auto"/>
      </w:divBdr>
    </w:div>
    <w:div w:id="1494838789">
      <w:bodyDiv w:val="1"/>
      <w:marLeft w:val="0"/>
      <w:marRight w:val="0"/>
      <w:marTop w:val="0"/>
      <w:marBottom w:val="0"/>
      <w:divBdr>
        <w:top w:val="none" w:sz="0" w:space="0" w:color="auto"/>
        <w:left w:val="none" w:sz="0" w:space="0" w:color="auto"/>
        <w:bottom w:val="none" w:sz="0" w:space="0" w:color="auto"/>
        <w:right w:val="none" w:sz="0" w:space="0" w:color="auto"/>
      </w:divBdr>
      <w:divsChild>
        <w:div w:id="111438551">
          <w:marLeft w:val="0"/>
          <w:marRight w:val="0"/>
          <w:marTop w:val="0"/>
          <w:marBottom w:val="0"/>
          <w:divBdr>
            <w:top w:val="none" w:sz="0" w:space="0" w:color="auto"/>
            <w:left w:val="none" w:sz="0" w:space="0" w:color="auto"/>
            <w:bottom w:val="none" w:sz="0" w:space="0" w:color="auto"/>
            <w:right w:val="none" w:sz="0" w:space="0" w:color="auto"/>
          </w:divBdr>
        </w:div>
      </w:divsChild>
    </w:div>
    <w:div w:id="1613903906">
      <w:bodyDiv w:val="1"/>
      <w:marLeft w:val="0"/>
      <w:marRight w:val="0"/>
      <w:marTop w:val="0"/>
      <w:marBottom w:val="0"/>
      <w:divBdr>
        <w:top w:val="none" w:sz="0" w:space="0" w:color="auto"/>
        <w:left w:val="none" w:sz="0" w:space="0" w:color="auto"/>
        <w:bottom w:val="none" w:sz="0" w:space="0" w:color="auto"/>
        <w:right w:val="none" w:sz="0" w:space="0" w:color="auto"/>
      </w:divBdr>
    </w:div>
    <w:div w:id="1724518602">
      <w:bodyDiv w:val="1"/>
      <w:marLeft w:val="0"/>
      <w:marRight w:val="0"/>
      <w:marTop w:val="0"/>
      <w:marBottom w:val="0"/>
      <w:divBdr>
        <w:top w:val="none" w:sz="0" w:space="0" w:color="auto"/>
        <w:left w:val="none" w:sz="0" w:space="0" w:color="auto"/>
        <w:bottom w:val="none" w:sz="0" w:space="0" w:color="auto"/>
        <w:right w:val="none" w:sz="0" w:space="0" w:color="auto"/>
      </w:divBdr>
      <w:divsChild>
        <w:div w:id="900866557">
          <w:marLeft w:val="0"/>
          <w:marRight w:val="0"/>
          <w:marTop w:val="0"/>
          <w:marBottom w:val="0"/>
          <w:divBdr>
            <w:top w:val="none" w:sz="0" w:space="0" w:color="auto"/>
            <w:left w:val="none" w:sz="0" w:space="0" w:color="auto"/>
            <w:bottom w:val="none" w:sz="0" w:space="0" w:color="auto"/>
            <w:right w:val="none" w:sz="0" w:space="0" w:color="auto"/>
          </w:divBdr>
        </w:div>
      </w:divsChild>
    </w:div>
    <w:div w:id="1745880776">
      <w:bodyDiv w:val="1"/>
      <w:marLeft w:val="0"/>
      <w:marRight w:val="0"/>
      <w:marTop w:val="0"/>
      <w:marBottom w:val="0"/>
      <w:divBdr>
        <w:top w:val="none" w:sz="0" w:space="0" w:color="auto"/>
        <w:left w:val="none" w:sz="0" w:space="0" w:color="auto"/>
        <w:bottom w:val="none" w:sz="0" w:space="0" w:color="auto"/>
        <w:right w:val="none" w:sz="0" w:space="0" w:color="auto"/>
      </w:divBdr>
    </w:div>
    <w:div w:id="1785687214">
      <w:bodyDiv w:val="1"/>
      <w:marLeft w:val="0"/>
      <w:marRight w:val="0"/>
      <w:marTop w:val="0"/>
      <w:marBottom w:val="0"/>
      <w:divBdr>
        <w:top w:val="none" w:sz="0" w:space="0" w:color="auto"/>
        <w:left w:val="none" w:sz="0" w:space="0" w:color="auto"/>
        <w:bottom w:val="none" w:sz="0" w:space="0" w:color="auto"/>
        <w:right w:val="none" w:sz="0" w:space="0" w:color="auto"/>
      </w:divBdr>
    </w:div>
    <w:div w:id="1796753350">
      <w:bodyDiv w:val="1"/>
      <w:marLeft w:val="0"/>
      <w:marRight w:val="0"/>
      <w:marTop w:val="0"/>
      <w:marBottom w:val="0"/>
      <w:divBdr>
        <w:top w:val="none" w:sz="0" w:space="0" w:color="auto"/>
        <w:left w:val="none" w:sz="0" w:space="0" w:color="auto"/>
        <w:bottom w:val="none" w:sz="0" w:space="0" w:color="auto"/>
        <w:right w:val="none" w:sz="0" w:space="0" w:color="auto"/>
      </w:divBdr>
    </w:div>
    <w:div w:id="1893350351">
      <w:bodyDiv w:val="1"/>
      <w:marLeft w:val="0"/>
      <w:marRight w:val="0"/>
      <w:marTop w:val="0"/>
      <w:marBottom w:val="0"/>
      <w:divBdr>
        <w:top w:val="none" w:sz="0" w:space="0" w:color="auto"/>
        <w:left w:val="none" w:sz="0" w:space="0" w:color="auto"/>
        <w:bottom w:val="none" w:sz="0" w:space="0" w:color="auto"/>
        <w:right w:val="none" w:sz="0" w:space="0" w:color="auto"/>
      </w:divBdr>
    </w:div>
    <w:div w:id="1925918034">
      <w:bodyDiv w:val="1"/>
      <w:marLeft w:val="0"/>
      <w:marRight w:val="0"/>
      <w:marTop w:val="0"/>
      <w:marBottom w:val="0"/>
      <w:divBdr>
        <w:top w:val="none" w:sz="0" w:space="0" w:color="auto"/>
        <w:left w:val="none" w:sz="0" w:space="0" w:color="auto"/>
        <w:bottom w:val="none" w:sz="0" w:space="0" w:color="auto"/>
        <w:right w:val="none" w:sz="0" w:space="0" w:color="auto"/>
      </w:divBdr>
    </w:div>
    <w:div w:id="1977879027">
      <w:bodyDiv w:val="1"/>
      <w:marLeft w:val="0"/>
      <w:marRight w:val="0"/>
      <w:marTop w:val="0"/>
      <w:marBottom w:val="0"/>
      <w:divBdr>
        <w:top w:val="none" w:sz="0" w:space="0" w:color="auto"/>
        <w:left w:val="none" w:sz="0" w:space="0" w:color="auto"/>
        <w:bottom w:val="none" w:sz="0" w:space="0" w:color="auto"/>
        <w:right w:val="none" w:sz="0" w:space="0" w:color="auto"/>
      </w:divBdr>
      <w:divsChild>
        <w:div w:id="1260144895">
          <w:marLeft w:val="0"/>
          <w:marRight w:val="0"/>
          <w:marTop w:val="0"/>
          <w:marBottom w:val="0"/>
          <w:divBdr>
            <w:top w:val="none" w:sz="0" w:space="0" w:color="auto"/>
            <w:left w:val="none" w:sz="0" w:space="0" w:color="auto"/>
            <w:bottom w:val="none" w:sz="0" w:space="0" w:color="auto"/>
            <w:right w:val="none" w:sz="0" w:space="0" w:color="auto"/>
          </w:divBdr>
        </w:div>
      </w:divsChild>
    </w:div>
    <w:div w:id="2092194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SharedWithUsers xmlns="19cf09c5-daa1-4028-a0ff-74a0be4ec5cc">
      <UserInfo>
        <DisplayName>Jovita Surdokienė</DisplayName>
        <AccountId>175</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6" ma:contentTypeDescription="Create a new document." ma:contentTypeScope="" ma:versionID="cbed51abb3ebb5562d1b12ae17bcdfec">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cb53de2b7ada3bdcc52ae469c3d73a7b"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Rating (0-5)" ma:decimals="2" ma:description="Average value of all the ratings that have been submitted" ma:internalName="AverageRating" ma:readOnly="true">
      <xsd:simpleType>
        <xsd:restriction base="dms:Number"/>
      </xsd:simpleType>
    </xsd:element>
    <xsd:element name="RatingCount" ma:index="17" nillable="true" ma:displayName="Number of Ratings" ma:decimals="0" ma:description="Number of ratings submitted" ma:internalName="RatingCount" ma:readOnly="true">
      <xsd:simpleType>
        <xsd:restriction base="dms:Number"/>
      </xsd:simpleType>
    </xsd:element>
    <xsd:element name="RatedBy" ma:index="18" nillable="true" ma:displayName="Rated By" ma:description="Users rated the item."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User ratings" ma:description="User ratings for the item" ma:hidden="true" ma:internalName="Ratings">
      <xsd:simpleType>
        <xsd:restriction base="dms:Note"/>
      </xsd:simpleType>
    </xsd:element>
    <xsd:element name="LikesCount" ma:index="20" nillable="true" ma:displayName="Number of Likes" ma:internalName="LikesCount">
      <xsd:simpleType>
        <xsd:restriction base="dms:Unknown"/>
      </xsd:simpleType>
    </xsd:element>
    <xsd:element name="LikedBy" ma:index="21" nillable="true" ma:displayName="Liked By"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1b78a1e8470b49cb833e9b341b0a5586" PartId="097fb094dd75416c8bfdd0d3282fb544">
    <Part Type="punktas" Nr="1" Abbr="1 p." DocPartId="6a454f1da5b344e286789557ee6728c1" PartId="2ffa588086ce4ea39e17af94699f0bf5">
      <Part Type="citata" DocPartId="1a60e4e2c68644b79de4dd007a80022b" PartId="a7b0aa50fa614ef48626c327e7f0f1d4">
        <Part Type="pagrindine" DocPartId="57f9b778779946f28797f1996a252ebe" PartId="7cbd609ec02a4cc78d2d223fb4cc4cf0"/>
      </Part>
      <Part Type="preambule" DocPartId="398eaeb84d614a69852552ee56357764" PartId="2d21cc2fcfb345a8a737385997fd4095"/>
    </Part>
    <Part Type="punktas" Nr="1" Abbr="1 p." Notes="Numeris ne iš eilės. Trūksta dalių? [DocDalys]" DocPartId="2ed2a4e806d04c779f006a4ad32e6011" PartId="63a88836f1104ab58381efff78712318"/>
    <Part Type="punktas" Nr="2" Abbr="2 p." DocPartId="eca44e0be05a4fd68d8f46173d05814d" PartId="ad1ec9df9db1470caa3bd0598a83d6e1"/>
    <Part Type="punktas" Nr="2" Abbr="2 p." Notes="Numeris ne iš eilės. Trūksta dalių? [DocDalys]" DocPartId="36c71b53b25e4e9595f5a0056f503a1c" PartId="c0872fe89db349158fcc1a850152fce4"/>
    <Part Type="punktas" Nr="3" Abbr="3 p." DocPartId="79e309b904354444a94ff60390d64427" PartId="dea0073afa554f8fbc33b1f76908e540"/>
    <Part Type="punktas" Nr="4" Abbr="4 p." DocPartId="c5f4a7d6296348bdb482db9952df6363" PartId="18c0fe44d3684b129c3eeabbdaee7c94">
      <Part Type="papunktis" Nr="4.1" Abbr="4.1 pp." DocPartId="597fedb35e524b89a4097a825b186e97" PartId="cea5be62bc0245f1a21cef1196da4c44"/>
      <Part Type="papunktis" Nr="4.2" Abbr="4.2 pp." DocPartId="75daea2f98404706a8560b0f88e81753" PartId="eaee171551c8447a912cb1b3d24d6c4f"/>
      <Part Type="papunktis" Nr="4.3" Abbr="4.3 pp." DocPartId="db1356818f3f4b508704369050c3ff53" PartId="064675d424b74667893e6a5dc7efce4b"/>
    </Part>
    <Part Type="signatura" DocPartId="eafa86c354c14803a9fb16623173c883" PartId="a36f8e9e7ab047a5a10e82873cfdf54d"/>
  </Part>
  <Part Type="patvirtinta" Title="ATLIEKŲ DEGINIMO ĮRENGINIUOSE IR BENDRO ATLIEKŲ DEGINIMO ĮRENGINIUOSE SUSIDARIUSIŲ NEPAVOJINGŲJŲ PELENŲ IR ŠLAKO ATLIEKŲ TVARKYMO IR PANAUDOJIMO REIKALAVIMAI" DocPartId="004fae2f965a4e579dcc47b8e59475c0" PartId="7a5fc1554ca9440989c3949e12237ccc">
    <Part Type="skyrius" Nr="1" Title="BENDROSIOS NUOSTATOS" DocPartId="8ea02e2821ad4b91b28a18145b61c515" PartId="600a0af0783f4af1b9ef9394a78892ce">
      <Part Type="punktas" Nr="1" Abbr="1 p." DocPartId="878fdb49977b40409e62ba26aafbf361" PartId="24f2ae0188cf4cd4bc3303df90819fd9"/>
      <Part Type="punktas" Nr="2" Abbr="2 p." DocPartId="737a85438fb54dd8b35271ebcc3a5f83" PartId="5ac135ed6cc44c658a471ce5fe77106f"/>
      <Part Type="punktas" Nr="3" Abbr="3 p." DocPartId="1857f30ec77342c5a04bfc4af1d37482" PartId="d08d5b66c5ad430492767c3e2c8b1c24">
        <Part Type="papunktis" Nr="3.1" Abbr="3.1 pp." DocPartId="a5ac4361e91742faaadfc5c893f5448b" PartId="0f7c66734dbd4806af7ec03d8d919803"/>
        <Part Type="papunktis" Nr="3.2" Abbr="3.2 pp." DocPartId="5f14bc7a782c47eb8857c23df2149ec8" PartId="cdf7702de9354c44a8c3051a4a2beefb"/>
        <Part Type="papunktis" Nr="3.3" Abbr="3.3 pp." DocPartId="6764429da4664933b72420bb4d2bd035" PartId="694594749916423880037115d3e9a03d"/>
        <Part Type="papunktis" Nr="3.4" Abbr="3.4 pp." DocPartId="2872c92d99a44ad08782b7ec8c7d5afd" PartId="e574b1926d64474bb34a3dbb0e2b82f0"/>
        <Part Type="papunktis" Nr="3.5" Abbr="3.5 pp." DocPartId="5fef8e9be6fb4f84a63ccd5d64045c4f" PartId="b24e8e3602734e8b99695b82e2f9fac3"/>
        <Part Type="papunktis" Nr="3.6" Abbr="3.6 pp." DocPartId="2ab73734881d44e7b61592d574f938f3" PartId="d89ac78ff8fd47f08de4c16760df24c8"/>
      </Part>
      <Part Type="punktas" Nr="4" Abbr="4 p." DocPartId="42c4f7fa70694af49f4ac2739fa296ee" PartId="a429667ea9ef4a8c84bea3d01049997e"/>
    </Part>
    <Part Type="skyrius" Nr="2" Title="REIKALAVIMAI PELENŲ IR ŠLAKO ATLIEKŲ APDOROJIMUI" DocPartId="d214a0a50769449088ab28a78d88b6d3" PartId="e1ce0475cb934b65bf6ca012e5825213">
      <Part Type="punktas" Nr="5" Abbr="5 p." DocPartId="b33655cf0c3345b8ae933d33f52e00f8" PartId="47d009fc7ea04e249bc5186d613afb8b"/>
      <Part Type="punktas" Nr="6" Abbr="6 p." DocPartId="a2baf07c1ce840ba8f9c118c78ac6cae" PartId="553aef95601849cc9f39f71d2ae376bc"/>
      <Part Type="punktas" Nr="7" Abbr="7 p." DocPartId="654bdb65afa542529190cd9f0098131e" PartId="128ac20993a649ad8b6918aa11d8e491"/>
      <Part Type="punktas" Nr="8" Abbr="8 p." DocPartId="6c88a553dce944129fdef8e52bdfd45f" PartId="70a2176fd23940cda44b21dc27056256"/>
      <Part Type="punktas" Nr="9" Abbr="9 p." DocPartId="76e75d3627464304aefbc6b71c7e4db0" PartId="b1a82f86945a4546b93fbc6a65e2623e"/>
      <Part Type="punktas" Nr="10" Abbr="10 p." DocPartId="0acb7a5416d047d0a865771949ae72e4" PartId="1f910a6050c940be9fa1fbf778988d91"/>
      <Part Type="punktas" Nr="11" Abbr="11 p." DocPartId="206099498bce4e78bbcee1c518c6ab79" PartId="3881ddf2703e4e2b819704e17828bc13"/>
      <Part Type="punktas" Nr="12" Abbr="12 p." DocPartId="0aad5e054b0742a6888be3a434b1256d" PartId="bdd5929b5fbc42af9efd5a1f590d02a1"/>
      <Part Type="punktas" Nr="13" Abbr="13 p." DocPartId="703809ba1dc941048d335737a2bbbb9d" PartId="9fddb180b4cf4f7bba7fe808d712cfde"/>
    </Part>
    <Part Type="skyrius" Nr="3" Title="APDOROTŲ PELENŲ IR ŠLAKO ATLIEKŲ PANAUDOJIMAS STATINIŲ STATYBOJE" DocPartId="8c2d35bdd87f46b7943cdd6dcb03cd97" PartId="abdd57f25dba472d92f3f3557bd0aea4">
      <Part Type="punktas" Nr="14" Abbr="14 p." DocPartId="10c63c9ce799476080f9a0006c997c51" PartId="1bbf1cd537834888a1ecae1c6b4cbc4c"/>
      <Part Type="punktas" Nr="15" Abbr="15 p." DocPartId="8d1591b755c14cefab867aa3844de33d" PartId="e8c789da82034fac9842cfde90bf91d3"/>
      <Part Type="punktas" Nr="16" Abbr="16 p." DocPartId="cf07e3c47f124201a402cbc2d38281bb" PartId="803de98f384c44bf83d49287613a9734"/>
      <Part Type="punktas" Nr="17" Abbr="17 p." DocPartId="70a622ae4f5d45b998de9d87ed41ba45" PartId="83a010e09afa4d36836ea4598c25cae3"/>
      <Part Type="punktas" Nr="18" Abbr="18 p." DocPartId="929674bc406646288f97b31334301d98" PartId="c294e780000f421bae2423bb3ab7b744"/>
      <Part Type="punktas" Nr="19" Abbr="19 p." DocPartId="bdf95e53882f4080b4f7690bfa07720a" PartId="2782179ae76b42079d903e345d7e4c8d"/>
      <Part Type="punktas" Nr="20" Abbr="20 p." DocPartId="d1cb8af2d74a45d4aed53a84f4a434ef" PartId="eabb687d3ee147008c908d63304874ab"/>
      <Part Type="punktas" Nr="21" Abbr="21 p." DocPartId="44b8e55c65ce427eb386586286beeb21" PartId="fc016712a9714c3aa3ed11b668e4dcc2"/>
      <Part Type="punktas" Nr="22" Abbr="22 p." DocPartId="202e1b8bac08404cbc3fd00fb9c0b114" PartId="d2bde52a359641e3852b8246123f0c44"/>
      <Part Type="punktas" Nr="23" Abbr="23 p." DocPartId="4c7682d16ad24830ae09aeaad772dbf5" PartId="e3fa0bd3ab834ef78b11e580779c08c8"/>
      <Part Type="punktas" Nr="24" Abbr="24 p." DocPartId="58d7612ea95346d7b51a9e42126bb3a5" PartId="aae31bcd971d469cb7082362cb0167ec"/>
      <Part Type="punktas" Nr="25" Abbr="25 p." DocPartId="d2f1800d29e3486a9c895c8389eee6c9" PartId="0830e37b077e43718177ff008d424564"/>
      <Part Type="punktas" Nr="26" Abbr="26 p." DocPartId="70ff4b48e089419c9f5e8f64e7648430" PartId="b142186351984599867b6d99c9ae5b39"/>
    </Part>
    <Part Type="skyrius" Nr="4" Title="REIKALAVIMAI PELENŲ IR ŠLAKO ATLIEKŲ LAIKYMUI, KROVIMUI, VEŽIMUI IR PANAUDOJIMUI" DocPartId="40b4bd5f852c45508a885f4a99826c91" PartId="951219227b8f48deb7f942c6256506a2">
      <Part Type="punktas" Nr="27" Abbr="27 p." DocPartId="e9b5f89d502a48deb33adeee007f46f8" PartId="5a89f39588354fd3a154af3d608d65b9"/>
      <Part Type="punktas" Nr="28" Abbr="28 p." DocPartId="88aa6ca446734e0f834bb31d1ce6025b" PartId="37dc2343682e4f7d8f04e0f9f9c5943d"/>
      <Part Type="punktas" Nr="29" Abbr="29 p." DocPartId="c0e9b1ec3d26463aa74013572eb8c777" PartId="180d44d26aac49298061453e8d36650d"/>
      <Part Type="punktas" Nr="30" Abbr="30 p." DocPartId="ced2cdae916840ffa30ae15f5d742610" PartId="28d20ca3fc654f588bfc091a72be7468"/>
      <Part Type="punktas" Nr="31" Abbr="31 p." DocPartId="80b5cd6be7fe449abbfa34de3547bdb6" PartId="23738e3b98ee4d8f82477a929711e2e1"/>
      <Part Type="punktas" Nr="32" Abbr="32 p." DocPartId="f52f502af71447c79eb02e14ad49121b" PartId="3bd01d34fa4640e18db2803a42bbe188">
        <Part Type="papunktis" Nr="32.1" Abbr="32.1 pp." DocPartId="7ed01c4d188542678de40e8e8aee127c" PartId="5eca67a201094fcaac716f48ae507a2d"/>
        <Part Type="papunktis" Nr="32.2" Abbr="32.2 pp." DocPartId="2893ae9d30704efcb3fd3c7fe13287a0" PartId="d4fce0ceca604372a3d4ebb97b6a94c5"/>
      </Part>
      <Part Type="punktas" Nr="33" Abbr="33 p." DocPartId="6ff81f743e384699ac85778528d43f20" PartId="69cb75efade64fec8c6e54f932a5e875"/>
    </Part>
    <Part Type="skyrius" Nr="5" Title="PELENŲ IR ŠLAKO ATLIEKŲ NELAIKYMO ATLIEKOMIS KRITERIJAI" DocPartId="9987f1a073694432b21d884fecd20180" PartId="5d38e26ccc474315bcdf802ce2a92e11">
      <Part Type="punktas" Nr="34" Abbr="34 p." DocPartId="50c3d0739e50452ca605c82f4b6ee730" PartId="d291d70a6764476a83daaaf419805737">
        <Part Type="papunktis" Nr="34.1" Abbr="34.1 pp." DocPartId="3d66fb4f09424df9a96bc57929436d2f" PartId="b4d668cca6c5410e841f658b6258a958"/>
        <Part Type="papunktis" Nr="34.2" Abbr="34.2 pp." DocPartId="3a2043a29d024ff4a50f6dddf6bfd492" PartId="671e3976704f48d28732a5695fa669f1"/>
        <Part Type="papunktis" Nr="34.3" Abbr="34.3 pp." DocPartId="2e57fd7532414f0292ff42ec04bc61d4" PartId="fa9fce798a664150b20923f458118dc9"/>
        <Part Type="papunktis" Nr="34.4" Abbr="34.4 pp." DocPartId="652f3f830eb841e5b0d5d348317bb542" PartId="81b81a5346154645a0f74039650cb7d7"/>
        <Part Type="papunktis" Nr="34.5" Abbr="34.5 pp." DocPartId="af3e58feae7348e7a0f6fc3cf5bc4a91" PartId="7652e52e813e442fa0b5237cdbd5c8c6"/>
        <Part Type="papunktis" Nr="34.6" Abbr="34.6 pp." DocPartId="56ccd7c742464e26863c11df87e3df99" PartId="a450c235f7224138b739655254a4c7d6"/>
      </Part>
      <Part Type="punktas" Nr="35" Abbr="35 p." DocPartId="d2a08eda93e24b17b5b93dea1c4f103d" PartId="a0615a76629f4437a9489e47762d7aa9"/>
    </Part>
    <Part Type="skyrius" Nr="6" Title="REIKALAVIMAI CHEMINĖS MEDŽIAGOS LAIKYMUI, KROVIMUI, VEŽIMUI IR PANAUDOJIMUI" DocPartId="0324c53ab47246a9bfe4ebca96ae1564" PartId="59f041dca0f648e19255cade48e9e729">
      <Part Type="punktas" Nr="36" Abbr="36 p." DocPartId="05b7d88aa56949f89fcd294542b9abea" PartId="fd75068f82a943469c7f0bfcd215194d"/>
      <Part Type="punktas" Nr="37" Abbr="37 p." DocPartId="7d904fda498343448c2f0026f241fbe2" PartId="d31d990665364fb7a2ed0fff34fef6b1"/>
      <Part Type="punktas" Nr="38" Abbr="38 p." DocPartId="df6a1947b5d9430c9ec570980a42256b" PartId="cdd5ebfb0bde445ca0ece252d86b216c"/>
      <Part Type="punktas" Nr="39" Abbr="39 p." DocPartId="42a7f423d12d48ed9720c1019b67d5b3" PartId="54310d29344d4802a03c0f3d0515f7b4"/>
      <Part Type="punktas" Nr="40" Abbr="40 p." DocPartId="8739faf232ef4f19a977432eaabc6299" PartId="2247602df5044346be3ac8492e440a67"/>
      <Part Type="punktas" Nr="41" Abbr="41 p." DocPartId="e51ff8ddad994ab382a2f23502e36cb0" PartId="f0e5ccb9355d4d66a70ad50becda1b4d">
        <Part Type="papunktis" Nr="41.1" Abbr="41.1 pp." DocPartId="15c38032b127428591eab4eb6a82b82f" PartId="331fb9383c8a4286ab0bc95b6ece4a7d"/>
        <Part Type="papunktis" Nr="41.2" Abbr="41.2 pp." DocPartId="da71e0787b054a15bfb685f3795d3032" PartId="312514f690234eefbcbf9c3bd2681f0f"/>
      </Part>
      <Part Type="punktas" Nr="42" Abbr="42 p." DocPartId="7e1940405c1b473fb431cc70e667569c" PartId="0f7e899099ee423989b0bd1c1a237b72"/>
      <Part Type="punktas" Nr="43" Abbr="43 p." DocPartId="b0c3fb4d875e49168d76b07ae35ad5d8" PartId="bec8f7ece7ef4fd193a3bc75d360242c"/>
      <Part Type="punktas" Nr="44" Abbr="44 p." DocPartId="a9abe8c5bc284c1480997617e2cefbed" PartId="42fc7fb5431c4ef48a8909d201943c58"/>
    </Part>
    <Part Type="skyrius" Nr="7" Title="CHEMINĖS MEDŽIAGOS ATITIKTIES ATLIEKŲ NELAIKYMO KRITERIJAMS DEKLARACIJA" DocPartId="76cc1acdd01a42a6aa81c3aca3efdd25" PartId="5419338364964fe7be2406ecab9e0e86">
      <Part Type="punktas" Nr="45" Abbr="45 p." DocPartId="0dd04891f79f4a9bb5fa58958cac7914" PartId="d9447976c53e4b1bacb57ebc03a225ae">
        <Part Type="papunktis" Nr="45.1" Abbr="45.1 pp." DocPartId="9e99687ad3bc45f29c63a9f2d5254694" PartId="48d135e84b0a4517b841e81bcfeb1517"/>
        <Part Type="papunktis" Nr="45.2" Abbr="45.2 pp." DocPartId="a99ffe1789f040d2844abacfb89f926c" PartId="ee83b0173615459eab4d9a9a3bb64a55"/>
        <Part Type="papunktis" Nr="45.3" Abbr="45.3 pp." DocPartId="b2fd7dec45fa4eb0abdb59f60e7ef284" PartId="ec7d0139151d4c45a46c9a98879230e6"/>
      </Part>
      <Part Type="punktas" Nr="46" Abbr="46 p." DocPartId="cc207b75c01d4860badfd36891137fb7" PartId="367f03d0ab9d49d3ae7c8b53c6bf4780"/>
      <Part Type="punktas" Nr="47" Abbr="47 p." DocPartId="d1bc7d5a1388445b803fe0d12d746c1f" PartId="906bb422abb1423aab5b45ce1f42bb3b"/>
      <Part Type="punktas" Nr="48" Abbr="48 p." DocPartId="6b44dc53ec1d49d7903fdb5a8927d7f5" PartId="5916eab219654452b8b6596553f07593"/>
    </Part>
    <Part Type="skyrius" Nr="8" Title="KOKYBĖS VALDYMO SISTEMA" DocPartId="53516974d0fb45cf808af3679977c144" PartId="c867be2e9bf24a6db5f74ca700d5c579">
      <Part Type="punktas" Nr="49" Abbr="49 p." DocPartId="abdb643ba562444c95164f01d13d5882" PartId="5de32bb2b2f846a1b2e656156a002b31"/>
      <Part Type="punktas" Nr="50" Abbr="50 p." DocPartId="48a4f1000bd14494afa4c45eda804e2c" PartId="8532b5154c814c02a2f5dee509d5569e">
        <Part Type="papunktis" Nr="50.1" Abbr="50.1 pp." DocPartId="f2e23bca55ae4daf9646bb53532086e0" PartId="dc9aee58cac349219730a8ce6d151e3f"/>
        <Part Type="papunktis" Nr="50.2" Abbr="50.2 pp." DocPartId="f0e9ccce5b844fa79c62a7f3870a6203" PartId="f0486632c6294440b9a16554ab6e164d"/>
        <Part Type="papunktis" Nr="50.3" Abbr="50.3 pp." DocPartId="47a2bec6673a4420970ae7f23b209453" PartId="16941fd1aaef417e8782d12ad18b4522"/>
        <Part Type="papunktis" Nr="50.4" Abbr="50.4 pp." DocPartId="fde3cade568b493192338b8a0ab8995b" PartId="3d70f9a479b94d3394d99d3fd5373275"/>
        <Part Type="papunktis" Nr="50.5" Abbr="50.5 pp." DocPartId="75be94f589614b5283f1cf216673eef5" PartId="f249f8f26a9447aeacaf4446a2538a37"/>
        <Part Type="papunktis" Nr="50.6" Abbr="50.6 pp." DocPartId="7174ca956be84ebe8811a83aa7b2703f" PartId="600e686073744ba78760f0539d769428"/>
        <Part Type="papunktis" Nr="50.7" Abbr="50.7 pp." DocPartId="df158a50bc0640589edbf1391834f4cd" PartId="5d668b0fb58d4750b918e03b70c46e03"/>
      </Part>
      <Part Type="punktas" Nr="51" Abbr="51 p." DocPartId="c80a535b33a349998c6c0a7cd2126e80" PartId="fb2618eaf231418f8b18fdf8ed8395b5"/>
    </Part>
    <Part Type="skyrius" Nr="9" Title="PELENŲ IR ŠLAKO ATLIEKŲ TYRIMO REIKALAVIMAI" DocPartId="a838cd64775f478d990dedb755f163ae" PartId="9db0450c74154e789bba21db7d46e904">
      <Part Type="punktas" Nr="52" Abbr="52 p." DocPartId="3a09fa7a2aba494cbde056867e89af7e" PartId="747f55f2ff6945f3a0f95fa007a0755c"/>
      <Part Type="punktas" Nr="53" Abbr="53 p." DocPartId="de57d3b3b88a4bd49467a9db47d1a264" PartId="f4f43d69a0b043e19ec8e92842931fe5"/>
      <Part Type="punktas" Nr="54" Abbr="54 p." DocPartId="f6229b983022484685d660a33ae11fad" PartId="35306435ce37473e960d6bbb4720da24"/>
      <Part Type="punktas" Nr="55" Abbr="55 p." DocPartId="979a3df5d38042ce8ac6ef3090db68f0" PartId="cbd9431b1ff9421fbe216d127ee8a62e">
        <Part Type="papunktis" Nr="55.1" Abbr="55.1 pp." DocPartId="c753fd231dd74f2296e34e50e5535ee3" PartId="c2a3e2d1803a49eaa8357a67e1f8821d"/>
        <Part Type="papunktis" Nr="55.2" Abbr="55.2 pp." DocPartId="ff2a68992abd41fb865da66606a1275a" PartId="845190038f734563a99b5e10ec3b4fb1"/>
        <Part Type="papunktis" Nr="55.3" Abbr="55.3 pp." DocPartId="e94252c789564c98b89558c236bb1609" PartId="820e19b574c64efca3f3a8cfa2bc83f6"/>
        <Part Type="papunktis" Nr="55.4" Abbr="55.4 pp." DocPartId="5b7b4cd4a40640d39a3ca1ee2fda913c" PartId="39c405642c954981b9837119d691c16a"/>
        <Part Type="papunktis" Nr="55.5" Abbr="55.5 pp." DocPartId="cde94bdd075c423385a44ec837ec8a60" PartId="fb93606a7f5445aea560a81c82e9f4d5"/>
        <Part Type="papunktis" Nr="55.7" Abbr="55.7 pp." Notes="Numeris ne iš eilės. Trūksta dalių? [DocDalys]" DocPartId="a1b48bad4f214578995653a87c669e1c" PartId="288c4c8765144a1fb691c39cae6b4db0"/>
        <Part Type="papunktis" Nr="55.8" Abbr="55.8 pp." DocPartId="bff96430acde43eea0863c873e9de7cb" PartId="cc30e6cf6f57473f97060a40278d7f20"/>
        <Part Type="papunktis" Nr="55.9" Abbr="55.9 pp." DocPartId="dd5b4916922a44ef8dda0cd6fe4c1193" PartId="4c874c1cdd49440395a16c2b1c5e86c4"/>
        <Part Type="papunktis" Nr="55.10" Abbr="55.10 pp." DocPartId="80b194e26dd344fca78fdbb3a22fe8c2" PartId="10d8d9d2865441b5a687d6808729cc78"/>
        <Part Type="papunktis" Nr="55.11" Abbr="55.11 pp." DocPartId="6465b796bfe041c1a596f765e903a21a" PartId="ab3ce77f27c5467b88dcadd4e4439ded"/>
        <Part Type="papunktis" Nr="55.12" Abbr="55.12 pp." DocPartId="38790df6872d44b4954526d1a4faa33c" PartId="1b91d79806b740d6a01bb2aa93add823"/>
        <Part Type="papunktis" Nr="55.13" Abbr="55.13 pp." DocPartId="962a6828fcfb46019461b4aac98c9a67" PartId="8b07e2018e4746fa9cf205d9f1405caf"/>
      </Part>
      <Part Type="punktas" Nr="56" Abbr="56 p." DocPartId="8d6f4dba68174b25b3d841eb58d8a1e4" PartId="9d0df9b958de4fc190737194b2df9458"/>
      <Part Type="punktas" Nr="57" Abbr="57 p." DocPartId="8d0eb05e8ee4444d931d7801995b39ad" PartId="dda8f0555cf0427f9f323d4e8b3b41cc"/>
      <Part Type="punktas" Nr="58" Abbr="58 p." DocPartId="95516121b9cc416fac384e7cc05ea018" PartId="5aee27c95b7543adad43756af14e4fc2"/>
    </Part>
  </Part>
  <Part Type="priedas" Nr="1" Abbr="1 pr." Title="PELENŲ IR ŠLAKO ATLIEKŲ APDOROJIMO ŽURNALAS 20__ m." DocPartId="42bbf2a25a3a44ae817a7d665d9b4edd" PartId="a5d3392611fc4433a4a1460ffab1535b"/>
  <Part Type="priedas" Nr="2" Abbr="2 pr." Title="Pelenų ir šlako atliekų parametrų laboratorinio nustatymo metodai" DocPartId="449df0d99bd340978b5b93f7fe62fec4" PartId="a5a83b6f413f4f918f8a5ea6f266d9ba"/>
  <Part Type="priedas" Nr="3" Abbr="3 pr." Title="Pelenų ir šlako atliekų išplovimo tyrimo metodai" DocPartId="dfb6b2e114a04f288976e905dc864d7d" PartId="03f5ed24e2f24d049a9be4ef9f6d5064"/>
  <Part Type="priedas" Nr="4" Abbr="4 pr." Title="IŠPLOVIMO RIBINĖS VERTĖS, KAI CHEMINĖ MEDŽIAGA GALI BŪTI PANAUDOTA STATINIŲ STATYBOJE IR (ARBA) STATYBINIŲ PRODUKTŲ GAMYBOJE" DocPartId="b4e7fd0f79ee46f1a319e342e815b664" PartId="63a2be227eb3413ea2240013b8ad7733"/>
  <Part Type="priedas" Nr="5" Abbr="5 pr." DocPartId="f280c4989ce0424080e237fd9721e8b1" PartId="279f4e9df99145ac8fb598c900339ddd">
    <Part Type="lentele" Title="1 lentelė. Pelenų ir šlako atliekų apdorojimą vykdžiusių įmonių duomenys" DocPartId="b948935da9f74050b55b3d1a20d5a168" PartId="d791ed1317394424a39f2ce0b23fd4a5"/>
    <Part Type="lentele" Title="2 lentelė. Informacija apie apdorotų pelenų ir šlako atliekų (toliau – pelenai ir šlakas) panaudojimą" DocPartId="e2ecf92ca1f24f8dab4f8593878faaee" PartId="2e958c05bb554a24a8d064684aa63d78"/>
    <Part Type="lentele" Title="3 lentelė. Pelenų ir šlakų siuntos paėmimo/naudojimo registracija" DocPartId="ba015d4bdeaf4cb693106cd7465225bd" PartId="22f89cb7452d418094023c1233a8638f"/>
    <Part Type="pastraipa" DocPartId="dfe5e6ed82cf4a49851d24735102f5ae" PartId="646ef3ce6b8841478adc7f283063c8db"/>
    <Part Type="punktas" Nr="2" Abbr="5 pr. 2 p." Notes="Numeris ne iš eilės. Trūksta dalių? [DocDalys]" DocPartId="09ee7407717f47f1bb628cca88672e11" PartId="3267cb69fc554a62b6a1f407c2dcd676"/>
    <Part Type="punktas" Nr="3" Abbr="5 pr. 3 p." DocPartId="89db16e131b6444d99d8dfd3f4e95d07" PartId="0af74906c1d44cb58ee99cb047779b6f"/>
    <Part Type="punktas" Nr="5" Abbr="5 pr. 5 p." Notes="Numeris ne iš eilės. Trūksta dalių? [DocDalys]" DocPartId="3fc42814bab74b959219b2590063bb01" PartId="8553311c43c94b2c9953e7436e40d350"/>
    <Part Type="pabaiga" DocPartId="b291ead9e94f45d7ae0e423b34b307b9" PartId="8b47193d5f774c0d9f43a271901e6366"/>
  </Part>
  <Part Type="priedas" Nr="6" Abbr="6 pr." Title="CHEMINĖS MEDŽIAGOS SIUNTOS ATITIKTIES ATLIEKŲ NELAIKYMO ATLIEKOMIS KRITERIJAMS DEKLARACIJA" DocPartId="18f9148e8d6c47589adc12980922eb01" PartId="a2112cea8f1a41d19523f964d43ef47f"/>
</Parts>
</file>

<file path=customXml/itemProps1.xml><?xml version="1.0" encoding="utf-8"?>
<ds:datastoreItem xmlns:ds="http://schemas.openxmlformats.org/officeDocument/2006/customXml" ds:itemID="{FB13C37E-4F5E-41B6-9803-9D021EE46DC5}">
  <ds:schemaRefs>
    <ds:schemaRef ds:uri="http://schemas.microsoft.com/sharepoint/v3"/>
    <ds:schemaRef ds:uri="19cf09c5-daa1-4028-a0ff-74a0be4ec5cc"/>
    <ds:schemaRef ds:uri="http://schemas.microsoft.com/office/2006/documentManagement/types"/>
    <ds:schemaRef ds:uri="http://schemas.openxmlformats.org/package/2006/metadata/core-properties"/>
    <ds:schemaRef ds:uri="http://purl.org/dc/elements/1.1/"/>
    <ds:schemaRef ds:uri="http://purl.org/dc/dcmitype/"/>
    <ds:schemaRef ds:uri="http://schemas.microsoft.com/office/2006/metadata/properties"/>
    <ds:schemaRef ds:uri="f5aad5d0-9c26-490e-8743-a6c7ceabd501"/>
    <ds:schemaRef ds:uri="http://purl.org/dc/terms/"/>
    <ds:schemaRef ds:uri="http://schemas.microsoft.com/office/infopath/2007/PartnerControls"/>
    <ds:schemaRef ds:uri="http://www.w3.org/XML/1998/namespace"/>
  </ds:schemaRefs>
</ds:datastoreItem>
</file>

<file path=customXml/itemProps2.xml><?xml version="1.0" encoding="utf-8"?>
<ds:datastoreItem xmlns:ds="http://schemas.openxmlformats.org/officeDocument/2006/customXml" ds:itemID="{CC6E76DA-0CA1-4493-92C2-E7A753DCF8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F0369F1-35C1-4780-98DE-F5026827C6D3}">
  <ds:schemaRefs>
    <ds:schemaRef ds:uri="http://schemas.microsoft.com/sharepoint/v3/contenttype/forms"/>
  </ds:schemaRefs>
</ds:datastoreItem>
</file>

<file path=customXml/itemProps4.xml><?xml version="1.0" encoding="utf-8"?>
<ds:datastoreItem xmlns:ds="http://schemas.openxmlformats.org/officeDocument/2006/customXml" ds:itemID="{3072281E-597A-4818-BD3D-57EDCC916281}">
  <ds:schemaRefs>
    <ds:schemaRef ds:uri="http://schemas.openxmlformats.org/officeDocument/2006/bibliography"/>
  </ds:schemaRefs>
</ds:datastoreItem>
</file>

<file path=customXml/itemProps5.xml><?xml version="1.0" encoding="utf-8"?>
<ds:datastoreItem xmlns:ds="http://schemas.openxmlformats.org/officeDocument/2006/customXml" ds:itemID="{64EBBB97-63F3-4EBF-AC10-C82CF2E0873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6079</Words>
  <Characters>40065</Characters>
  <Application>Microsoft Office Word</Application>
  <DocSecurity>4</DocSecurity>
  <Lines>1178</Lines>
  <Paragraphs>562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LinksUpToDate>false</LinksUpToDate>
  <CharactersWithSpaces>45582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2021-07-08T05:37:00Z</dcterms:created>
  <dcterms:modified xsi:type="dcterms:W3CDTF">2021-07-08T05:37:00Z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