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6A8ABF4E" w14:textId="183C6F7D">
      <w:pPr>
        <w:widowControl w:val="0"/>
        <w:tabs>
          <w:tab w:val="left" w:pos="0"/>
          <w:tab w:val="center" w:pos="4986"/>
          <w:tab w:val="right" w:pos="9972"/>
        </w:tabs>
        <w:suppressAutoHyphens/>
        <w:jc w:val="right"/>
        <w:rPr>
          <w:rFonts w:ascii="Thorndale" w:eastAsia="HG Mincho Light J" w:hAnsi="Thorndale"/>
          <w:b/>
          <w:color w:val="000000"/>
          <w:szCs w:val="24"/>
          <w:lang w:eastAsia="lt-LT"/>
        </w:rPr>
      </w:pPr>
      <w:r>
        <w:rPr>
          <w:rFonts w:ascii="Thorndale" w:eastAsia="HG Mincho Light J" w:hAnsi="Thorndale"/>
          <w:b/>
          <w:color w:val="000000"/>
          <w:szCs w:val="24"/>
          <w:lang w:eastAsia="lt-LT"/>
        </w:rPr>
        <w:tab/>
      </w:r>
      <w:r>
        <w:rPr>
          <w:rFonts w:ascii="Thorndale" w:eastAsia="HG Mincho Light J" w:hAnsi="Thorndale"/>
          <w:b/>
          <w:szCs w:val="24"/>
          <w:lang w:eastAsia="lt-LT"/>
        </w:rPr>
        <w:t>Projektas</w:t>
      </w:r>
    </w:p>
    <w:p w14:paraId="6A8ABF4F" w14:textId="441FEFB9">
      <w:pPr>
        <w:keepNext/>
        <w:widowControl w:val="0"/>
        <w:tabs>
          <w:tab w:val="left" w:pos="0"/>
        </w:tabs>
        <w:suppressAutoHyphens/>
        <w:ind w:firstLine="720"/>
        <w:jc w:val="center"/>
        <w:outlineLvl w:val="1"/>
        <w:rPr>
          <w:rFonts w:eastAsia="HG Mincho Light J"/>
          <w:b/>
          <w:color w:val="000000"/>
          <w:szCs w:val="24"/>
          <w:lang w:eastAsia="lt-LT"/>
        </w:rPr>
      </w:pPr>
    </w:p>
    <w:p w14:paraId="6A8ABF50" w14:textId="6F2045BA">
      <w:pPr>
        <w:keepNext/>
        <w:widowControl w:val="0"/>
        <w:tabs>
          <w:tab w:val="left" w:pos="0"/>
        </w:tabs>
        <w:suppressAutoHyphens/>
        <w:ind w:firstLine="720"/>
        <w:jc w:val="center"/>
        <w:outlineLvl w:val="1"/>
        <w:rPr>
          <w:rFonts w:eastAsia="HG Mincho Light J"/>
          <w:b/>
          <w:color w:val="000000"/>
          <w:szCs w:val="24"/>
          <w:lang w:eastAsia="lt-LT"/>
        </w:rPr>
      </w:pPr>
    </w:p>
    <w:p w14:paraId="6A8ABF51" w14:textId="06AE7DE4">
      <w:pPr>
        <w:keepNext/>
        <w:widowControl w:val="0"/>
        <w:tabs>
          <w:tab w:val="left" w:pos="0"/>
        </w:tabs>
        <w:suppressAutoHyphens/>
        <w:ind w:firstLine="720"/>
        <w:jc w:val="center"/>
        <w:outlineLvl w:val="1"/>
        <w:rPr>
          <w:rFonts w:eastAsia="HG Mincho Light J"/>
          <w:b/>
          <w:color w:val="000000"/>
          <w:szCs w:val="24"/>
          <w:lang w:eastAsia="lt-LT"/>
        </w:rPr>
      </w:pPr>
      <w:r>
        <w:rPr>
          <w:rFonts w:eastAsia="HG Mincho Light J"/>
          <w:b/>
          <w:color w:val="000000"/>
          <w:szCs w:val="24"/>
          <w:lang w:eastAsia="lt-LT"/>
        </w:rPr>
        <w:t>ŠIAULIŲ MIESTO SAVIVALDYBĖS TARYBA</w:t>
      </w:r>
    </w:p>
    <w:p w14:paraId="6A8ABF52" w14:textId="77777777">
      <w:pPr>
        <w:widowControl w:val="0"/>
        <w:suppressAutoHyphens/>
        <w:jc w:val="center"/>
        <w:rPr>
          <w:rFonts w:eastAsia="HG Mincho Light J"/>
          <w:b/>
          <w:color w:val="000000"/>
          <w:szCs w:val="24"/>
          <w:lang w:eastAsia="lt-LT"/>
        </w:rPr>
      </w:pPr>
    </w:p>
    <w:p w14:paraId="6A8ABF53" w14:textId="77777777">
      <w:pPr>
        <w:widowControl w:val="0"/>
        <w:suppressAutoHyphens/>
        <w:jc w:val="center"/>
        <w:rPr>
          <w:rFonts w:eastAsia="HG Mincho Light J"/>
          <w:b/>
          <w:color w:val="000000"/>
          <w:szCs w:val="24"/>
          <w:lang w:eastAsia="lt-LT"/>
        </w:rPr>
      </w:pPr>
      <w:r>
        <w:rPr>
          <w:rFonts w:eastAsia="HG Mincho Light J"/>
          <w:b/>
          <w:color w:val="000000"/>
          <w:szCs w:val="24"/>
          <w:lang w:eastAsia="lt-LT"/>
        </w:rPr>
        <w:t>SPRENDIMAS</w:t>
      </w:r>
    </w:p>
    <w:p w14:paraId="6A8ABF54" w14:textId="77777777">
      <w:pPr>
        <w:widowControl w:val="0"/>
        <w:suppressAutoHyphens/>
        <w:jc w:val="center"/>
        <w:rPr>
          <w:rFonts w:ascii="Thorndale" w:eastAsia="HG Mincho Light J" w:hAnsi="Thorndale"/>
          <w:b/>
          <w:color w:val="000000"/>
          <w:szCs w:val="24"/>
          <w:lang w:eastAsia="lt-LT"/>
        </w:rPr>
      </w:pPr>
      <w:r>
        <w:rPr>
          <w:rFonts w:ascii="Thorndale" w:eastAsia="HG Mincho Light J" w:hAnsi="Thorndale"/>
          <w:b/>
          <w:color w:val="000000"/>
          <w:szCs w:val="24"/>
          <w:lang w:eastAsia="lt-LT"/>
        </w:rPr>
        <w:t>DĖL PAVELDIMO TURTO MOKESČIO MOKĖJIMO TERMINO ATIDĖJIMO</w:t>
      </w:r>
    </w:p>
    <w:p w14:paraId="6A8ABF55" w14:textId="77777777">
      <w:pPr>
        <w:widowControl w:val="0"/>
        <w:suppressAutoHyphens/>
        <w:jc w:val="center"/>
        <w:rPr>
          <w:rFonts w:eastAsia="HG Mincho Light J"/>
          <w:color w:val="000000"/>
          <w:szCs w:val="24"/>
          <w:lang w:eastAsia="lt-LT"/>
        </w:rPr>
      </w:pPr>
    </w:p>
    <w:p w14:paraId="6A8ABF56" w14:textId="47947B72">
      <w:pPr>
        <w:widowControl w:val="0"/>
        <w:suppressAutoHyphens/>
        <w:jc w:val="center"/>
        <w:rPr>
          <w:rFonts w:eastAsia="HG Mincho Light J"/>
          <w:color w:val="000000"/>
          <w:szCs w:val="24"/>
          <w:lang w:eastAsia="lt-LT"/>
        </w:rPr>
      </w:pPr>
      <w:r>
        <w:rPr>
          <w:rFonts w:eastAsia="HG Mincho Light J"/>
          <w:color w:val="000000"/>
          <w:szCs w:val="24"/>
          <w:lang w:eastAsia="lt-LT"/>
        </w:rPr>
        <w:t xml:space="preserve">2022 m.                    d. Nr. T-</w:t>
      </w:r>
    </w:p>
    <w:p w14:paraId="6A8ABF57" w14:textId="77777777">
      <w:pPr>
        <w:widowControl w:val="0"/>
        <w:suppressAutoHyphens/>
        <w:jc w:val="center"/>
        <w:rPr>
          <w:rFonts w:eastAsia="HG Mincho Light J"/>
          <w:color w:val="000000"/>
          <w:szCs w:val="24"/>
          <w:lang w:eastAsia="lt-LT"/>
        </w:rPr>
      </w:pPr>
      <w:r>
        <w:rPr>
          <w:rFonts w:eastAsia="HG Mincho Light J"/>
          <w:color w:val="000000"/>
          <w:szCs w:val="24"/>
          <w:lang w:eastAsia="lt-LT"/>
        </w:rPr>
        <w:t>Šiauliai</w:t>
      </w:r>
    </w:p>
    <w:p w14:paraId="6A8ABF58" w14:textId="77777777">
      <w:pPr>
        <w:widowControl w:val="0"/>
        <w:suppressLineNumbers/>
        <w:tabs>
          <w:tab w:val="left" w:pos="5280"/>
          <w:tab w:val="left" w:pos="7395"/>
        </w:tabs>
        <w:suppressAutoHyphens/>
        <w:rPr>
          <w:rFonts w:eastAsia="HG Mincho Light J"/>
          <w:color w:val="000000"/>
          <w:szCs w:val="24"/>
          <w:lang w:eastAsia="lt-LT"/>
        </w:rPr>
      </w:pPr>
    </w:p>
    <w:p w14:paraId="6A8ABF59" w14:textId="77777777">
      <w:pPr>
        <w:widowControl w:val="0"/>
        <w:suppressAutoHyphens/>
        <w:rPr>
          <w:rFonts w:eastAsia="HG Mincho Light J"/>
          <w:color w:val="000000"/>
          <w:szCs w:val="24"/>
          <w:lang w:eastAsia="lt-LT"/>
        </w:rPr>
      </w:pPr>
    </w:p>
    <w:p w14:paraId="47DB6B15" w14:textId="4D3D697F">
      <w:pPr>
        <w:ind w:firstLine="720"/>
        <w:jc w:val="both"/>
        <w:rPr>
          <w:szCs w:val="24"/>
        </w:rPr>
      </w:pPr>
      <w:r>
        <w:rPr>
          <w:szCs w:val="24"/>
        </w:rPr>
        <w:t>Vadovaudamasi Lietuvos Respublikos vietos savivaldos įstatymo 16 straipsnio 2 dalies 18 punktu, Lietuvos Respublikos paveldimo turto mokesčio įstatymo 7 straipsnio 2 dalimi, įgyvendindama Mokesčių lengvatų teikimo taisyklių, patvirtintų Šiaulių miesto savivaldybės tarybos 2016 m. rugpjūčio 25 d. sprendimo Nr. T-329 „</w:t>
      </w:r>
      <w:r>
        <w:rPr>
          <w:color w:val="000000"/>
          <w:szCs w:val="24"/>
        </w:rPr>
        <w:t xml:space="preserve">Dėl Mokesčių lengvatų teikimo taisyklių patvirtinimo“ 1 punktu, </w:t>
      </w:r>
      <w:r>
        <w:rPr>
          <w:szCs w:val="24"/>
        </w:rPr>
        <w:t>11 punktą, atsižvelgdama į G. S. 2021-12-23 prašymą ir Šiaulių miesto savivaldybės administracijos Socialinių išmokų ir kompensacijų skyriaus 2022-01-21 raštą Nr. SSP-266 „Dėl rekomendacijos pateikimo“, Šiaulių miesto savivaldybės taryba</w:t>
      </w:r>
      <w:r>
        <w:rPr>
          <w:spacing w:val="40"/>
          <w:szCs w:val="24"/>
        </w:rPr>
        <w:t xml:space="preserve"> nusprendžia:</w:t>
      </w:r>
    </w:p>
    <w:p w14:paraId="47A7ED01" w14:textId="68B68170">
      <w:pPr>
        <w:ind w:firstLine="720"/>
        <w:jc w:val="both"/>
        <w:rPr>
          <w:szCs w:val="24"/>
        </w:rPr>
      </w:pPr>
      <w:r>
        <w:rPr>
          <w:szCs w:val="24"/>
        </w:rPr>
        <w:t>Atidėti G. S. privalomo sumokėti 1062,77 Eur dydžio paveldimo turto mokesčio sumokėjimo terminą ne ilgesniam kaip vienerių metų laikotarpiui po paveldėjimo teisės liudijimo išdavimo už butą su rūsiu (unikalus Nr. (duomenys neskelbtini) adresu: (duomenys neskelbtini), ir už socialinio draudimo senatvės pensiją.</w:t>
      </w:r>
    </w:p>
    <w:p w14:paraId="103C1A2E" w14:textId="77777777">
      <w:pPr>
        <w:ind w:firstLine="720"/>
        <w:jc w:val="both"/>
        <w:rPr>
          <w:szCs w:val="24"/>
        </w:rPr>
      </w:pPr>
      <w:r>
        <w:rPr>
          <w:szCs w:val="24"/>
          <w:lang w:eastAsia="lt-LT"/>
        </w:rPr>
        <w:t>Š</w:t>
      </w:r>
      <w:r>
        <w:rPr>
          <w:rFonts w:eastAsia="HG Mincho Light J"/>
          <w:color w:val="000000"/>
          <w:szCs w:val="24"/>
        </w:rPr>
        <w:t>is sprendimas ne vėliau kaip per vieną mėnesį nuo jo įteikimo dienos gali būti skundžiamas paduodant skundą Lietuvos administracinių ginčų komisijos Šiaulių apygardos skyriui adresu: Dvaro g. 81, Šiauliai, arba Regionų apygardos administraciniams teismui bet kuriuose šio teismo rūmuose.</w:t>
      </w:r>
    </w:p>
    <w:p w14:paraId="4D253F1F" w14:textId="77777777">
      <w:pPr>
        <w:ind w:firstLine="720"/>
        <w:jc w:val="both"/>
        <w:rPr>
          <w:szCs w:val="24"/>
        </w:rPr>
      </w:pPr>
    </w:p>
    <w:p w14:paraId="1E183953" w14:textId="77777777">
      <w:pPr>
        <w:ind w:firstLine="720"/>
        <w:jc w:val="both"/>
        <w:rPr>
          <w:szCs w:val="24"/>
        </w:rPr>
      </w:pPr>
    </w:p>
    <w:p w14:paraId="6A8ABF5F" w14:textId="77777777">
      <w:pPr>
        <w:widowControl w:val="0"/>
        <w:suppressAutoHyphens/>
        <w:ind w:firstLine="1122"/>
        <w:jc w:val="both"/>
        <w:rPr>
          <w:rFonts w:eastAsia="HG Mincho Light J"/>
          <w:color w:val="000000"/>
          <w:szCs w:val="24"/>
          <w:lang w:eastAsia="lt-LT"/>
        </w:rPr>
      </w:pPr>
    </w:p>
    <w:p w14:paraId="6A8ABF60" w14:textId="77777777">
      <w:pPr>
        <w:widowControl w:val="0"/>
        <w:tabs>
          <w:tab w:val="right" w:pos="9570"/>
        </w:tabs>
        <w:suppressAutoHyphens/>
        <w:jc w:val="both"/>
        <w:rPr>
          <w:rFonts w:eastAsia="HG Mincho Light J"/>
          <w:color w:val="000000"/>
          <w:szCs w:val="24"/>
          <w:lang w:eastAsia="lt-LT"/>
        </w:rPr>
      </w:pPr>
    </w:p>
    <w:p w14:paraId="6A8ABF61" w14:textId="77777777">
      <w:pPr>
        <w:widowControl w:val="0"/>
        <w:tabs>
          <w:tab w:val="right" w:pos="9570"/>
        </w:tabs>
        <w:suppressAutoHyphens/>
        <w:jc w:val="both"/>
        <w:rPr>
          <w:rFonts w:eastAsia="HG Mincho Light J"/>
          <w:color w:val="000000"/>
          <w:szCs w:val="24"/>
          <w:lang w:eastAsia="lt-LT"/>
        </w:rPr>
      </w:pPr>
      <w:r>
        <w:rPr>
          <w:rFonts w:eastAsia="HG Mincho Light J"/>
          <w:color w:val="000000"/>
          <w:szCs w:val="24"/>
          <w:lang w:eastAsia="lt-LT"/>
        </w:rPr>
        <w:t>Savivaldybės meras</w:t>
        <w:tab/>
      </w:r>
    </w:p>
    <w:p w14:paraId="6A8ABF62" w14:textId="77777777">
      <w:pPr>
        <w:widowControl w:val="0"/>
        <w:suppressAutoHyphens/>
        <w:rPr>
          <w:rFonts w:eastAsia="HG Mincho Light J"/>
          <w:color w:val="000000"/>
          <w:szCs w:val="24"/>
          <w:lang w:eastAsia="lt-LT"/>
        </w:rPr>
      </w:pPr>
    </w:p>
    <w:p w14:paraId="6A8ABF63" w14:textId="77777777">
      <w:pPr>
        <w:widowControl w:val="0"/>
        <w:suppressAutoHyphens/>
        <w:rPr>
          <w:rFonts w:eastAsia="HG Mincho Light J"/>
          <w:color w:val="000000"/>
          <w:szCs w:val="24"/>
          <w:lang w:eastAsia="lt-LT"/>
        </w:rPr>
      </w:pPr>
    </w:p>
    <w:p w14:paraId="6A8ABF64" w14:textId="77777777">
      <w:pPr>
        <w:widowControl w:val="0"/>
        <w:suppressAutoHyphens/>
        <w:rPr>
          <w:rFonts w:eastAsia="HG Mincho Light J"/>
          <w:color w:val="000000"/>
          <w:szCs w:val="24"/>
          <w:lang w:eastAsia="lt-LT"/>
        </w:rPr>
      </w:pPr>
    </w:p>
    <w:p w14:paraId="6A8ABF65" w14:textId="77777777">
      <w:pPr>
        <w:widowControl w:val="0"/>
        <w:suppressAutoHyphens/>
        <w:rPr>
          <w:rFonts w:eastAsia="HG Mincho Light J"/>
          <w:color w:val="000000"/>
          <w:szCs w:val="24"/>
          <w:lang w:eastAsia="lt-LT"/>
        </w:rPr>
      </w:pPr>
    </w:p>
    <w:p w14:paraId="6A8ABF66" w14:textId="77777777">
      <w:pPr>
        <w:widowControl w:val="0"/>
        <w:suppressAutoHyphens/>
        <w:rPr>
          <w:rFonts w:eastAsia="HG Mincho Light J"/>
          <w:color w:val="000000"/>
          <w:szCs w:val="24"/>
          <w:lang w:eastAsia="lt-LT"/>
        </w:rPr>
      </w:pPr>
    </w:p>
    <w:p w14:paraId="6A8ABF67" w14:textId="77777777">
      <w:pPr>
        <w:widowControl w:val="0"/>
        <w:suppressAutoHyphens/>
        <w:rPr>
          <w:rFonts w:eastAsia="HG Mincho Light J"/>
          <w:color w:val="000000"/>
          <w:szCs w:val="24"/>
          <w:lang w:eastAsia="lt-LT"/>
        </w:rPr>
      </w:pPr>
    </w:p>
    <w:p w14:paraId="6A8ABF68" w14:textId="77777777">
      <w:pPr>
        <w:widowControl w:val="0"/>
        <w:suppressAutoHyphens/>
        <w:rPr>
          <w:rFonts w:eastAsia="HG Mincho Light J"/>
          <w:color w:val="000000"/>
          <w:szCs w:val="24"/>
          <w:lang w:eastAsia="lt-LT"/>
        </w:rPr>
      </w:pPr>
    </w:p>
    <w:p w14:paraId="6A8ABF69" w14:textId="77777777">
      <w:pPr>
        <w:widowControl w:val="0"/>
        <w:suppressAutoHyphens/>
        <w:rPr>
          <w:rFonts w:eastAsia="HG Mincho Light J"/>
          <w:color w:val="000000"/>
          <w:szCs w:val="24"/>
          <w:lang w:eastAsia="lt-LT"/>
        </w:rPr>
      </w:pPr>
    </w:p>
    <w:p w14:paraId="6A8ABF6A" w14:textId="77777777">
      <w:pPr>
        <w:widowControl w:val="0"/>
        <w:suppressAutoHyphens/>
        <w:rPr>
          <w:rFonts w:eastAsia="HG Mincho Light J"/>
          <w:color w:val="000000"/>
          <w:szCs w:val="24"/>
          <w:lang w:eastAsia="lt-LT"/>
        </w:rPr>
      </w:pPr>
    </w:p>
    <w:p w14:paraId="6A8ABF6B" w14:textId="77777777">
      <w:pPr>
        <w:widowControl w:val="0"/>
        <w:suppressAutoHyphens/>
        <w:rPr>
          <w:rFonts w:eastAsia="HG Mincho Light J"/>
          <w:color w:val="000000"/>
          <w:szCs w:val="24"/>
          <w:lang w:eastAsia="lt-LT"/>
        </w:rPr>
      </w:pPr>
    </w:p>
    <w:sectPr>
      <w:footerReference w:type="default" r:id="rId6"/>
      <w:footnotePr>
        <w:pos w:val="beneathText"/>
        <w:numRestart w:val="eachPage"/>
      </w:footnotePr>
      <w:endnotePr>
        <w:numFmt w:val="decimal"/>
      </w:endnotePr>
      <w:pgSz w:w="11906" w:h="16838"/>
      <w:pgMar w:top="1009" w:right="567" w:bottom="1134" w:left="1701" w:header="561" w:footer="697" w:gutter="0"/>
      <w:cols w:space="720"/>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94FF5" w14:textId="77777777">
      <w:pPr>
        <w:widowControl w:val="0"/>
        <w:suppressAutoHyphens/>
        <w:rPr>
          <w:rFonts w:ascii="Thorndale" w:eastAsia="HG Mincho Light J" w:hAnsi="Thorndale"/>
          <w:color w:val="000000"/>
          <w:szCs w:val="24"/>
          <w:lang w:eastAsia="lt-LT"/>
        </w:rPr>
      </w:pPr>
      <w:r>
        <w:rPr>
          <w:rFonts w:ascii="Thorndale" w:eastAsia="HG Mincho Light J" w:hAnsi="Thorndale"/>
          <w:color w:val="000000"/>
          <w:szCs w:val="24"/>
          <w:lang w:eastAsia="lt-LT"/>
        </w:rPr>
        <w:separator/>
      </w:r>
    </w:p>
  </w:endnote>
  <w:endnote w:type="continuationSeparator" w:id="0">
    <w:p w14:paraId="53D461AB" w14:textId="77777777">
      <w:pPr>
        <w:widowControl w:val="0"/>
        <w:suppressAutoHyphens/>
        <w:rPr>
          <w:rFonts w:ascii="Thorndale" w:eastAsia="HG Mincho Light J" w:hAnsi="Thorndale"/>
          <w:color w:val="000000"/>
          <w:szCs w:val="24"/>
          <w:lang w:eastAsia="lt-LT"/>
        </w:rPr>
      </w:pPr>
      <w:r>
        <w:rPr>
          <w:rFonts w:ascii="Thorndale" w:eastAsia="HG Mincho Light J" w:hAnsi="Thorndale"/>
          <w:color w:val="000000"/>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BF7A" w14:textId="77777777">
    <w:pPr>
      <w:widowControl w:val="0"/>
      <w:suppressLineNumbers/>
      <w:tabs>
        <w:tab w:val="left" w:pos="3705"/>
        <w:tab w:val="left" w:pos="7560"/>
      </w:tabs>
      <w:suppressAutoHyphens/>
      <w:spacing w:before="6" w:after="6"/>
      <w:rPr>
        <w:rFonts w:eastAsia="HG Mincho Light J"/>
        <w:color w:val="000000"/>
        <w:sz w:val="18"/>
        <w:szCs w:val="24"/>
        <w:lang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4977" w14:textId="77777777">
      <w:pPr>
        <w:widowControl w:val="0"/>
        <w:suppressAutoHyphens/>
        <w:rPr>
          <w:rFonts w:ascii="Thorndale" w:eastAsia="HG Mincho Light J" w:hAnsi="Thorndale"/>
          <w:color w:val="000000"/>
          <w:szCs w:val="24"/>
          <w:lang w:eastAsia="lt-LT"/>
        </w:rPr>
      </w:pPr>
      <w:r>
        <w:rPr>
          <w:rFonts w:ascii="Thorndale" w:eastAsia="HG Mincho Light J" w:hAnsi="Thorndale"/>
          <w:color w:val="000000"/>
          <w:szCs w:val="24"/>
          <w:lang w:eastAsia="lt-LT"/>
        </w:rPr>
        <w:separator/>
      </w:r>
    </w:p>
  </w:footnote>
  <w:footnote w:type="continuationSeparator" w:id="0">
    <w:p w14:paraId="52796836" w14:textId="77777777">
      <w:pPr>
        <w:widowControl w:val="0"/>
        <w:suppressAutoHyphens/>
        <w:rPr>
          <w:rFonts w:ascii="Thorndale" w:eastAsia="HG Mincho Light J" w:hAnsi="Thorndale"/>
          <w:color w:val="000000"/>
          <w:szCs w:val="24"/>
          <w:lang w:eastAsia="lt-LT"/>
        </w:rPr>
      </w:pPr>
      <w:r>
        <w:rPr>
          <w:rFonts w:ascii="Thorndale" w:eastAsia="HG Mincho Light J" w:hAnsi="Thorndale"/>
          <w:color w:val="000000"/>
          <w:szCs w:val="24"/>
          <w:lang w:eastAsia="lt-LT"/>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2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BF4E"/>
  <w15:docId w15:val="{3E9C9FF3-5BF8-4D47-BD9A-EFA4BDAA128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1249</Characters>
  <Application>Microsoft Office Word</Application>
  <DocSecurity>4</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2022-02-07T16:52:00Z</dcterms:created>
  <dc:creator>Violeta Valančienė</dc:creator>
  <lastModifiedBy>adlibuser</lastModifiedBy>
  <dcterms:modified xsi:type="dcterms:W3CDTF">2022-02-07T16:52:00Z</dcterms:modified>
  <revision>2</revision>
</coreProperties>
</file>