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c1dbe328e04c4f3ab972019aed099648"/>
        <w:lock w:val="sdtLocked"/>
        <w:richText/>
      </w:sdtPr>
      <w:sdtContent>
        <w:p>
          <w:pPr>
            <w:tabs>
              <w:tab w:val="center" w:pos="4819"/>
              <w:tab w:val="right" w:pos="9638"/>
            </w:tabs>
            <w:jc w:val="center"/>
          </w:pPr>
        </w:p>
        <w:p>
          <w:pPr>
            <w:ind w:left="6348" w:firstLine="720"/>
            <w:jc w:val="both"/>
            <w:rPr>
              <w:b/>
              <w:bCs/>
              <w:szCs w:val="24"/>
              <w:lang w:eastAsia="lt-LT"/>
            </w:rPr>
          </w:pPr>
          <w:r>
            <w:rPr>
              <w:b/>
              <w:bCs/>
              <w:szCs w:val="24"/>
              <w:lang w:eastAsia="lt-LT"/>
            </w:rPr>
            <w:t>Projektas</w:t>
          </w:r>
        </w:p>
        <w:p>
          <w:pPr>
            <w:ind w:firstLine="7068"/>
            <w:jc w:val="both"/>
            <w:rPr>
              <w:szCs w:val="24"/>
              <w:lang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color w:val="000000"/>
            </w:rPr>
          </w:pPr>
          <w:r>
            <w:rPr>
              <w:b/>
              <w:bCs/>
              <w:color w:val="000000"/>
              <w:szCs w:val="24"/>
              <w:lang w:eastAsia="lt-LT"/>
            </w:rPr>
            <w:t xml:space="preserve">DĖL </w:t>
          </w:r>
          <w:r>
            <w:rPr>
              <w:b/>
              <w:bCs/>
              <w:szCs w:val="24"/>
            </w:rPr>
            <w:t xml:space="preserve">RADVILIŠKIO RAJONO </w:t>
          </w:r>
          <w:r>
            <w:rPr>
              <w:b/>
              <w:bCs/>
              <w:color w:val="000000"/>
            </w:rPr>
            <w:t>SAVIVALDYBĖS TARYBOS SPRENDIMO </w:t>
          </w:r>
        </w:p>
        <w:p>
          <w:pPr>
            <w:jc w:val="center"/>
            <w:rPr>
              <w:b/>
              <w:bCs/>
              <w:szCs w:val="24"/>
            </w:rPr>
          </w:pPr>
          <w:r>
            <w:rPr>
              <w:b/>
              <w:bCs/>
              <w:color w:val="000000"/>
            </w:rPr>
            <w:t>PRIPAŽINIMO NETEKUSIU GALIOS</w:t>
          </w:r>
        </w:p>
        <w:p>
          <w:pPr>
            <w:jc w:val="center"/>
            <w:rPr>
              <w:szCs w:val="24"/>
            </w:rPr>
          </w:pPr>
        </w:p>
        <w:p>
          <w:pPr>
            <w:jc w:val="center"/>
            <w:rPr>
              <w:szCs w:val="24"/>
            </w:rPr>
          </w:pPr>
          <w:r>
            <w:rPr>
              <w:szCs w:val="24"/>
            </w:rPr>
            <w:t xml:space="preserve">2025 m.                           Nr. T-</w:t>
          </w:r>
        </w:p>
        <w:p>
          <w:pPr>
            <w:jc w:val="center"/>
            <w:rPr>
              <w:szCs w:val="24"/>
            </w:rPr>
          </w:pPr>
          <w:r>
            <w:rPr>
              <w:szCs w:val="24"/>
            </w:rPr>
            <w:t>Radviliškis</w:t>
          </w:r>
        </w:p>
        <w:p>
          <w:pPr>
            <w:jc w:val="center"/>
            <w:rPr>
              <w:sz w:val="22"/>
              <w:szCs w:val="22"/>
            </w:rPr>
          </w:pPr>
        </w:p>
        <w:sdt>
          <w:sdtPr>
            <w:alias w:val="preambule"/>
            <w:tag w:val="part_8c371a970040474a88ca48e1af6e95b0"/>
            <w:lock w:val="sdtLocked"/>
            <w:richText/>
          </w:sdtPr>
          <w:sdtContent>
            <w:p>
              <w:pPr>
                <w:ind w:firstLine="709"/>
                <w:jc w:val="both"/>
                <w:textAlignment w:val="baseline"/>
                <w:rPr>
                  <w:rFonts w:ascii="Calibri" w:hAnsi="Calibri" w:cs="Calibri"/>
                  <w:szCs w:val="24"/>
                  <w:lang w:eastAsia="lt-LT"/>
                </w:rPr>
              </w:pPr>
              <w:r>
                <w:rPr>
                  <w:szCs w:val="24"/>
                  <w:lang w:eastAsia="lt-LT"/>
                </w:rPr>
                <w:t>Vadovaudamasi Lietuvos Respublikos Vietos savivaldos įstatymo 16 straipsnio 1 dalimi, atsižvelgdama į Vyriausybės atstovo Šiaulių ir Telšių apskrityse 2024-01-09 teikimą „</w:t>
              </w:r>
              <w:r>
                <w:rPr>
                  <w:szCs w:val="24"/>
                  <w:lang w:val="en-GB" w:eastAsia="lt-LT"/>
                </w:rPr>
                <w:t>Dėl Radviliškio rajono savivaldybės tarybos</w:t>
              </w:r>
              <w:r>
                <w:rPr>
                  <w:szCs w:val="24"/>
                  <w:lang w:eastAsia="lt-LT"/>
                </w:rPr>
                <w:t xml:space="preserve"> </w:t>
              </w:r>
              <w:r>
                <w:rPr>
                  <w:color w:val="000000"/>
                  <w:szCs w:val="24"/>
                  <w:lang w:eastAsia="lt-LT"/>
                </w:rPr>
                <w:t>2015 m. spalio 6 d. priimto sprendimo Nr. T-108 „Dėl mokesčio nustatymo už specialiojo leidimo išdavimą“</w:t>
              </w:r>
              <w:r>
                <w:rPr>
                  <w:szCs w:val="24"/>
                  <w:lang w:eastAsia="lt-LT"/>
                </w:rPr>
                <w:t xml:space="preserve"> </w:t>
              </w:r>
              <w:r>
                <w:rPr>
                  <w:color w:val="000000"/>
                  <w:szCs w:val="24"/>
                  <w:lang w:eastAsia="lt-LT"/>
                </w:rPr>
                <w:t>nuostatų</w:t>
              </w:r>
              <w:r>
                <w:rPr>
                  <w:szCs w:val="24"/>
                  <w:lang w:eastAsia="lt-LT"/>
                </w:rPr>
                <w:t xml:space="preserve">, Radviliškio rajono savivaldybės taryba </w:t>
              </w:r>
              <w:r>
                <w:rPr>
                  <w:spacing w:val="50"/>
                  <w:szCs w:val="24"/>
                  <w:lang w:eastAsia="lt-LT"/>
                </w:rPr>
                <w:t>nusprendži</w:t>
              </w:r>
              <w:r>
                <w:rPr>
                  <w:szCs w:val="24"/>
                  <w:lang w:eastAsia="lt-LT"/>
                </w:rPr>
                <w:t>a:</w:t>
              </w:r>
            </w:p>
          </w:sdtContent>
        </w:sdt>
        <w:sdt>
          <w:sdtPr>
            <w:alias w:val="pastraipa"/>
            <w:tag w:val="part_9759fbb90fc04736bb0cfebd3b4f4dae"/>
            <w:lock w:val="sdtLocked"/>
            <w:richText/>
          </w:sdtPr>
          <w:sdtContent>
            <w:p>
              <w:pPr>
                <w:spacing w:line="276" w:lineRule="auto"/>
                <w:ind w:firstLine="720"/>
                <w:jc w:val="both"/>
                <w:rPr>
                  <w:szCs w:val="24"/>
                </w:rPr>
              </w:pPr>
              <w:r>
                <w:rPr>
                  <w:szCs w:val="24"/>
                </w:rPr>
                <w:t>Pripažinti netekusiu galios Radviliškio rajono savivaldybės tarybos 2015 m. spalio 6 d. sprendimą Nr. T-108 „Dėl mokesčio nustatymo už specialiojo leidimo išdavimą“ (su vėlesniais pakeitimais).</w:t>
              </w:r>
            </w:p>
            <w:p>
              <w:pPr>
                <w:tabs>
                  <w:tab w:val="left" w:pos="709"/>
                </w:tabs>
                <w:spacing w:line="276" w:lineRule="auto"/>
              </w:pPr>
            </w:p>
            <w:p>
              <w:pPr>
                <w:tabs>
                  <w:tab w:val="left" w:pos="709"/>
                </w:tabs>
                <w:spacing w:line="276" w:lineRule="auto"/>
              </w:pPr>
            </w:p>
            <w:p>
              <w:pPr>
                <w:tabs>
                  <w:tab w:val="left" w:pos="709"/>
                </w:tabs>
                <w:spacing w:line="276" w:lineRule="auto"/>
              </w:pPr>
            </w:p>
            <w:p>
              <w:pPr>
                <w:spacing w:line="276" w:lineRule="auto"/>
                <w:rPr>
                  <w:szCs w:val="24"/>
                </w:rPr>
              </w:pPr>
              <w:r>
                <w:rPr>
                  <w:szCs w:val="24"/>
                </w:rPr>
                <w:t xml:space="preserve">Savivaldybės meras </w:t>
                <w:tab/>
                <w:tab/>
                <w:tab/>
                <w:t xml:space="preserve">                                                               </w:t>
                <w:tab/>
                <w:tab/>
                <w:tab/>
                <w:tab/>
                <w:t xml:space="preserve">               </w:t>
              </w:r>
            </w:p>
            <w:p>
              <w:pPr>
                <w:rPr>
                  <w:szCs w:val="24"/>
                  <w:lang w:eastAsia="lt-LT"/>
                </w:rPr>
              </w:pPr>
            </w:p>
            <w:p>
              <w:pPr>
                <w:tabs>
                  <w:tab w:val="left" w:pos="315"/>
                </w:tabs>
                <w:rPr>
                  <w:b/>
                  <w:bCs/>
                  <w:sz w:val="28"/>
                  <w:szCs w:val="28"/>
                </w:rPr>
              </w:pPr>
            </w:p>
            <w:p>
              <w:pPr>
                <w:jc w:val="center"/>
                <w:rPr>
                  <w:b/>
                  <w:bCs/>
                  <w:sz w:val="28"/>
                  <w:szCs w:val="28"/>
                </w:rPr>
              </w:pPr>
            </w:p>
            <w:p>
              <w:pPr>
                <w:jc w:val="center"/>
                <w:rPr>
                  <w:b/>
                  <w:bCs/>
                  <w:sz w:val="28"/>
                  <w:szCs w:val="28"/>
                </w:rPr>
              </w:pPr>
            </w:p>
            <w:p>
              <w:pPr>
                <w:jc w:val="center"/>
                <w:rPr>
                  <w:b/>
                  <w:bCs/>
                  <w:sz w:val="28"/>
                  <w:szCs w:val="28"/>
                </w:rPr>
              </w:pPr>
            </w:p>
            <w:p>
              <w:pPr>
                <w:rPr>
                  <w:b/>
                  <w:bCs/>
                  <w:sz w:val="28"/>
                  <w:szCs w:val="28"/>
                </w:rPr>
              </w:pPr>
            </w:p>
            <w:p>
              <w:pPr>
                <w:rPr>
                  <w:b/>
                  <w:bCs/>
                  <w:sz w:val="28"/>
                  <w:szCs w:val="28"/>
                </w:rPr>
              </w:pPr>
            </w:p>
            <w:p>
              <w:pPr>
                <w:rPr>
                  <w:b/>
                  <w:bCs/>
                  <w:sz w:val="28"/>
                  <w:szCs w:val="28"/>
                </w:rPr>
              </w:pPr>
            </w:p>
            <w:p>
              <w:pPr>
                <w:rPr>
                  <w:b/>
                  <w:bCs/>
                  <w:sz w:val="28"/>
                  <w:szCs w:val="28"/>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cols w:space="708"/>
                  <w:titlePg/>
                  <w:docGrid w:linePitch="360"/>
                </w:sectPr>
              </w:pPr>
            </w:p>
          </w:sdtContent>
        </w:sdt>
        <w:sdt>
          <w:sdtPr>
            <w:alias w:val="lentele"/>
            <w:tag w:val="part_9cf04cb5f5d04afdb688721293403213"/>
            <w:lock w:val="sdtLocked"/>
            <w:richText/>
          </w:sdtPr>
          <w:sdtContent>
            <w:tbl>
              <w:tblPr>
                <w:tblW w:w="0" w:type="auto"/>
                <w:tblLook w:val="04A0" w:firstRow="1" w:lastRow="0" w:firstColumn="1" w:lastColumn="0" w:noHBand="0" w:noVBand="1"/>
              </w:tblPr>
              <w:tblGrid>
                <w:gridCol w:w="3875"/>
              </w:tblGrid>
              <w:tr>
                <w:trPr>
                  <w:trHeight w:val="783"/>
                </w:trPr>
                <w:tc>
                  <w:tcPr>
                    <w:tcW w:w="3875" w:type="dxa"/>
                  </w:tcPr>
                  <w:p>
                    <w:pPr>
                      <w:tabs>
                        <w:tab w:val="center" w:pos="4819"/>
                        <w:tab w:val="right" w:pos="9638"/>
                      </w:tabs>
                      <w:rPr>
                        <w:sz w:val="22"/>
                        <w:szCs w:val="22"/>
                      </w:rPr>
                    </w:pPr>
                  </w:p>
                  <w:p>
                    <w:pPr>
                      <w:rPr>
                        <w:sz w:val="20"/>
                      </w:rPr>
                    </w:pPr>
                    <w:r>
                      <w:rPr>
                        <w:bCs/>
                        <w:sz w:val="20"/>
                      </w:rPr>
                      <w:t>PATVIRTINTA:</w:t>
                    </w:r>
                  </w:p>
                  <w:p>
                    <w:pPr>
                      <w:rPr>
                        <w:bCs/>
                        <w:sz w:val="20"/>
                      </w:rPr>
                    </w:pPr>
                    <w:r>
                      <w:rPr>
                        <w:bCs/>
                        <w:sz w:val="20"/>
                      </w:rPr>
                      <w:t xml:space="preserve">Radviliškio rajono savivaldybės tarybos </w:t>
                    </w:r>
                  </w:p>
                  <w:p>
                    <w:pPr>
                      <w:rPr>
                        <w:bCs/>
                        <w:sz w:val="20"/>
                      </w:rPr>
                    </w:pPr>
                    <w:r>
                      <w:rPr>
                        <w:bCs/>
                        <w:sz w:val="20"/>
                      </w:rPr>
                      <w:t>2023 m. lapkričio 16 d.</w:t>
                    </w:r>
                  </w:p>
                  <w:p>
                    <w:pPr>
                      <w:rPr>
                        <w:bCs/>
                        <w:sz w:val="20"/>
                      </w:rPr>
                    </w:pPr>
                    <w:r>
                      <w:rPr>
                        <w:bCs/>
                        <w:sz w:val="20"/>
                      </w:rPr>
                      <w:t>Sprendimu Nr. T-</w:t>
                    </w:r>
                  </w:p>
                  <w:p>
                    <w:pPr>
                      <w:rPr>
                        <w:bCs/>
                        <w:sz w:val="22"/>
                        <w:szCs w:val="24"/>
                      </w:rPr>
                    </w:pPr>
                  </w:p>
                </w:tc>
              </w:tr>
            </w:tbl>
            <w:p/>
          </w:sdtContent>
        </w:sdt>
        <w:sdt>
          <w:sdtPr>
            <w:alias w:val="skirsnis"/>
            <w:tag w:val="part_f988c18687bc4f91ac026669091940a6"/>
            <w:lock w:val="sdtLocked"/>
            <w:richText/>
          </w:sdtPr>
          <w:sdtContent>
            <w:sdt>
              <w:sdtPr>
                <w:alias w:val="Pavadinimas"/>
                <w:tag w:val="title_f988c18687bc4f91ac026669091940a6"/>
                <w:lock w:val="sdtLocked"/>
                <w:richText/>
              </w:sdtPr>
              <w:sdtContent>
                <w:p>
                  <w:pPr>
                    <w:ind w:right="278"/>
                    <w:jc w:val="center"/>
                    <w:rPr>
                      <w:b/>
                      <w:szCs w:val="24"/>
                    </w:rPr>
                  </w:pPr>
                  <w:r>
                    <w:rPr>
                      <w:b/>
                      <w:szCs w:val="24"/>
                    </w:rPr>
                    <w:t>RADVILIŠKIO RAJONO SAVIVALDYBĖS TARYBOS SPRENDIMO PROJEKTO</w:t>
                  </w:r>
                </w:p>
                <w:p>
                  <w:pPr>
                    <w:jc w:val="center"/>
                    <w:rPr>
                      <w:b/>
                      <w:bCs/>
                      <w:color w:val="000000"/>
                    </w:rPr>
                  </w:pPr>
                  <w:r>
                    <w:rPr>
                      <w:b/>
                      <w:szCs w:val="24"/>
                    </w:rPr>
                    <w:t>„</w:t>
                  </w:r>
                  <w:r>
                    <w:rPr>
                      <w:b/>
                      <w:bCs/>
                      <w:color w:val="000000"/>
                      <w:szCs w:val="24"/>
                      <w:lang w:eastAsia="lt-LT"/>
                    </w:rPr>
                    <w:t xml:space="preserve">DĖL </w:t>
                  </w:r>
                  <w:r>
                    <w:rPr>
                      <w:b/>
                      <w:bCs/>
                      <w:szCs w:val="24"/>
                    </w:rPr>
                    <w:t xml:space="preserve">RADVILIŠKIO RAJONO </w:t>
                  </w:r>
                  <w:r>
                    <w:rPr>
                      <w:b/>
                      <w:bCs/>
                      <w:color w:val="000000"/>
                    </w:rPr>
                    <w:t>SAVIVALDYBĖS TARYBOS SPRENDIMO </w:t>
                  </w:r>
                </w:p>
                <w:p>
                  <w:pPr>
                    <w:jc w:val="center"/>
                    <w:rPr>
                      <w:b/>
                      <w:bCs/>
                      <w:szCs w:val="24"/>
                    </w:rPr>
                  </w:pPr>
                  <w:r>
                    <w:rPr>
                      <w:b/>
                      <w:bCs/>
                      <w:color w:val="000000"/>
                    </w:rPr>
                    <w:t>PRIPAŽINIMO NETEKUSIU GALIOS</w:t>
                  </w:r>
                  <w:r>
                    <w:rPr>
                      <w:b/>
                      <w:szCs w:val="24"/>
                    </w:rPr>
                    <w:t>”</w:t>
                  </w:r>
                </w:p>
                <w:p>
                  <w:pPr>
                    <w:ind w:right="278"/>
                    <w:jc w:val="center"/>
                    <w:rPr>
                      <w:b/>
                      <w:bCs/>
                      <w:szCs w:val="24"/>
                    </w:rPr>
                  </w:pPr>
                  <w:r>
                    <w:rPr>
                      <w:b/>
                      <w:bCs/>
                      <w:szCs w:val="24"/>
                    </w:rPr>
                    <w:t>AIŠKINAMASIS RAŠTAS</w:t>
                  </w:r>
                </w:p>
              </w:sdtContent>
            </w:sdt>
            <w:p>
              <w:pPr>
                <w:ind w:right="177" w:firstLine="4925"/>
                <w:rPr>
                  <w:szCs w:val="24"/>
                </w:rPr>
              </w:pPr>
            </w:p>
            <w:p>
              <w:pPr>
                <w:ind w:right="177" w:firstLine="709"/>
                <w:jc w:val="center"/>
                <w:rPr>
                  <w:szCs w:val="24"/>
                </w:rPr>
              </w:pPr>
              <w:r>
                <w:rPr>
                  <w:szCs w:val="24"/>
                </w:rPr>
                <w:t>2025 m. sausio 14 d.</w:t>
              </w:r>
            </w:p>
            <w:p>
              <w:pPr>
                <w:ind w:right="177" w:firstLine="709"/>
                <w:jc w:val="center"/>
                <w:rPr>
                  <w:szCs w:val="24"/>
                </w:rPr>
              </w:pPr>
              <w:r>
                <w:rPr>
                  <w:szCs w:val="24"/>
                </w:rPr>
                <w:t>Radviliškis</w:t>
              </w:r>
            </w:p>
            <w:p>
              <w:pPr>
                <w:ind w:left="-120"/>
                <w:rPr>
                  <w:szCs w:val="24"/>
                </w:rPr>
              </w:pPr>
            </w:p>
            <w:sdt>
              <w:sdtPr>
                <w:alias w:val="1 p."/>
                <w:tag w:val="part_190cdcb716cb44048509792d0b60b613"/>
                <w:lock w:val="sdtLocked"/>
                <w:richText/>
              </w:sdtPr>
              <w:sdtContent>
                <w:p>
                  <w:pPr>
                    <w:tabs>
                      <w:tab w:val="left" w:pos="993"/>
                    </w:tabs>
                    <w:spacing w:line="276" w:lineRule="auto"/>
                    <w:ind w:firstLine="709"/>
                    <w:jc w:val="both"/>
                    <w:rPr>
                      <w:b/>
                      <w:bCs/>
                      <w:szCs w:val="24"/>
                    </w:rPr>
                  </w:pPr>
                  <w:sdt>
                    <w:sdtPr>
                      <w:alias w:val="Numeris"/>
                      <w:tag w:val="nr_190cdcb716cb44048509792d0b60b613"/>
                      <w:lock w:val="sdtLocked"/>
                      <w:richText/>
                    </w:sdtPr>
                    <w:sdtContent>
                      <w:r>
                        <w:rPr>
                          <w:b/>
                          <w:bCs/>
                          <w:szCs w:val="24"/>
                        </w:rPr>
                        <w:t>1</w:t>
                      </w:r>
                    </w:sdtContent>
                  </w:sdt>
                  <w:r>
                    <w:rPr>
                      <w:b/>
                      <w:bCs/>
                      <w:szCs w:val="24"/>
                    </w:rPr>
                    <w:t>.</w:t>
                    <w:tab/>
                    <w:t>Parengto sprendimo rengimą paskatinusios priežastys, parengto projekto tikslai, sprendimo projekto tikslai ir uždaviniai.</w:t>
                  </w:r>
                </w:p>
                <w:p>
                  <w:pPr>
                    <w:spacing w:line="276" w:lineRule="auto"/>
                    <w:ind w:firstLine="736"/>
                    <w:jc w:val="both"/>
                    <w:rPr>
                      <w:szCs w:val="24"/>
                    </w:rPr>
                  </w:pPr>
                  <w:r>
                    <w:rPr>
                      <w:szCs w:val="24"/>
                    </w:rPr>
                    <w:t>Radviliškio rajono savivaldybės taryba 2015 m. spalio 6 d. priėmė sprendimą Nr.T-108 „Dėl</w:t>
                    <w:br/>
                    <w:t>mokesčio nustatymo už specialiojo leidimo išdavimą“ (toliau – Sprendimas). Sprendimo 1 punktu</w:t>
                    <w:br/>
                    <w:t>nuspręsta: Nustatyti mokestį už specialiojo leidimo, suteikiančio teisę transporto priemonei</w:t>
                    <w:br/>
                    <w:t>stovėti kelio ženklo Nr. 531 „Rezervuota stovėjimo vieta“ galiojimo zonoje, išdavimą vienam</w:t>
                    <w:br/>
                    <w:t>mėnesiui – 5 Eur, metams – 50 Eur.“</w:t>
                  </w:r>
                </w:p>
                <w:p>
                  <w:pPr>
                    <w:spacing w:line="276" w:lineRule="auto"/>
                    <w:ind w:firstLine="709"/>
                    <w:jc w:val="both"/>
                  </w:pPr>
                  <w:r>
                    <w:t xml:space="preserve">Sprendimas buvo priimtas, siekiant, kad motorinių transporto priemonių vairuotojai, pageidaujantys statyti transporto priemones kelio ženklo Nr. 531 „Rezervuota stovėjimo vieta“ galiojimo zonoje, įsigytų specialiuosius leidimus, suteikiančius tokią teisę. </w:t>
                  </w:r>
                </w:p>
                <w:p>
                  <w:pPr>
                    <w:spacing w:line="276" w:lineRule="auto"/>
                    <w:ind w:firstLine="709"/>
                    <w:jc w:val="both"/>
                    <w:rPr>
                      <w:i/>
                      <w:iCs/>
                    </w:rPr>
                  </w:pPr>
                  <w:r>
                    <w:rPr>
                      <w:szCs w:val="24"/>
                    </w:rPr>
                    <w:t xml:space="preserve">Radviliškio rajono savivaldybės taryba 2023 m. kovo 16 d. priėmė sprendimą </w:t>
                  </w:r>
                  <w:r>
                    <w:t xml:space="preserve">„Dėl Radviliškio rajono savivaldybės tarybos 2015-10-06 sprendimo Nr. T-108 „Dėl mokesčio nustatymo už specialiojo leidimo išdavimą“ pakeitimo“ – buvo pakeistas sprendimo 2 punktas ir išdėstytas taip: </w:t>
                  </w:r>
                  <w:r>
                    <w:rPr>
                      <w:i/>
                      <w:iCs/>
                    </w:rPr>
                    <w:t xml:space="preserve">Šio sprendimo 1 punkto nuostatos netaikyti Radviliškio rajono savivaldybės kontroliuojamiems viešojo sektoriaus subjektams ir kitoms valstybės įstaigoms. </w:t>
                  </w:r>
                </w:p>
                <w:p>
                  <w:pPr>
                    <w:spacing w:line="276" w:lineRule="auto"/>
                    <w:ind w:firstLine="720"/>
                    <w:jc w:val="both"/>
                    <w:rPr>
                      <w:color w:val="000000"/>
                      <w:szCs w:val="24"/>
                    </w:rPr>
                  </w:pPr>
                  <w:r>
                    <w:rPr>
                      <w:color w:val="000000"/>
                      <w:szCs w:val="24"/>
                    </w:rPr>
                    <w:t>Lietuvos Respublikos rinkliavų įstatymo 11 straipsnio 1 dalies 6 punktu savivaldybės tarybai yra suteikta teisė nustatyti vietinę rinkliavą už naudojimąsi savivaldybių tarybų nustatytomis vietomis automobiliams statyti, išskyrus vietas automobiliams statyti prie valstybinės reikšmės kelių, 5–15 m pažymėtoje atkarpoje prie valstybės įstaigų, institucijų ir tarnybų, taip pat vietas, kurias nustato Vyriausybė, atsižvelgdama į saugumą, tarptautinį protokolą ar kitus viešuosius interesus užtikrinančius reikalavimus; taip pat išskyrus automobilių, pažymėtų neįgalių asmenų automobilių statymo kortele, statymą savivaldybių tarybų nustatytose nerezervuotose mokamose vietose automobiliams statyti ir Vadovybės apsaugos departamento prie Vidaus reikalų ministerijos transporto priemonių, naudojamų saugomų asmenų ir (ar) saugomų objektų apsaugai, statymą.</w:t>
                  </w:r>
                </w:p>
                <w:p>
                  <w:pPr>
                    <w:spacing w:line="276" w:lineRule="auto"/>
                    <w:ind w:firstLine="720"/>
                    <w:jc w:val="both"/>
                    <w:rPr>
                      <w:color w:val="000000"/>
                      <w:szCs w:val="24"/>
                    </w:rPr>
                  </w:pPr>
                  <w:r>
                    <w:rPr>
                      <w:color w:val="000000"/>
                      <w:szCs w:val="24"/>
                    </w:rPr>
                    <w:t xml:space="preserve">Atlikta analizė parodė, kad nemažai Lietuvos savivaldybių ar kitų institucijų (ministerijų, departamentų ir t.t.) prie savivaldybės ar kito valstybinio pastato rezervuoja arba palieka laisvas vietas laikinam klientų automobilių pastatymui, į savivaldybę ar ministeriją atvykstantiems pavieniams svečiams arba svečių delegacijoms. Šios stovėjimo vietos yra nemokamos – didmiesčiuose įprastai neapmokestintoje stovėjimo teritorijoje. </w:t>
                  </w:r>
                </w:p>
                <w:p>
                  <w:pPr>
                    <w:spacing w:line="276" w:lineRule="auto"/>
                    <w:ind w:firstLine="720"/>
                    <w:jc w:val="both"/>
                    <w:rPr>
                      <w:color w:val="000000"/>
                      <w:szCs w:val="24"/>
                    </w:rPr>
                  </w:pPr>
                  <w:r>
                    <w:rPr>
                      <w:color w:val="000000"/>
                      <w:szCs w:val="24"/>
                    </w:rPr>
                    <w:t xml:space="preserve">Didžioji dalis valstybinių įstaigų, prie kurių rezervuojamos automobilių stovėjimo vietos, tarp jų ir Radviliškio rajono savivaldybė, yra miestų centruose, kur automobilių sustojimo (parkavimo) poreikis yra didžiausias, todėl jos turėtų būti prieinamos visiems miesto gyventojams, šiuo atveju, radviliškiečiams. </w:t>
                  </w:r>
                </w:p>
                <w:p>
                  <w:pPr>
                    <w:spacing w:line="276" w:lineRule="auto"/>
                    <w:ind w:firstLine="720"/>
                    <w:jc w:val="both"/>
                    <w:rPr>
                      <w:color w:val="000000"/>
                      <w:szCs w:val="24"/>
                    </w:rPr>
                  </w:pPr>
                  <w:r>
                    <w:rPr>
                      <w:color w:val="000000"/>
                      <w:szCs w:val="24"/>
                    </w:rPr>
                    <w:t>Rezervuotų automobilių parkavimo vietų poreikį mažintų ir dažnesnis elektromobilių naudojimas. Jų vairuotojams skirtinguose Lietuvos miestuose taikomos įvairios skatinamosios priemonės, tarp jų ir nemokamas parkavimas. </w:t>
                  </w:r>
                </w:p>
                <w:p>
                  <w:pPr>
                    <w:spacing w:line="276" w:lineRule="auto"/>
                    <w:ind w:firstLine="720"/>
                    <w:jc w:val="both"/>
                    <w:rPr>
                      <w:color w:val="000000"/>
                      <w:szCs w:val="24"/>
                    </w:rPr>
                  </w:pPr>
                  <w:r>
                    <w:rPr>
                      <w:color w:val="000000"/>
                      <w:szCs w:val="24"/>
                    </w:rPr>
                    <w:t xml:space="preserve">Savivaldybės tikslas turėtų būti vietos gyventojų ar miesto svečių patogumas, siekiant, kad į savivaldybę atvykstantys interesantai ar lankytojai nepatirtų papildomų išlaidų – specialiojo leidimo, suteikiančio teisę transporto priemonei stovėti kelio ženklo Nr. 531 „Rezervuota stovėjimo vieta“ galiojimo zonoje, mokamas įsigijimas šiai nuostatai prieštarauja. </w:t>
                  </w:r>
                </w:p>
                <w:p>
                  <w:pPr>
                    <w:spacing w:line="276" w:lineRule="auto"/>
                    <w:ind w:firstLine="720"/>
                    <w:jc w:val="both"/>
                    <w:rPr>
                      <w:color w:val="000000"/>
                      <w:szCs w:val="24"/>
                    </w:rPr>
                  </w:pPr>
                  <w:r>
                    <w:rPr>
                      <w:color w:val="000000"/>
                      <w:szCs w:val="24"/>
                    </w:rPr>
                    <w:t>Vietos gyventojų atsiliepimai žodžiu ar raštu socialiniuose tinkluose rodo, kad poreikis atvykus į Radviliškio rajono savivaldybę laikinai automobilį pastatyti šalia savivaldybės pastato kelio ženklo Nr. 531 „Rezervuota stovėjimo vieta“ galiojimo zonoje yra didelis, juolab, kad iki 2015 m. jokių ribojimų minėtoje zonoje nebuvo ir tokios zonos (su apribojimais) Radviliškio mieste šiuo metu yra vos dvi.</w:t>
                  </w:r>
                </w:p>
                <w:p>
                  <w:pPr>
                    <w:spacing w:line="276" w:lineRule="auto"/>
                    <w:ind w:firstLine="709"/>
                    <w:jc w:val="both"/>
                  </w:pPr>
                  <w:r>
                    <w:rPr>
                      <w:szCs w:val="24"/>
                    </w:rPr>
                    <w:t xml:space="preserve">Pastebėta, kad Sprendimas </w:t>
                  </w:r>
                  <w:r>
                    <w:t>neprisidėjo nei prie transporto priemonių srautų mieste reguliavimo, nei prie eismo sąlygų pagerinimo. Vertinant gautas pajamas už parduotus leidimus, galima konstatuoti, kad finansinės naudos savivaldybės biudžetas nepatyrė, nes parduotų leidimų skaičius buvo tiesiog per mažas.</w:t>
                  </w:r>
                </w:p>
                <w:p>
                  <w:pPr>
                    <w:spacing w:line="276" w:lineRule="auto"/>
                    <w:ind w:firstLine="720"/>
                    <w:jc w:val="both"/>
                    <w:textAlignment w:val="baseline"/>
                    <w:rPr>
                      <w:szCs w:val="24"/>
                      <w:lang w:eastAsia="lt-LT"/>
                    </w:rPr>
                  </w:pPr>
                  <w:r>
                    <w:rPr>
                      <w:szCs w:val="24"/>
                      <w:lang w:eastAsia="lt-LT"/>
                    </w:rPr>
                    <w:t xml:space="preserve">Vyriausybės atstovas Šiaulių ir Telšių apskrityse nurodė, kad sprendimas prieštarauja  Lietuvos Respublikos Viešojo administravimo įstatyme ir Lietuvos Respublikos vietos savivaldos įstatyme nustatytiems principams. Vyriausybės atstovas teikime išdėstė argumentus ir vadovaudamasis Lietuvos Respublikos savivaldybių administracinės priežiūros įstatymo 7 straipsnio 1 dalies 1 punktu, 8 straipsnio 1 dalies 1 punktu, </w:t>
                  </w:r>
                  <w:r>
                    <w:rPr>
                      <w:b/>
                      <w:bCs/>
                      <w:i/>
                      <w:iCs/>
                      <w:szCs w:val="24"/>
                      <w:lang w:eastAsia="lt-LT"/>
                    </w:rPr>
                    <w:t xml:space="preserve">siūlo </w:t>
                  </w:r>
                  <w:r>
                    <w:rPr>
                      <w:color w:val="000000"/>
                      <w:szCs w:val="24"/>
                      <w:lang w:eastAsia="lt-LT"/>
                    </w:rPr>
                    <w:t>svarstyti Radviliškio rajono savivaldybės tarybos</w:t>
                  </w:r>
                  <w:r>
                    <w:rPr>
                      <w:szCs w:val="24"/>
                      <w:lang w:eastAsia="lt-LT"/>
                    </w:rPr>
                    <w:t xml:space="preserve"> 2015 m. spalio  6 d.  sprendimo  Nr.T-108 „Dėl mokesčio nustatymo už specialiojo leidimo išdavimą“ </w:t>
                  </w:r>
                  <w:r>
                    <w:rPr>
                      <w:color w:val="000000"/>
                      <w:szCs w:val="24"/>
                      <w:lang w:eastAsia="lt-LT"/>
                    </w:rPr>
                    <w:t>panaikinimo klausimą. </w:t>
                  </w:r>
                </w:p>
                <w:p>
                  <w:pPr>
                    <w:spacing w:line="276" w:lineRule="auto"/>
                    <w:ind w:firstLine="709"/>
                    <w:jc w:val="both"/>
                  </w:pPr>
                  <w:r>
                    <w:t>Atsižvelgiant į Vyriausybės atstovo Šiaulių ir Telšių apskrityse 2024-01-09 teikimą, vietos gyventojų prašymus ir siekiant prie savivaldybės pastato palikti laisvas nemokamas vietas laikinam klientų automobilių pastatymui, į savivaldybę atvykstantiems interesantams, pavieniams svečiams arba svečių delegacijoms ir sudaryti visiems vienodas sąlygas, neišskiriant tik tam tikros žmonių grupės (šiuo atveju – įsigijusių leidimą), siūloma pripažinti netekusiu galios Radviliškio rajono savivaldybės tarybos 2015 m. spalio 6 d. sprendimą Nr. T-108 „Dėl mokesčio nustatymo už specialiojo leidimo išdavimą“ (su vėlesniais pakeitimais).</w:t>
                  </w:r>
                </w:p>
              </w:sdtContent>
            </w:sdt>
            <w:sdt>
              <w:sdtPr>
                <w:alias w:val="2 p."/>
                <w:tag w:val="part_72348ed8fb094856984b555b08761b74"/>
                <w:lock w:val="sdtLocked"/>
                <w:richText/>
              </w:sdtPr>
              <w:sdtContent>
                <w:p>
                  <w:pPr>
                    <w:spacing w:line="276" w:lineRule="auto"/>
                    <w:ind w:firstLine="720"/>
                    <w:jc w:val="both"/>
                    <w:rPr>
                      <w:szCs w:val="24"/>
                    </w:rPr>
                  </w:pPr>
                  <w:sdt>
                    <w:sdtPr>
                      <w:alias w:val="Numeris"/>
                      <w:tag w:val="nr_72348ed8fb094856984b555b08761b74"/>
                      <w:lock w:val="sdtLocked"/>
                      <w:richText/>
                    </w:sdtPr>
                    <w:sdtContent>
                      <w:r>
                        <w:rPr>
                          <w:b/>
                          <w:bCs/>
                          <w:szCs w:val="24"/>
                        </w:rPr>
                        <w:t>2</w:t>
                      </w:r>
                    </w:sdtContent>
                  </w:sdt>
                  <w:r>
                    <w:rPr>
                      <w:b/>
                      <w:bCs/>
                      <w:szCs w:val="24"/>
                    </w:rPr>
                    <w:t>. Projekto iniciatoriai (institucija, asmenys ar piliečių atstovai) ir rengėjai.</w:t>
                  </w:r>
                </w:p>
                <w:p>
                  <w:pPr>
                    <w:spacing w:line="276" w:lineRule="auto"/>
                    <w:ind w:right="-1" w:firstLine="709"/>
                    <w:jc w:val="both"/>
                    <w:rPr>
                      <w:szCs w:val="24"/>
                    </w:rPr>
                  </w:pPr>
                  <w:r>
                    <w:rPr>
                      <w:lang w:bidi="he-IL"/>
                    </w:rPr>
                    <w:t>Projekto iniciatorius – Radviliškio rajono savivaldybės meras Kazimieras Račkauskis. Rengėjas – tarybos posėdžių sekretorius Kęstutis Dambrauskas</w:t>
                  </w:r>
                  <w:r>
                    <w:rPr>
                      <w:szCs w:val="24"/>
                    </w:rPr>
                    <w:t>.</w:t>
                  </w:r>
                </w:p>
              </w:sdtContent>
            </w:sdt>
            <w:sdt>
              <w:sdtPr>
                <w:alias w:val="3 p."/>
                <w:tag w:val="part_9c59a88dbad3438d99349551cb996f39"/>
                <w:lock w:val="sdtLocked"/>
                <w:richText/>
              </w:sdtPr>
              <w:sdtContent>
                <w:p>
                  <w:pPr>
                    <w:spacing w:line="276" w:lineRule="auto"/>
                    <w:ind w:firstLine="709"/>
                    <w:jc w:val="both"/>
                    <w:rPr>
                      <w:b/>
                      <w:szCs w:val="24"/>
                    </w:rPr>
                  </w:pPr>
                  <w:sdt>
                    <w:sdtPr>
                      <w:alias w:val="Numeris"/>
                      <w:tag w:val="nr_9c59a88dbad3438d99349551cb996f39"/>
                      <w:lock w:val="sdtLocked"/>
                      <w:richText/>
                    </w:sdtPr>
                    <w:sdtContent>
                      <w:r>
                        <w:rPr>
                          <w:b/>
                          <w:bCs/>
                          <w:szCs w:val="24"/>
                        </w:rPr>
                        <w:t>3</w:t>
                      </w:r>
                    </w:sdtContent>
                  </w:sdt>
                  <w:r>
                    <w:rPr>
                      <w:b/>
                      <w:bCs/>
                      <w:szCs w:val="24"/>
                    </w:rPr>
                    <w:t xml:space="preserve">.  </w:t>
                  </w:r>
                  <w:r>
                    <w:rPr>
                      <w:b/>
                      <w:szCs w:val="24"/>
                    </w:rPr>
                    <w:t>Kaip šiuo metu yra reguliuojami sprendimo projekte aptarti teisiniai santykiai.</w:t>
                  </w:r>
                </w:p>
                <w:p>
                  <w:pPr>
                    <w:spacing w:line="276" w:lineRule="auto"/>
                    <w:ind w:firstLine="720"/>
                    <w:jc w:val="both"/>
                    <w:rPr>
                      <w:szCs w:val="24"/>
                    </w:rPr>
                  </w:pPr>
                  <w:r>
                    <w:rPr>
                      <w:szCs w:val="24"/>
                    </w:rPr>
                    <w:t>Radviliškio rajono savivaldybės tarybos 2015 m. spalio 6 d. sprendimas Nr. T-108 „Dėl mokesčio nustatymo už specialiojo leidimo išdavimą“ (su vėlesniais pakeitimais).</w:t>
                  </w:r>
                </w:p>
              </w:sdtContent>
            </w:sdt>
            <w:sdt>
              <w:sdtPr>
                <w:alias w:val="4 p."/>
                <w:tag w:val="part_7adc3f5e2a5b43148a66764ab8636ce3"/>
                <w:lock w:val="sdtLocked"/>
                <w:richText/>
              </w:sdtPr>
              <w:sdtContent>
                <w:p>
                  <w:pPr>
                    <w:spacing w:line="276" w:lineRule="auto"/>
                    <w:ind w:firstLine="771"/>
                    <w:jc w:val="both"/>
                    <w:rPr>
                      <w:b/>
                      <w:bCs/>
                      <w:szCs w:val="24"/>
                    </w:rPr>
                  </w:pPr>
                  <w:sdt>
                    <w:sdtPr>
                      <w:alias w:val="Numeris"/>
                      <w:tag w:val="nr_7adc3f5e2a5b43148a66764ab8636ce3"/>
                      <w:lock w:val="sdtLocked"/>
                      <w:richText/>
                    </w:sdtPr>
                    <w:sdtContent>
                      <w:r>
                        <w:rPr>
                          <w:b/>
                          <w:bCs/>
                          <w:szCs w:val="24"/>
                        </w:rPr>
                        <w:t>4</w:t>
                      </w:r>
                    </w:sdtContent>
                  </w:sdt>
                  <w:r>
                    <w:rPr>
                      <w:b/>
                      <w:bCs/>
                      <w:szCs w:val="24"/>
                    </w:rPr>
                    <w:t xml:space="preserve">. Kokios siūlomos naujos teisinio reguliavimo nuostatos, kokių teigiamų rezultatų laukiama. </w:t>
                  </w:r>
                </w:p>
                <w:p>
                  <w:pPr>
                    <w:spacing w:line="276" w:lineRule="auto"/>
                    <w:ind w:firstLine="709"/>
                    <w:jc w:val="both"/>
                  </w:pPr>
                  <w:r>
                    <w:t>Atsižvelgiant į vietos gyventojų prašymus ir siekiant prie savivaldybės pastato palikti laisvas nemokamas vietas laikinam klientų automobilių pastatymui, į savivaldybę atvykstantiems interesantams, pavieniams svečiams arba svečių delegacijoms ir sudaryti visiems vienodas sąlygas, neišskiriant tik tam tikros žmonių grupės (šiuo atveju – įsigijusių leidimą).</w:t>
                  </w:r>
                </w:p>
              </w:sdtContent>
            </w:sdt>
            <w:sdt>
              <w:sdtPr>
                <w:alias w:val="5 p."/>
                <w:tag w:val="part_b95721c3ae384e8b941edecb1ac7bff2"/>
                <w:lock w:val="sdtLocked"/>
                <w:richText/>
              </w:sdtPr>
              <w:sdtContent>
                <w:p>
                  <w:pPr>
                    <w:spacing w:line="276" w:lineRule="auto"/>
                    <w:ind w:firstLine="709"/>
                    <w:jc w:val="both"/>
                    <w:rPr>
                      <w:szCs w:val="24"/>
                    </w:rPr>
                  </w:pPr>
                  <w:sdt>
                    <w:sdtPr>
                      <w:alias w:val="Numeris"/>
                      <w:tag w:val="nr_b95721c3ae384e8b941edecb1ac7bff2"/>
                      <w:lock w:val="sdtLocked"/>
                      <w:richText/>
                    </w:sdtPr>
                    <w:sdtContent>
                      <w:r>
                        <w:rPr>
                          <w:b/>
                          <w:bCs/>
                          <w:szCs w:val="24"/>
                        </w:rPr>
                        <w:t>5</w:t>
                      </w:r>
                    </w:sdtContent>
                  </w:sdt>
                  <w:r>
                    <w:rPr>
                      <w:b/>
                      <w:bCs/>
                      <w:szCs w:val="24"/>
                    </w:rPr>
                    <w:t xml:space="preserve">. Galimos neigiamos priimto sprendimo projekto pasekmės ir kokių priemonių reikėtų imtis, kad tokių pasekmių būtų išvengta. </w:t>
                  </w:r>
                </w:p>
                <w:p>
                  <w:pPr>
                    <w:spacing w:line="276" w:lineRule="auto"/>
                    <w:ind w:firstLine="709"/>
                    <w:jc w:val="both"/>
                    <w:rPr>
                      <w:b/>
                      <w:bCs/>
                      <w:szCs w:val="24"/>
                    </w:rPr>
                  </w:pPr>
                  <w:r>
                    <w:rPr>
                      <w:szCs w:val="24"/>
                    </w:rPr>
                    <w:t>Neigiamų pasekmių nenumatoma.</w:t>
                  </w:r>
                </w:p>
              </w:sdtContent>
            </w:sdt>
            <w:sdt>
              <w:sdtPr>
                <w:alias w:val="6 p."/>
                <w:tag w:val="part_1f622447eb6f4e13bd0c40a50a9d22f9"/>
                <w:lock w:val="sdtLocked"/>
                <w:richText/>
              </w:sdtPr>
              <w:sdtContent>
                <w:p>
                  <w:pPr>
                    <w:spacing w:line="276" w:lineRule="auto"/>
                    <w:ind w:firstLine="709"/>
                    <w:jc w:val="both"/>
                    <w:rPr>
                      <w:szCs w:val="24"/>
                    </w:rPr>
                  </w:pPr>
                  <w:sdt>
                    <w:sdtPr>
                      <w:alias w:val="Numeris"/>
                      <w:tag w:val="nr_1f622447eb6f4e13bd0c40a50a9d22f9"/>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spacing w:line="276" w:lineRule="auto"/>
                    <w:ind w:firstLine="709"/>
                    <w:jc w:val="both"/>
                  </w:pPr>
                  <w:r>
                    <w:t>Siūloma pripažinti netekusiu galios Radviliškio rajono savivaldybės tarybos 2015 m. spalio 6 d. sprendimą Nr. T-108 „Dėl mokesčio nustatymo už specialiojo leidimo išdavimą“ (su vėlesniais pakeitimais).</w:t>
                  </w:r>
                </w:p>
              </w:sdtContent>
            </w:sdt>
            <w:sdt>
              <w:sdtPr>
                <w:alias w:val="7 p."/>
                <w:tag w:val="part_1f136a91824440eb88c894688deeea3e"/>
                <w:lock w:val="sdtLocked"/>
                <w:richText/>
              </w:sdtPr>
              <w:sdtContent>
                <w:p>
                  <w:pPr>
                    <w:spacing w:line="276" w:lineRule="auto"/>
                    <w:ind w:firstLine="709"/>
                    <w:jc w:val="both"/>
                    <w:rPr>
                      <w:szCs w:val="24"/>
                    </w:rPr>
                  </w:pPr>
                  <w:sdt>
                    <w:sdtPr>
                      <w:alias w:val="Numeris"/>
                      <w:tag w:val="nr_1f136a91824440eb88c894688deeea3e"/>
                      <w:lock w:val="sdtLocked"/>
                      <w:richText/>
                    </w:sdtPr>
                    <w:sdtContent>
                      <w:r>
                        <w:rPr>
                          <w:b/>
                          <w:bCs/>
                          <w:szCs w:val="24"/>
                        </w:rPr>
                        <w:t>7</w:t>
                      </w:r>
                    </w:sdtContent>
                  </w:sdt>
                  <w:r>
                    <w:rPr>
                      <w:b/>
                      <w:bCs/>
                      <w:szCs w:val="24"/>
                    </w:rPr>
                    <w:t xml:space="preserve">. </w:t>
                  </w:r>
                  <w:r>
                    <w:rPr>
                      <w:b/>
                      <w:szCs w:val="24"/>
                    </w:rPr>
                    <w:t xml:space="preserve">Sprendimo projektui įgyvendinti reikalingos lėšos, finansavimo šaltiniai. </w:t>
                  </w:r>
                </w:p>
                <w:p>
                  <w:pPr>
                    <w:spacing w:line="276" w:lineRule="auto"/>
                    <w:ind w:firstLine="709"/>
                    <w:jc w:val="both"/>
                    <w:rPr>
                      <w:b/>
                      <w:szCs w:val="24"/>
                    </w:rPr>
                  </w:pPr>
                  <w:r>
                    <w:rPr>
                      <w:szCs w:val="24"/>
                    </w:rPr>
                    <w:t xml:space="preserve">Sprendimo projektui įgyvendinti papildomų lėšų nereikės.  </w:t>
                  </w:r>
                </w:p>
              </w:sdtContent>
            </w:sdt>
            <w:sdt>
              <w:sdtPr>
                <w:alias w:val="8 p."/>
                <w:tag w:val="part_a6badf8f0ebb4c098073b3e4e876ed48"/>
                <w:lock w:val="sdtLocked"/>
                <w:richText/>
              </w:sdtPr>
              <w:sdtContent>
                <w:p>
                  <w:pPr>
                    <w:tabs>
                      <w:tab w:val="left" w:pos="1418"/>
                    </w:tabs>
                    <w:spacing w:line="276" w:lineRule="auto"/>
                    <w:ind w:left="709"/>
                    <w:jc w:val="both"/>
                    <w:rPr>
                      <w:b/>
                      <w:bCs/>
                      <w:szCs w:val="24"/>
                    </w:rPr>
                  </w:pPr>
                  <w:sdt>
                    <w:sdtPr>
                      <w:alias w:val="Numeris"/>
                      <w:tag w:val="nr_a6badf8f0ebb4c098073b3e4e876ed48"/>
                      <w:lock w:val="sdtLocked"/>
                      <w:richText/>
                    </w:sdtPr>
                    <w:sdtContent>
                      <w:r>
                        <w:rPr>
                          <w:b/>
                          <w:bCs/>
                          <w:szCs w:val="24"/>
                        </w:rPr>
                        <w:t>8</w:t>
                      </w:r>
                    </w:sdtContent>
                  </w:sdt>
                  <w:r>
                    <w:rPr>
                      <w:b/>
                      <w:bCs/>
                      <w:szCs w:val="24"/>
                    </w:rPr>
                    <w:t xml:space="preserve">. 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teisininku, kalbininku, administracijos direktoriumi, vicemerais ir meru.</w:t>
                  </w:r>
                </w:p>
              </w:sdtContent>
            </w:sdt>
            <w:sdt>
              <w:sdtPr>
                <w:alias w:val="9 p."/>
                <w:tag w:val="part_4e871eb9cdeb45aa88ce6f938be8e391"/>
                <w:lock w:val="sdtLocked"/>
                <w:richText/>
              </w:sdtPr>
              <w:sdtContent>
                <w:p>
                  <w:pPr>
                    <w:spacing w:line="276" w:lineRule="auto"/>
                    <w:ind w:left="709"/>
                    <w:jc w:val="both"/>
                    <w:rPr>
                      <w:b/>
                      <w:bCs/>
                      <w:szCs w:val="24"/>
                    </w:rPr>
                  </w:pPr>
                  <w:sdt>
                    <w:sdtPr>
                      <w:alias w:val="Numeris"/>
                      <w:tag w:val="nr_4e871eb9cdeb45aa88ce6f938be8e391"/>
                      <w:lock w:val="sdtLocked"/>
                      <w:richText/>
                    </w:sdtPr>
                    <w:sdtContent>
                      <w:r>
                        <w:rPr>
                          <w:b/>
                          <w:bCs/>
                          <w:szCs w:val="24"/>
                        </w:rPr>
                        <w:t>9</w:t>
                      </w:r>
                    </w:sdtContent>
                  </w:sdt>
                  <w:r>
                    <w:rPr>
                      <w:b/>
                      <w:bCs/>
                      <w:szCs w:val="24"/>
                    </w:rPr>
                    <w:t xml:space="preserve">. Numatomo teisinio reguliavimo poveikio vertinimo rezultatai. </w:t>
                  </w:r>
                </w:p>
                <w:p>
                  <w:pPr>
                    <w:spacing w:line="276" w:lineRule="auto"/>
                    <w:ind w:left="709"/>
                    <w:jc w:val="both"/>
                    <w:rPr>
                      <w:b/>
                      <w:bCs/>
                      <w:szCs w:val="24"/>
                    </w:rPr>
                  </w:pPr>
                  <w:r>
                    <w:rPr>
                      <w:szCs w:val="24"/>
                    </w:rPr>
                    <w:t xml:space="preserve">– </w:t>
                  </w:r>
                </w:p>
              </w:sdtContent>
            </w:sdt>
            <w:sdt>
              <w:sdtPr>
                <w:alias w:val="10 p."/>
                <w:tag w:val="part_07785f240ca5459b8c9b568634605142"/>
                <w:lock w:val="sdtLocked"/>
                <w:richText/>
              </w:sdtPr>
              <w:sdtContent>
                <w:p>
                  <w:pPr>
                    <w:spacing w:line="276" w:lineRule="auto"/>
                    <w:ind w:left="709"/>
                    <w:jc w:val="both"/>
                    <w:rPr>
                      <w:b/>
                      <w:bCs/>
                      <w:szCs w:val="24"/>
                    </w:rPr>
                  </w:pPr>
                  <w:sdt>
                    <w:sdtPr>
                      <w:alias w:val="Numeris"/>
                      <w:tag w:val="nr_07785f240ca5459b8c9b568634605142"/>
                      <w:lock w:val="sdtLocked"/>
                      <w:richText/>
                    </w:sdtPr>
                    <w:sdtContent>
                      <w:r>
                        <w:rPr>
                          <w:b/>
                          <w:bCs/>
                          <w:szCs w:val="24"/>
                        </w:rPr>
                        <w:t>10</w:t>
                      </w:r>
                    </w:sdtContent>
                  </w:sdt>
                  <w:r>
                    <w:rPr>
                      <w:b/>
                      <w:bCs/>
                      <w:szCs w:val="24"/>
                    </w:rPr>
                    <w:t>. Sprendimo projekto antikorupcinis vertinimas.</w:t>
                  </w:r>
                </w:p>
                <w:p>
                  <w:pPr>
                    <w:tabs>
                      <w:tab w:val="left" w:pos="1134"/>
                    </w:tabs>
                    <w:spacing w:line="276" w:lineRule="auto"/>
                    <w:ind w:firstLine="709"/>
                    <w:jc w:val="both"/>
                    <w:rPr>
                      <w:rFonts w:eastAsia="Calibri"/>
                      <w:szCs w:val="24"/>
                    </w:rPr>
                  </w:pPr>
                  <w:r>
                    <w:rPr>
                      <w:rFonts w:eastAsia="Calibri"/>
                      <w:szCs w:val="24"/>
                    </w:rPr>
                    <w:t>Teisės akto projektas antikorupciniam vertinimui neteikiamas.</w:t>
                  </w:r>
                </w:p>
              </w:sdtContent>
            </w:sdt>
            <w:sdt>
              <w:sdtPr>
                <w:alias w:val="11 p."/>
                <w:tag w:val="part_e7c3f30aa6694bc0819fa0a519efbf5c"/>
                <w:lock w:val="sdtLocked"/>
                <w:richText/>
              </w:sdtPr>
              <w:sdtContent>
                <w:p>
                  <w:pPr>
                    <w:tabs>
                      <w:tab w:val="left" w:pos="1134"/>
                    </w:tabs>
                    <w:spacing w:line="276" w:lineRule="auto"/>
                    <w:ind w:firstLine="709"/>
                    <w:jc w:val="both"/>
                    <w:rPr>
                      <w:b/>
                      <w:bCs/>
                      <w:szCs w:val="24"/>
                    </w:rPr>
                  </w:pPr>
                  <w:sdt>
                    <w:sdtPr>
                      <w:alias w:val="Numeris"/>
                      <w:tag w:val="nr_e7c3f30aa6694bc0819fa0a519efbf5c"/>
                      <w:lock w:val="sdtLocked"/>
                      <w:richText/>
                    </w:sdtPr>
                    <w:sdtContent>
                      <w:r>
                        <w:rPr>
                          <w:b/>
                          <w:bCs/>
                          <w:szCs w:val="24"/>
                        </w:rPr>
                        <w:t>11</w:t>
                      </w:r>
                    </w:sdtContent>
                  </w:sdt>
                  <w:r>
                    <w:rPr>
                      <w:b/>
                      <w:bCs/>
                      <w:szCs w:val="24"/>
                    </w:rPr>
                    <w:t xml:space="preserve">. Kiti, iniciatoriaus nuomone, reikalingi pagrindimai ir paaiškinimai. </w:t>
                  </w:r>
                </w:p>
                <w:p>
                  <w:pPr>
                    <w:tabs>
                      <w:tab w:val="left" w:pos="1134"/>
                    </w:tabs>
                    <w:spacing w:line="276" w:lineRule="auto"/>
                    <w:ind w:firstLine="709"/>
                    <w:jc w:val="both"/>
                    <w:rPr>
                      <w:b/>
                      <w:bCs/>
                      <w:szCs w:val="24"/>
                    </w:rPr>
                  </w:pPr>
                  <w:r>
                    <w:rPr>
                      <w:szCs w:val="24"/>
                    </w:rPr>
                    <w:t xml:space="preserve">– </w:t>
                  </w:r>
                </w:p>
              </w:sdtContent>
            </w:sdt>
            <w:sdt>
              <w:sdtPr>
                <w:alias w:val="12 p."/>
                <w:tag w:val="part_527909f5ee9a482796413c8efd9d2f50"/>
                <w:lock w:val="sdtLocked"/>
                <w:richText/>
              </w:sdtPr>
              <w:sdtContent>
                <w:p>
                  <w:pPr>
                    <w:spacing w:line="276" w:lineRule="auto"/>
                    <w:ind w:left="709"/>
                    <w:jc w:val="both"/>
                    <w:rPr>
                      <w:b/>
                      <w:bCs/>
                      <w:szCs w:val="24"/>
                    </w:rPr>
                  </w:pPr>
                  <w:sdt>
                    <w:sdtPr>
                      <w:alias w:val="Numeris"/>
                      <w:tag w:val="nr_527909f5ee9a482796413c8efd9d2f50"/>
                      <w:lock w:val="sdtLocked"/>
                      <w:richText/>
                    </w:sdtPr>
                    <w:sdtContent>
                      <w:r>
                        <w:rPr>
                          <w:b/>
                          <w:bCs/>
                          <w:szCs w:val="24"/>
                        </w:rPr>
                        <w:t>12</w:t>
                      </w:r>
                    </w:sdtContent>
                  </w:sdt>
                  <w:r>
                    <w:rPr>
                      <w:b/>
                      <w:bCs/>
                      <w:szCs w:val="24"/>
                    </w:rPr>
                    <w:t xml:space="preserve">. Pridedami dokumentai. </w:t>
                  </w:r>
                </w:p>
              </w:sdtContent>
            </w:sdt>
          </w:sdtContent>
        </w:sdt>
        <w:sdt>
          <w:sdtPr>
            <w:alias w:val="signatura"/>
            <w:tag w:val="part_ba108412b9f749b7aa85f0851b1b3db3"/>
            <w:lock w:val="sdtLocked"/>
            <w:richText/>
          </w:sdtPr>
          <w:sdtContent>
            <w:p>
              <w:pPr>
                <w:spacing w:line="276" w:lineRule="auto"/>
                <w:ind w:left="709"/>
                <w:jc w:val="both"/>
                <w:rPr>
                  <w:b/>
                  <w:bCs/>
                  <w:szCs w:val="24"/>
                </w:rPr>
              </w:pPr>
              <w:r>
                <w:rPr>
                  <w:szCs w:val="24"/>
                </w:rPr>
                <w:t>–</w:t>
              </w:r>
            </w:p>
            <w:p>
              <w:pPr>
                <w:spacing w:line="276" w:lineRule="auto"/>
                <w:ind w:right="-1"/>
                <w:rPr>
                  <w:szCs w:val="24"/>
                </w:rPr>
              </w:pPr>
            </w:p>
            <w:p>
              <w:pPr>
                <w:spacing w:line="276" w:lineRule="auto"/>
                <w:ind w:right="-1"/>
                <w:rPr>
                  <w:szCs w:val="24"/>
                </w:rPr>
              </w:pPr>
            </w:p>
            <w:p>
              <w:pPr>
                <w:spacing w:line="276" w:lineRule="auto"/>
                <w:ind w:right="-1"/>
                <w:rPr>
                  <w:szCs w:val="24"/>
                </w:rPr>
              </w:pPr>
            </w:p>
            <w:p>
              <w:pPr>
                <w:spacing w:line="276" w:lineRule="auto"/>
                <w:ind w:right="-1"/>
                <w:rPr>
                  <w:szCs w:val="24"/>
                </w:rPr>
              </w:pPr>
              <w:r>
                <w:rPr>
                  <w:szCs w:val="24"/>
                </w:rPr>
                <w:t xml:space="preserve">Tarybos posėdžių sekretorius                                                                             Kęstutis Dambrauskas </w:t>
              </w:r>
            </w:p>
          </w:sdtContent>
        </w:sdt>
      </w:sdtContent>
    </w:sdt>
    <w:sectPr>
      <w:pgSz w:w="11906" w:h="16838" w:code="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3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60FD0F5-1E35-4527-81FD-BA6C8A806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7445667">
      <w:bodyDiv w:val="1"/>
      <w:marLeft w:val="0"/>
      <w:marRight w:val="0"/>
      <w:marTop w:val="0"/>
      <w:marBottom w:val="0"/>
      <w:divBdr>
        <w:top w:val="none" w:sz="0" w:space="0" w:color="auto"/>
        <w:left w:val="none" w:sz="0" w:space="0" w:color="auto"/>
        <w:bottom w:val="none" w:sz="0" w:space="0" w:color="auto"/>
        <w:right w:val="none" w:sz="0" w:space="0" w:color="auto"/>
      </w:divBdr>
    </w:div>
    <w:div w:id="1145272432">
      <w:bodyDiv w:val="1"/>
      <w:marLeft w:val="0"/>
      <w:marRight w:val="0"/>
      <w:marTop w:val="0"/>
      <w:marBottom w:val="0"/>
      <w:divBdr>
        <w:top w:val="none" w:sz="0" w:space="0" w:color="auto"/>
        <w:left w:val="none" w:sz="0" w:space="0" w:color="auto"/>
        <w:bottom w:val="none" w:sz="0" w:space="0" w:color="auto"/>
        <w:right w:val="none" w:sz="0" w:space="0" w:color="auto"/>
      </w:divBdr>
    </w:div>
    <w:div w:id="1156606015">
      <w:bodyDiv w:val="1"/>
      <w:marLeft w:val="0"/>
      <w:marRight w:val="0"/>
      <w:marTop w:val="0"/>
      <w:marBottom w:val="0"/>
      <w:divBdr>
        <w:top w:val="none" w:sz="0" w:space="0" w:color="auto"/>
        <w:left w:val="none" w:sz="0" w:space="0" w:color="auto"/>
        <w:bottom w:val="none" w:sz="0" w:space="0" w:color="auto"/>
        <w:right w:val="none" w:sz="0" w:space="0" w:color="auto"/>
      </w:divBdr>
    </w:div>
    <w:div w:id="1288703100">
      <w:bodyDiv w:val="1"/>
      <w:marLeft w:val="0"/>
      <w:marRight w:val="0"/>
      <w:marTop w:val="0"/>
      <w:marBottom w:val="0"/>
      <w:divBdr>
        <w:top w:val="none" w:sz="0" w:space="0" w:color="auto"/>
        <w:left w:val="none" w:sz="0" w:space="0" w:color="auto"/>
        <w:bottom w:val="none" w:sz="0" w:space="0" w:color="auto"/>
        <w:right w:val="none" w:sz="0" w:space="0" w:color="auto"/>
      </w:divBdr>
    </w:div>
    <w:div w:id="1482193951">
      <w:bodyDiv w:val="1"/>
      <w:marLeft w:val="0"/>
      <w:marRight w:val="0"/>
      <w:marTop w:val="0"/>
      <w:marBottom w:val="0"/>
      <w:divBdr>
        <w:top w:val="none" w:sz="0" w:space="0" w:color="auto"/>
        <w:left w:val="none" w:sz="0" w:space="0" w:color="auto"/>
        <w:bottom w:val="none" w:sz="0" w:space="0" w:color="auto"/>
        <w:right w:val="none" w:sz="0" w:space="0" w:color="auto"/>
      </w:divBdr>
    </w:div>
    <w:div w:id="1526750670">
      <w:bodyDiv w:val="1"/>
      <w:marLeft w:val="0"/>
      <w:marRight w:val="0"/>
      <w:marTop w:val="0"/>
      <w:marBottom w:val="0"/>
      <w:divBdr>
        <w:top w:val="none" w:sz="0" w:space="0" w:color="auto"/>
        <w:left w:val="none" w:sz="0" w:space="0" w:color="auto"/>
        <w:bottom w:val="none" w:sz="0" w:space="0" w:color="auto"/>
        <w:right w:val="none" w:sz="0" w:space="0" w:color="auto"/>
      </w:divBdr>
      <w:divsChild>
        <w:div w:id="958992585">
          <w:marLeft w:val="0"/>
          <w:marRight w:val="0"/>
          <w:marTop w:val="0"/>
          <w:marBottom w:val="0"/>
          <w:divBdr>
            <w:top w:val="none" w:sz="0" w:space="0" w:color="auto"/>
            <w:left w:val="none" w:sz="0" w:space="0" w:color="auto"/>
            <w:bottom w:val="none" w:sz="0" w:space="0" w:color="auto"/>
            <w:right w:val="none" w:sz="0" w:space="0" w:color="auto"/>
          </w:divBdr>
          <w:divsChild>
            <w:div w:id="851997345">
              <w:marLeft w:val="0"/>
              <w:marRight w:val="0"/>
              <w:marTop w:val="0"/>
              <w:marBottom w:val="0"/>
              <w:divBdr>
                <w:top w:val="none" w:sz="0" w:space="0" w:color="auto"/>
                <w:left w:val="none" w:sz="0" w:space="0" w:color="auto"/>
                <w:bottom w:val="none" w:sz="0" w:space="0" w:color="auto"/>
                <w:right w:val="none" w:sz="0" w:space="0" w:color="auto"/>
              </w:divBdr>
              <w:divsChild>
                <w:div w:id="409929487">
                  <w:marLeft w:val="0"/>
                  <w:marRight w:val="0"/>
                  <w:marTop w:val="0"/>
                  <w:marBottom w:val="0"/>
                  <w:divBdr>
                    <w:top w:val="none" w:sz="0" w:space="0" w:color="auto"/>
                    <w:left w:val="none" w:sz="0" w:space="0" w:color="auto"/>
                    <w:bottom w:val="none" w:sz="0" w:space="0" w:color="auto"/>
                    <w:right w:val="none" w:sz="0" w:space="0" w:color="auto"/>
                  </w:divBdr>
                </w:div>
                <w:div w:id="1274629684">
                  <w:marLeft w:val="0"/>
                  <w:marRight w:val="0"/>
                  <w:marTop w:val="0"/>
                  <w:marBottom w:val="0"/>
                  <w:divBdr>
                    <w:top w:val="none" w:sz="0" w:space="0" w:color="auto"/>
                    <w:left w:val="none" w:sz="0" w:space="0" w:color="auto"/>
                    <w:bottom w:val="none" w:sz="0" w:space="0" w:color="auto"/>
                    <w:right w:val="none" w:sz="0" w:space="0" w:color="auto"/>
                  </w:divBdr>
                </w:div>
              </w:divsChild>
            </w:div>
            <w:div w:id="1154831397">
              <w:marLeft w:val="0"/>
              <w:marRight w:val="0"/>
              <w:marTop w:val="0"/>
              <w:marBottom w:val="0"/>
              <w:divBdr>
                <w:top w:val="none" w:sz="0" w:space="0" w:color="auto"/>
                <w:left w:val="none" w:sz="0" w:space="0" w:color="auto"/>
                <w:bottom w:val="none" w:sz="0" w:space="0" w:color="auto"/>
                <w:right w:val="none" w:sz="0" w:space="0" w:color="auto"/>
              </w:divBdr>
            </w:div>
          </w:divsChild>
        </w:div>
        <w:div w:id="87194132">
          <w:marLeft w:val="0"/>
          <w:marRight w:val="0"/>
          <w:marTop w:val="0"/>
          <w:marBottom w:val="0"/>
          <w:divBdr>
            <w:top w:val="none" w:sz="0" w:space="0" w:color="auto"/>
            <w:left w:val="none" w:sz="0" w:space="0" w:color="auto"/>
            <w:bottom w:val="none" w:sz="0" w:space="0" w:color="auto"/>
            <w:right w:val="none" w:sz="0" w:space="0" w:color="auto"/>
          </w:divBdr>
        </w:div>
        <w:div w:id="2020768342">
          <w:marLeft w:val="0"/>
          <w:marRight w:val="0"/>
          <w:marTop w:val="0"/>
          <w:marBottom w:val="0"/>
          <w:divBdr>
            <w:top w:val="none" w:sz="0" w:space="0" w:color="auto"/>
            <w:left w:val="none" w:sz="0" w:space="0" w:color="auto"/>
            <w:bottom w:val="none" w:sz="0" w:space="0" w:color="auto"/>
            <w:right w:val="none" w:sz="0" w:space="0" w:color="auto"/>
          </w:divBdr>
        </w:div>
      </w:divsChild>
    </w:div>
    <w:div w:id="1904561834">
      <w:bodyDiv w:val="1"/>
      <w:marLeft w:val="0"/>
      <w:marRight w:val="0"/>
      <w:marTop w:val="0"/>
      <w:marBottom w:val="0"/>
      <w:divBdr>
        <w:top w:val="none" w:sz="0" w:space="0" w:color="auto"/>
        <w:left w:val="none" w:sz="0" w:space="0" w:color="auto"/>
        <w:bottom w:val="none" w:sz="0" w:space="0" w:color="auto"/>
        <w:right w:val="none" w:sz="0" w:space="0" w:color="auto"/>
      </w:divBdr>
    </w:div>
    <w:div w:id="1988852555">
      <w:bodyDiv w:val="1"/>
      <w:marLeft w:val="0"/>
      <w:marRight w:val="0"/>
      <w:marTop w:val="0"/>
      <w:marBottom w:val="0"/>
      <w:divBdr>
        <w:top w:val="none" w:sz="0" w:space="0" w:color="auto"/>
        <w:left w:val="none" w:sz="0" w:space="0" w:color="auto"/>
        <w:bottom w:val="none" w:sz="0" w:space="0" w:color="auto"/>
        <w:right w:val="none" w:sz="0" w:space="0" w:color="auto"/>
      </w:divBdr>
    </w:div>
    <w:div w:id="2048142901">
      <w:bodyDiv w:val="1"/>
      <w:marLeft w:val="0"/>
      <w:marRight w:val="0"/>
      <w:marTop w:val="0"/>
      <w:marBottom w:val="0"/>
      <w:divBdr>
        <w:top w:val="none" w:sz="0" w:space="0" w:color="auto"/>
        <w:left w:val="none" w:sz="0" w:space="0" w:color="auto"/>
        <w:bottom w:val="none" w:sz="0" w:space="0" w:color="auto"/>
        <w:right w:val="none" w:sz="0" w:space="0" w:color="auto"/>
      </w:divBdr>
    </w:div>
    <w:div w:id="2067102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60B68B-EF1C-45F9-883B-1F87F91AAA7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aa8aef7474a4593bcb7508ecb2b6135" PartId="c1dbe328e04c4f3ab972019aed099648">
    <Part Type="preambule" DocPartId="33916cf50d124949a485180ed34cc3b6" PartId="8c371a970040474a88ca48e1af6e95b0"/>
    <Part Type="pastraipa" DocPartId="26dcac1c332e4944947243e5aeb99bc7" PartId="9759fbb90fc04736bb0cfebd3b4f4dae"/>
    <Part Type="lentele" DocPartId="0ef90c531c4c4c66adc839455157956e" PartId="9cf04cb5f5d04afdb688721293403213"/>
    <Part Type="skirsnis" Title="RADVILIŠKIO RAJONO SAVIVALDYBĖS TARYBOS SPRENDIMO PROJEKTO „DĖL RADVILIŠKIO RAJONO SAVIVALDYBĖS TARYBOS SPRENDIMO  PRIPAŽINIMO NETEKUSIU GALIOS” AIŠKINAMASIS RAŠTAS" DocPartId="1ff84f7cf2e5490c9254e6c59ac504e9" PartId="f988c18687bc4f91ac026669091940a6">
      <Part Type="punktas" Nr="1" Abbr="1 p." DocPartId="d7a1b009401d4bcc90de6c71abde11c5" PartId="190cdcb716cb44048509792d0b60b613"/>
      <Part Type="punktas" Nr="2" Abbr="2 p." DocPartId="e8188192713b4b57a22b666ab1422e3e" PartId="72348ed8fb094856984b555b08761b74"/>
      <Part Type="punktas" Nr="3" Abbr="3 p." DocPartId="c302708696994b26af46f0307adfd1f0" PartId="9c59a88dbad3438d99349551cb996f39"/>
      <Part Type="punktas" Nr="4" Abbr="4 p." DocPartId="fb72cf0f8ced4b6c926dd23df838aa16" PartId="7adc3f5e2a5b43148a66764ab8636ce3"/>
      <Part Type="punktas" Nr="5" Abbr="5 p." DocPartId="6a22042e4abb47f1813234520079ee22" PartId="b95721c3ae384e8b941edecb1ac7bff2"/>
      <Part Type="punktas" Nr="6" Abbr="6 p." DocPartId="fd66deda8a2044278baec776699fb2b1" PartId="1f622447eb6f4e13bd0c40a50a9d22f9"/>
      <Part Type="punktas" Nr="7" Abbr="7 p." DocPartId="9d689f0575e5468da333e3131b79b468" PartId="1f136a91824440eb88c894688deeea3e"/>
      <Part Type="punktas" Nr="8" Abbr="8 p." DocPartId="63279a6fbdb04dc4994b1d2cb4ca1c2b" PartId="a6badf8f0ebb4c098073b3e4e876ed48"/>
      <Part Type="punktas" Nr="9" Abbr="9 p." DocPartId="9c85980226f64cd899e9a5baaf21d69b" PartId="4e871eb9cdeb45aa88ce6f938be8e391"/>
      <Part Type="punktas" Nr="10" Abbr="10 p." DocPartId="929715528ada4305ab76e8bb0f4c918d" PartId="07785f240ca5459b8c9b568634605142"/>
      <Part Type="punktas" Nr="11" Abbr="11 p." DocPartId="d7a2e4132b0c4345ada2b3a7541d5158" PartId="e7c3f30aa6694bc0819fa0a519efbf5c"/>
      <Part Type="punktas" Nr="12" Abbr="12 p." DocPartId="0dd4c82728d34404a759e16e65225c10" PartId="527909f5ee9a482796413c8efd9d2f50"/>
    </Part>
    <Part Type="signatura" DocPartId="945b41d7a953464a9f39c3073e77a72e" PartId="ba108412b9f749b7aa85f0851b1b3db3"/>
  </Part>
</Parts>
</file>

<file path=customXml/itemProps1.xml><?xml version="1.0" encoding="utf-8"?>
<ds:datastoreItem xmlns:ds="http://schemas.openxmlformats.org/officeDocument/2006/customXml" ds:itemID="{FD496262-C5A2-4060-BE37-8E2D775C2867}">
  <ds:schemaRefs>
    <ds:schemaRef ds:uri="http://schemas.openxmlformats.org/officeDocument/2006/bibliography"/>
  </ds:schemaRefs>
</ds:datastoreItem>
</file>

<file path=customXml/itemProps2.xml><?xml version="1.0" encoding="utf-8"?>
<ds:datastoreItem xmlns:ds="http://schemas.openxmlformats.org/officeDocument/2006/customXml" ds:itemID="{4FD927A1-BB82-4A46-8EE6-781B243236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1045</Words>
  <Characters>7684</Characters>
  <Application>Microsoft Office Word</Application>
  <DocSecurity>4</DocSecurity>
  <Lines>153</Lines>
  <Paragraphs>62</Paragraphs>
  <ScaleCrop>false</ScaleCrop>
  <HeadingPairs>
    <vt:vector size="2" baseType="variant">
      <vt:variant>
        <vt:lpstr>Pavadinimas</vt:lpstr>
      </vt:variant>
      <vt:variant>
        <vt:i4>1</vt:i4>
      </vt:variant>
    </vt:vector>
  </HeadingPairs>
  <TitlesOfParts>
    <vt:vector size="1" baseType="lpstr">
      <vt:lpstr>2018-01-</vt:lpstr>
    </vt:vector>
  </TitlesOfParts>
  <Company/>
  <LinksUpToDate>false</LinksUpToDate>
  <CharactersWithSpaces>8667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2025-01-31T07:52:00Z</dcterms:created>
  <dc:creator>Vladislava</dc:creator>
  <lastModifiedBy>adlibuser</lastModifiedBy>
  <lastPrinted>2024-11-28T06:38:00Z</lastPrinted>
  <dcterms:modified xsi:type="dcterms:W3CDTF">2025-01-31T07:52:00Z</dcterms:modified>
  <revision>2</revision>
  <dc:title>2018-01-</dc:title>
</coreProperties>
</file>