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50d2ac1b3d34844b442a85fc9494dbc"/>
        <w:lock w:val="sdtLocked"/>
        <w:richText/>
      </w:sdtPr>
      <w:sdtContent>
        <w:p>
          <w:pPr>
            <w:tabs>
              <w:tab w:val="center" w:pos="4680"/>
              <w:tab w:val="right" w:pos="9360"/>
            </w:tabs>
            <w:jc w:val="center"/>
            <w:rPr>
              <w:sz w:val="22"/>
              <w:szCs w:val="22"/>
              <w:lang w:val="en-US"/>
            </w:rPr>
          </w:pPr>
        </w:p>
        <w:p>
          <w:pPr>
            <w:tabs>
              <w:tab w:val="center" w:pos="4153"/>
              <w:tab w:val="right" w:pos="8306"/>
            </w:tabs>
            <w:rPr>
              <w:lang w:eastAsia="lt-LT"/>
            </w:rPr>
          </w:pPr>
        </w:p>
        <w:p>
          <w:pPr>
            <w:widowControl w:val="0"/>
            <w:shd w:val="clear" w:color="auto" w:fill="FFFFFF"/>
            <w:ind w:left="6804"/>
            <w:jc w:val="center"/>
            <w:rPr>
              <w:b/>
            </w:rPr>
          </w:pPr>
          <w:r>
            <w:rPr>
              <w:b/>
            </w:rPr>
            <w:t>Projektas</w:t>
          </w:r>
        </w:p>
        <w:p>
          <w:pPr>
            <w:widowControl w:val="0"/>
            <w:shd w:val="clear" w:color="auto" w:fill="FFFFFF"/>
            <w:jc w:val="center"/>
            <w:rPr>
              <w:b/>
              <w:bCs/>
            </w:rPr>
          </w:pPr>
          <w:r>
            <w:rPr>
              <w:b/>
              <w:bCs/>
              <w:lang w:val="en-US"/>
            </w:rPr>
            <w:drawing>
              <wp:anchor distT="0" distB="0" distL="114300" distR="114300" simplePos="0" relativeHeight="251659264" behindDoc="0" locked="0" layoutInCell="1" allowOverlap="1" wp14:anchorId="1D03BA3A" wp14:editId="330BF619">
                <wp:simplePos x="0" y="0"/>
                <wp:positionH relativeFrom="column">
                  <wp:posOffset>0</wp:posOffset>
                </wp:positionH>
                <wp:positionV relativeFrom="paragraph">
                  <wp:posOffset>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rPr>
            <w:t>LIETUVOS RESPUBLIKOS FINANSŲ MINISTRAS</w:t>
          </w:r>
        </w:p>
        <w:p>
          <w:pPr>
            <w:widowControl w:val="0"/>
            <w:shd w:val="clear" w:color="auto" w:fill="FFFFFF"/>
            <w:jc w:val="center"/>
            <w:rPr>
              <w:b/>
              <w:bCs/>
              <w:spacing w:val="60"/>
            </w:rPr>
          </w:pPr>
        </w:p>
        <w:p>
          <w:pPr>
            <w:jc w:val="center"/>
            <w:rPr>
              <w:b/>
              <w:bCs/>
            </w:rPr>
          </w:pPr>
          <w:r>
            <w:rPr>
              <w:b/>
              <w:bCs/>
            </w:rPr>
            <w:t>ĮSAKYMAS</w:t>
          </w:r>
        </w:p>
        <w:p>
          <w:pPr>
            <w:widowControl w:val="0"/>
            <w:shd w:val="clear" w:color="auto" w:fill="FFFFFF"/>
            <w:jc w:val="center"/>
          </w:pPr>
          <w:r>
            <w:rPr>
              <w:b/>
              <w:bCs/>
            </w:rPr>
            <w:t>DĖL VIEŠOJO SEKTORIAUS APSKAITOS IR FINANSINĖS ATSKAITOMYBĖS 24-OJO STANDARTO PATVIRTINIMO</w:t>
          </w:r>
        </w:p>
        <w:p>
          <w:pPr>
            <w:jc w:val="center"/>
          </w:pPr>
        </w:p>
        <w:p>
          <w:pPr>
            <w:widowControl w:val="0"/>
            <w:shd w:val="clear" w:color="auto" w:fill="FFFFFF"/>
            <w:jc w:val="center"/>
          </w:pPr>
          <w:r>
            <w:t xml:space="preserve">2024 m.          d. Nr. 1K-</w:t>
          </w:r>
        </w:p>
        <w:p>
          <w:pPr>
            <w:widowControl w:val="0"/>
            <w:shd w:val="clear" w:color="auto" w:fill="FFFFFF"/>
            <w:jc w:val="center"/>
          </w:pPr>
          <w:r>
            <w:t>Vilnius</w:t>
          </w:r>
        </w:p>
        <w:p/>
        <w:sdt>
          <w:sdtPr>
            <w:alias w:val="1 p."/>
            <w:tag w:val="part_200062bfe42f46ddb92840a61ce711a2"/>
            <w:lock w:val="sdtLocked"/>
            <w:richText/>
          </w:sdtPr>
          <w:sdtContent>
            <w:p>
              <w:pPr>
                <w:ind w:firstLine="567"/>
                <w:jc w:val="both"/>
              </w:pPr>
              <w:sdt>
                <w:sdtPr>
                  <w:alias w:val="Numeris"/>
                  <w:tag w:val="nr_200062bfe42f46ddb92840a61ce711a2"/>
                  <w:lock w:val="sdtLocked"/>
                  <w:richText/>
                </w:sdtPr>
                <w:sdtContent>
                  <w:r>
                    <w:t>1</w:t>
                  </w:r>
                </w:sdtContent>
              </w:sdt>
              <w:r>
                <w:t>. P a k e i č i u Lietuvos Respublikos finansų ministro 2008 m. gruodžio 9 d. įsakymą Nr. 1K-432 „Dėl viešojo sektoriaus apskaitos ir finansinės atskaitomybės 24-ojo standarto patvirtinimo“ ir jį išdėstau nauja redakcija:</w:t>
              </w:r>
            </w:p>
            <w:sdt>
              <w:sdtPr>
                <w:alias w:val="citata"/>
                <w:tag w:val="part_9abceeef6aca4ccf8f56693de7d77ef8"/>
                <w:lock w:val="sdtLocked"/>
                <w:richText/>
              </w:sdtPr>
              <w:sdtContent>
                <w:sdt>
                  <w:sdtPr>
                    <w:alias w:val="pagrindine"/>
                    <w:tag w:val="part_eecba88fcbe640bbb3fa5df42512b3a5"/>
                    <w:lock w:val="sdtLocked"/>
                    <w:richText/>
                  </w:sdtPr>
                  <w:sdtContent>
                    <w:p>
                      <w:pPr>
                        <w:widowControl w:val="0"/>
                        <w:shd w:val="clear" w:color="auto" w:fill="FFFFFF"/>
                        <w:jc w:val="center"/>
                      </w:pPr>
                      <w:r>
                        <w:rPr>
                          <w:lang w:val="en-US"/>
                        </w:rPr>
                        <w:drawing>
                          <wp:anchor distT="0" distB="0" distL="114300" distR="114300" simplePos="0" relativeHeight="251660288" behindDoc="0" locked="0" layoutInCell="1" allowOverlap="1" wp14:anchorId="6CECEB4E" wp14:editId="580C0173">
                            <wp:simplePos x="0" y="0"/>
                            <wp:positionH relativeFrom="column">
                              <wp:posOffset>0</wp:posOffset>
                            </wp:positionH>
                            <wp:positionV relativeFrom="paragraph">
                              <wp:posOffset>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t>„</w:t>
                      </w:r>
                      <w:r>
                        <w:rPr>
                          <w:b/>
                          <w:bCs/>
                        </w:rPr>
                        <w:t>LIETUVOS RESPUBLIKOS FINANSŲ MINISTRAS</w:t>
                      </w:r>
                    </w:p>
                    <w:p>
                      <w:pPr>
                        <w:widowControl w:val="0"/>
                        <w:shd w:val="clear" w:color="auto" w:fill="FFFFFF"/>
                        <w:jc w:val="center"/>
                        <w:rPr>
                          <w:spacing w:val="60"/>
                        </w:rPr>
                      </w:pPr>
                    </w:p>
                    <w:p>
                      <w:pPr>
                        <w:jc w:val="center"/>
                        <w:rPr>
                          <w:b/>
                          <w:bCs/>
                        </w:rPr>
                      </w:pPr>
                      <w:r>
                        <w:rPr>
                          <w:b/>
                          <w:bCs/>
                        </w:rPr>
                        <w:t>ĮSAKYMAS</w:t>
                      </w:r>
                    </w:p>
                    <w:p>
                      <w:pPr>
                        <w:widowControl w:val="0"/>
                        <w:shd w:val="clear" w:color="auto" w:fill="FFFFFF"/>
                        <w:jc w:val="center"/>
                      </w:pPr>
                      <w:r>
                        <w:rPr>
                          <w:b/>
                          <w:bCs/>
                        </w:rPr>
                        <w:t>DĖL 24-OJO VIEŠOJO SEKTORIAUS APSKAITOS IR FINANSINĖS ATSKAITOMYBĖS STANDARTO PATVIRTINIMO</w:t>
                      </w:r>
                    </w:p>
                    <w:p>
                      <w:pPr>
                        <w:jc w:val="center"/>
                      </w:pPr>
                    </w:p>
                    <w:sdt>
                      <w:sdtPr>
                        <w:alias w:val="preambule"/>
                        <w:tag w:val="part_494008f17ce340ae9db634e262689d0c"/>
                        <w:lock w:val="sdtLocked"/>
                        <w:richText/>
                      </w:sdtPr>
                      <w:sdtContent>
                        <w:p>
                          <w:pPr>
                            <w:ind w:firstLine="567"/>
                            <w:jc w:val="both"/>
                          </w:pPr>
                          <w:r>
                            <w:t>Vadovaudamasis Lietuvos Respublikos finansinės apskaitos įstatymo 12 straipsnio 2 dalimi,</w:t>
                          </w:r>
                        </w:p>
                      </w:sdtContent>
                    </w:sdt>
                    <w:sdt>
                      <w:sdtPr>
                        <w:alias w:val="pastraipa"/>
                        <w:tag w:val="part_9c1df6146ffa4a82a5de2c7069fdeb7a"/>
                        <w:lock w:val="sdtLocked"/>
                        <w:richText/>
                      </w:sdtPr>
                      <w:sdtContent>
                        <w:p>
                          <w:pPr>
                            <w:ind w:firstLine="567"/>
                            <w:jc w:val="both"/>
                          </w:pPr>
                          <w:r>
                            <w:rPr>
                              <w:spacing w:val="60"/>
                            </w:rPr>
                            <w:t>tvirtinu</w:t>
                          </w:r>
                          <w:r>
                            <w:t xml:space="preserve"> 24-ąjį viešojo sektoriaus apskaitos ir finansinės atskaitomybės standartą „</w:t>
                          </w:r>
                          <w:r>
                            <w:rPr>
                              <w:rFonts w:eastAsia="Calibri"/>
                              <w:bCs/>
                              <w:color w:val="000000"/>
                              <w:szCs w:val="24"/>
                            </w:rPr>
                            <w:t>Su darbo santykiais susijusios išmokos</w:t>
                          </w:r>
                          <w:r>
                            <w:t>“ (pridedama).“</w:t>
                          </w:r>
                        </w:p>
                      </w:sdtContent>
                    </w:sdt>
                  </w:sdtContent>
                </w:sdt>
              </w:sdtContent>
            </w:sdt>
          </w:sdtContent>
        </w:sdt>
        <w:sdt>
          <w:sdtPr>
            <w:alias w:val="2 p."/>
            <w:tag w:val="part_f631bf9c02144fa59c040d6ec25e2cba"/>
            <w:lock w:val="sdtLocked"/>
            <w:richText/>
          </w:sdtPr>
          <w:sdtContent>
            <w:p>
              <w:pPr>
                <w:spacing w:line="276" w:lineRule="auto"/>
                <w:ind w:firstLine="567"/>
                <w:jc w:val="both"/>
                <w:rPr>
                  <w:szCs w:val="24"/>
                  <w:lang w:eastAsia="lt-LT"/>
                </w:rPr>
              </w:pPr>
              <w:sdt>
                <w:sdtPr>
                  <w:alias w:val="Numeris"/>
                  <w:tag w:val="nr_f631bf9c02144fa59c040d6ec25e2cba"/>
                  <w:lock w:val="sdtLocked"/>
                  <w:richText/>
                </w:sdtPr>
                <w:sdtContent>
                  <w:r>
                    <w:t>2</w:t>
                  </w:r>
                </w:sdtContent>
              </w:sdt>
              <w:r>
                <w:t xml:space="preserve">. </w:t>
              </w:r>
              <w:r>
                <w:rPr>
                  <w:szCs w:val="24"/>
                  <w:lang w:eastAsia="lt-LT"/>
                </w:rPr>
                <w:t>N u s t a t a u, kad šis įsakymas taikomas finansinių ataskaitų rinkiniams, rengiamiems už 2026 m. sausio 1 d. ir vėliau prasidedančius ataskaitinius laikotarpius.</w:t>
              </w:r>
            </w:p>
            <w:p>
              <w:pPr>
                <w:tabs>
                  <w:tab w:val="left" w:pos="851"/>
                  <w:tab w:val="left" w:pos="993"/>
                </w:tabs>
                <w:jc w:val="both"/>
                <w:textAlignment w:val="center"/>
                <w:rPr>
                  <w:b/>
                  <w:bCs/>
                  <w:color w:val="000000"/>
                  <w:szCs w:val="24"/>
                  <w:lang w:eastAsia="lt-LT"/>
                </w:rPr>
              </w:pPr>
            </w:p>
            <w:p>
              <w:pPr>
                <w:tabs>
                  <w:tab w:val="left" w:pos="851"/>
                  <w:tab w:val="left" w:pos="993"/>
                </w:tabs>
                <w:jc w:val="both"/>
                <w:textAlignment w:val="center"/>
                <w:rPr>
                  <w:b/>
                  <w:bCs/>
                  <w:color w:val="000000"/>
                  <w:szCs w:val="24"/>
                  <w:lang w:eastAsia="lt-LT"/>
                </w:rPr>
              </w:pPr>
            </w:p>
            <w:p>
              <w:pPr>
                <w:widowControl w:val="0"/>
                <w:shd w:val="clear" w:color="auto" w:fill="FFFFFF"/>
                <w:tabs>
                  <w:tab w:val="right" w:pos="9071"/>
                </w:tabs>
              </w:pPr>
            </w:p>
          </w:sdtContent>
        </w:sdt>
        <w:sdt>
          <w:sdtPr>
            <w:alias w:val="signatura"/>
            <w:tag w:val="part_b997e177d84f4cb5961d4b834670893d"/>
            <w:lock w:val="sdtLocked"/>
            <w:richText/>
          </w:sdtPr>
          <w:sdtContent>
            <w:p>
              <w:pPr>
                <w:widowControl w:val="0"/>
                <w:shd w:val="clear" w:color="auto" w:fill="FFFFFF"/>
                <w:tabs>
                  <w:tab w:val="right" w:pos="9071"/>
                </w:tabs>
              </w:pPr>
              <w:r>
                <w:t>Finansų ministras</w:t>
                <w:tab/>
              </w:r>
            </w:p>
            <w:p/>
            <w:p>
              <w:pPr>
                <w:keepLines/>
                <w:widowControl w:val="0"/>
                <w:suppressAutoHyphens/>
                <w:ind w:left="6480"/>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pgNumType w:start="1"/>
                  <w:cols w:space="1296"/>
                  <w:titlePg/>
                  <w:docGrid w:linePitch="360"/>
                </w:sectPr>
              </w:pPr>
            </w:p>
            <w:p>
              <w:pPr>
                <w:tabs>
                  <w:tab w:val="center" w:pos="4680"/>
                  <w:tab w:val="right" w:pos="9360"/>
                </w:tabs>
                <w:rPr>
                  <w:sz w:val="22"/>
                  <w:szCs w:val="22"/>
                  <w:lang w:val="en-US"/>
                </w:rPr>
              </w:pPr>
            </w:p>
          </w:sdtContent>
        </w:sdt>
      </w:sdtContent>
    </w:sdt>
    <w:sdt>
      <w:sdtPr>
        <w:alias w:val="patvirtinta"/>
        <w:tag w:val="part_c530b2786c874d8fb761c6e0f1f5be69"/>
        <w:lock w:val="sdtLocked"/>
        <w:richText/>
      </w:sdtPr>
      <w:sdtContent>
        <w:p>
          <w:pPr>
            <w:keepLines/>
            <w:widowControl w:val="0"/>
            <w:suppressAutoHyphens/>
            <w:ind w:left="4536"/>
            <w:rPr>
              <w:color w:val="000000"/>
              <w:lang w:eastAsia="lt-LT"/>
            </w:rPr>
          </w:pPr>
          <w:r>
            <w:rPr>
              <w:color w:val="000000"/>
              <w:lang w:eastAsia="lt-LT"/>
            </w:rPr>
            <w:t>PATVIRTINTA</w:t>
          </w:r>
        </w:p>
        <w:p>
          <w:pPr>
            <w:keepLines/>
            <w:widowControl w:val="0"/>
            <w:suppressAutoHyphens/>
            <w:ind w:left="4536"/>
            <w:rPr>
              <w:color w:val="000000"/>
              <w:lang w:eastAsia="lt-LT"/>
            </w:rPr>
          </w:pPr>
          <w:r>
            <w:rPr>
              <w:color w:val="000000"/>
              <w:lang w:eastAsia="lt-LT"/>
            </w:rPr>
            <w:t xml:space="preserve">Lietuvos Respublikos finansų ministro </w:t>
          </w:r>
        </w:p>
        <w:p>
          <w:pPr>
            <w:keepLines/>
            <w:widowControl w:val="0"/>
            <w:suppressAutoHyphens/>
            <w:ind w:left="4536"/>
            <w:rPr>
              <w:color w:val="000000"/>
              <w:lang w:eastAsia="lt-LT"/>
            </w:rPr>
          </w:pPr>
          <w:r>
            <w:rPr>
              <w:color w:val="000000"/>
              <w:lang w:eastAsia="lt-LT"/>
            </w:rPr>
            <w:t>2008 m. gruodžio 9 d. įsakymu Nr. 1K-432</w:t>
          </w:r>
        </w:p>
        <w:p>
          <w:pPr>
            <w:keepLines/>
            <w:widowControl w:val="0"/>
            <w:suppressAutoHyphens/>
            <w:ind w:left="4536"/>
            <w:rPr>
              <w:color w:val="000000"/>
              <w:lang w:eastAsia="lt-LT"/>
            </w:rPr>
          </w:pPr>
          <w:r>
            <w:rPr>
              <w:color w:val="000000"/>
              <w:lang w:eastAsia="lt-LT"/>
            </w:rPr>
            <w:t xml:space="preserve">(Lietuvos Respublikos finansų ministro </w:t>
          </w:r>
        </w:p>
        <w:p>
          <w:pPr>
            <w:keepLines/>
            <w:widowControl w:val="0"/>
            <w:suppressAutoHyphens/>
            <w:ind w:left="4536"/>
            <w:rPr>
              <w:color w:val="000000"/>
              <w:lang w:eastAsia="lt-LT"/>
            </w:rPr>
          </w:pPr>
          <w:r>
            <w:rPr>
              <w:color w:val="000000"/>
              <w:lang w:eastAsia="lt-LT"/>
            </w:rPr>
            <w:t xml:space="preserve">2024 m.                   d. įsakymo Nr. 1K-    redakcija)</w:t>
          </w:r>
        </w:p>
        <w:p>
          <w:pPr>
            <w:keepLines/>
            <w:widowControl w:val="0"/>
            <w:suppressAutoHyphens/>
            <w:jc w:val="center"/>
            <w:rPr>
              <w:b/>
              <w:bCs/>
              <w:caps/>
              <w:color w:val="000000"/>
              <w:lang w:eastAsia="lt-LT"/>
            </w:rPr>
          </w:pPr>
        </w:p>
        <w:p>
          <w:pPr>
            <w:keepLines/>
            <w:widowControl w:val="0"/>
            <w:suppressAutoHyphens/>
            <w:jc w:val="center"/>
            <w:rPr>
              <w:b/>
              <w:bCs/>
              <w:caps/>
              <w:color w:val="000000"/>
              <w:lang w:eastAsia="lt-LT"/>
            </w:rPr>
          </w:pPr>
          <w:sdt>
            <w:sdtPr>
              <w:alias w:val="Pavadinimas"/>
              <w:tag w:val="title_c530b2786c874d8fb761c6e0f1f5be69"/>
              <w:lock w:val="sdtLocked"/>
              <w:richText/>
            </w:sdtPr>
            <w:sdtContent>
              <w:r>
                <w:rPr>
                  <w:b/>
                  <w:bCs/>
                  <w:caps/>
                  <w:color w:val="000000"/>
                  <w:lang w:eastAsia="lt-LT"/>
                </w:rPr>
                <w:t>24-ASIS VIEŠOJO SEKTORIAUS APSKAITOS IR FINANSINĖS ATSKAITOMYBĖS STANDARTAS „SU DARBO SANTYKIAIS SUSIJUSIOS IŠMOKOS“</w:t>
              </w:r>
            </w:sdtContent>
          </w:sdt>
        </w:p>
        <w:p>
          <w:pPr>
            <w:widowControl w:val="0"/>
            <w:suppressAutoHyphens/>
            <w:jc w:val="center"/>
            <w:rPr>
              <w:color w:val="000000"/>
              <w:lang w:eastAsia="lt-LT"/>
            </w:rPr>
          </w:pPr>
        </w:p>
        <w:sdt>
          <w:sdtPr>
            <w:alias w:val="skyrius"/>
            <w:tag w:val="part_210a3c9d92524076b8a83082dfccac1b"/>
            <w:lock w:val="sdtLocked"/>
            <w:richText/>
          </w:sdtPr>
          <w:sdtContent>
            <w:p>
              <w:pPr>
                <w:keepLines/>
                <w:widowControl w:val="0"/>
                <w:suppressAutoHyphens/>
                <w:jc w:val="center"/>
                <w:rPr>
                  <w:b/>
                  <w:bCs/>
                  <w:caps/>
                  <w:color w:val="000000"/>
                  <w:lang w:eastAsia="lt-LT"/>
                </w:rPr>
              </w:pPr>
              <w:sdt>
                <w:sdtPr>
                  <w:alias w:val="Numeris"/>
                  <w:tag w:val="nr_210a3c9d92524076b8a83082dfccac1b"/>
                  <w:lock w:val="sdtLocked"/>
                  <w:richText/>
                </w:sdtPr>
                <w:sdtContent>
                  <w:r>
                    <w:rPr>
                      <w:b/>
                      <w:bCs/>
                      <w:caps/>
                      <w:color w:val="000000"/>
                      <w:lang w:eastAsia="lt-LT"/>
                    </w:rPr>
                    <w:t>I</w:t>
                  </w:r>
                </w:sdtContent>
              </w:sdt>
              <w:r>
                <w:rPr>
                  <w:b/>
                  <w:bCs/>
                  <w:caps/>
                  <w:color w:val="000000"/>
                  <w:lang w:eastAsia="lt-LT"/>
                </w:rPr>
                <w:t xml:space="preserve"> SKYRIUS</w:t>
              </w:r>
            </w:p>
            <w:p>
              <w:pPr>
                <w:keepLines/>
                <w:widowControl w:val="0"/>
                <w:suppressAutoHyphens/>
                <w:ind w:firstLine="62"/>
                <w:jc w:val="center"/>
                <w:rPr>
                  <w:b/>
                  <w:bCs/>
                  <w:caps/>
                  <w:color w:val="000000"/>
                  <w:lang w:eastAsia="lt-LT"/>
                </w:rPr>
              </w:pPr>
              <w:sdt>
                <w:sdtPr>
                  <w:alias w:val="Pavadinimas"/>
                  <w:tag w:val="title_210a3c9d92524076b8a83082dfccac1b"/>
                  <w:lock w:val="sdtLocked"/>
                  <w:richText/>
                </w:sdtPr>
                <w:sdtContent>
                  <w:r>
                    <w:rPr>
                      <w:b/>
                      <w:bCs/>
                      <w:caps/>
                      <w:color w:val="000000"/>
                      <w:lang w:eastAsia="lt-LT"/>
                    </w:rPr>
                    <w:t>BENDROSIOS NUOSTATOS</w:t>
                  </w:r>
                </w:sdtContent>
              </w:sdt>
            </w:p>
            <w:p>
              <w:pPr>
                <w:keepLines/>
                <w:widowControl w:val="0"/>
                <w:suppressAutoHyphens/>
                <w:jc w:val="center"/>
                <w:rPr>
                  <w:b/>
                  <w:bCs/>
                  <w:caps/>
                  <w:color w:val="000000"/>
                  <w:lang w:eastAsia="lt-LT"/>
                </w:rPr>
              </w:pPr>
            </w:p>
            <w:sdt>
              <w:sdtPr>
                <w:alias w:val="1 p."/>
                <w:tag w:val="part_483865b98dba438dbbb124a3494b20a8"/>
                <w:lock w:val="sdtLocked"/>
                <w:richText/>
              </w:sdtPr>
              <w:sdtContent>
                <w:p>
                  <w:pPr>
                    <w:widowControl w:val="0"/>
                    <w:tabs>
                      <w:tab w:val="left" w:pos="1134"/>
                    </w:tabs>
                    <w:suppressAutoHyphens/>
                    <w:ind w:firstLine="567"/>
                    <w:jc w:val="both"/>
                    <w:rPr>
                      <w:bCs/>
                      <w:color w:val="000000"/>
                      <w:lang w:eastAsia="lt-LT"/>
                    </w:rPr>
                  </w:pPr>
                  <w:sdt>
                    <w:sdtPr>
                      <w:alias w:val="Numeris"/>
                      <w:tag w:val="nr_483865b98dba438dbbb124a3494b20a8"/>
                      <w:lock w:val="sdtLocked"/>
                      <w:richText/>
                    </w:sdtPr>
                    <w:sdtContent>
                      <w:r>
                        <w:rPr>
                          <w:rFonts w:eastAsia="Calibri"/>
                          <w:bCs/>
                          <w:color w:val="000000"/>
                          <w:szCs w:val="22"/>
                        </w:rPr>
                        <w:t>1</w:t>
                      </w:r>
                    </w:sdtContent>
                  </w:sdt>
                  <w:r>
                    <w:rPr>
                      <w:rFonts w:eastAsia="Calibri"/>
                      <w:bCs/>
                      <w:color w:val="000000"/>
                      <w:szCs w:val="22"/>
                    </w:rPr>
                    <w:t>.</w:t>
                    <w:tab/>
                  </w:r>
                  <w:r>
                    <w:rPr>
                      <w:bCs/>
                      <w:color w:val="000000"/>
                      <w:lang w:eastAsia="lt-LT"/>
                    </w:rPr>
                    <w:t>24-ajame viešojo sektoriaus apskaitos ir finansinės atskaitomybės standarte „Su darbo santykiais susijusios išmokos“ (toliau – Standartas) nustatomi su darbo, tarnybos ar kitais teisiniais santykiais, kurie iš esmės atitinka darbo sutartimi tarp darbdavio ir darbuotojo sukuriamus santykius, (toliau – darbo santykiai) susijusių išmokų darbuotojams – fiziniams asmenims, dirbantiems pagal darbo sutartis, valstybės politikams, valstybės pareigūnams, teisėjams, valstybės tarnautojams, profesinės karo tarnybos kariams ir kitiems asmenims, gaunantiems atlygį už atliekamą darbą, vykdomas pareigas viešojo sektoriaus subjekte, finansinės apskaitos (toliau – apskaitos) ir pateikimo finansinėse ataskaitose reikalavimai. Darbuotojas, gaunantis su darbo santykiais susijusias išmokas, gali būti dirbantis neterminuotą, terminuotą, laikiną, sezoninį, projektinį ar kitokį darbą, taip pat vykdantis bet kokią kitą veiklą, vykdomą remiantis teisiniais santykiais, kurie iš esmės atitinka darbo sutartimi tarp darbdavio ir darbuotojo sukuriamus santykius.</w:t>
                  </w:r>
                </w:p>
              </w:sdtContent>
            </w:sdt>
            <w:sdt>
              <w:sdtPr>
                <w:alias w:val="2 p."/>
                <w:tag w:val="part_de1cc33bf11847e78e1db4f676954637"/>
                <w:lock w:val="sdtLocked"/>
                <w:richText/>
              </w:sdtPr>
              <w:sdtContent>
                <w:p>
                  <w:pPr>
                    <w:widowControl w:val="0"/>
                    <w:tabs>
                      <w:tab w:val="left" w:pos="1134"/>
                    </w:tabs>
                    <w:suppressAutoHyphens/>
                    <w:ind w:firstLine="567"/>
                    <w:jc w:val="both"/>
                  </w:pPr>
                  <w:sdt>
                    <w:sdtPr>
                      <w:alias w:val="Numeris"/>
                      <w:tag w:val="nr_de1cc33bf11847e78e1db4f676954637"/>
                      <w:lock w:val="sdtLocked"/>
                      <w:richText/>
                    </w:sdtPr>
                    <w:sdtContent>
                      <w:r>
                        <w:rPr>
                          <w:rFonts w:eastAsia="Calibri"/>
                          <w:bCs/>
                          <w:color w:val="000000"/>
                          <w:szCs w:val="22"/>
                        </w:rPr>
                        <w:t>2</w:t>
                      </w:r>
                    </w:sdtContent>
                  </w:sdt>
                  <w:r>
                    <w:rPr>
                      <w:rFonts w:eastAsia="Calibri"/>
                      <w:bCs/>
                      <w:color w:val="000000"/>
                      <w:szCs w:val="22"/>
                    </w:rPr>
                    <w:t>.</w:t>
                    <w:tab/>
                  </w:r>
                  <w:r>
                    <w:t xml:space="preserve">Standartu vadovaujamasi rengiant viešojo sektoriaus subjekto finansinių ataskaitų rinkinį ir viešojo sektoriaus subjektų grupės finansinių ataskaitų rinkinį. </w:t>
                  </w:r>
                </w:p>
              </w:sdtContent>
            </w:sdt>
            <w:sdt>
              <w:sdtPr>
                <w:alias w:val="3 p."/>
                <w:tag w:val="part_ea990c44e75941119476175c9385af50"/>
                <w:lock w:val="sdtLocked"/>
                <w:richText/>
              </w:sdtPr>
              <w:sdtContent>
                <w:p>
                  <w:pPr>
                    <w:widowControl w:val="0"/>
                    <w:tabs>
                      <w:tab w:val="left" w:pos="1134"/>
                    </w:tabs>
                    <w:suppressAutoHyphens/>
                    <w:ind w:firstLine="567"/>
                    <w:jc w:val="both"/>
                    <w:rPr>
                      <w:bCs/>
                      <w:color w:val="000000"/>
                      <w:lang w:eastAsia="lt-LT"/>
                    </w:rPr>
                  </w:pPr>
                  <w:sdt>
                    <w:sdtPr>
                      <w:alias w:val="Numeris"/>
                      <w:tag w:val="nr_ea990c44e75941119476175c9385af50"/>
                      <w:lock w:val="sdtLocked"/>
                      <w:richText/>
                    </w:sdtPr>
                    <w:sdtContent>
                      <w:r>
                        <w:rPr>
                          <w:rFonts w:eastAsia="Calibri"/>
                          <w:bCs/>
                          <w:color w:val="000000"/>
                          <w:szCs w:val="22"/>
                        </w:rPr>
                        <w:t>3</w:t>
                      </w:r>
                    </w:sdtContent>
                  </w:sdt>
                  <w:r>
                    <w:rPr>
                      <w:rFonts w:eastAsia="Calibri"/>
                      <w:bCs/>
                      <w:color w:val="000000"/>
                      <w:szCs w:val="22"/>
                    </w:rPr>
                    <w:t>.</w:t>
                    <w:tab/>
                  </w:r>
                  <w:r>
                    <w:rPr>
                      <w:bCs/>
                      <w:color w:val="000000"/>
                      <w:lang w:eastAsia="lt-LT"/>
                    </w:rPr>
                    <w:t xml:space="preserve">Standartas taikomas su darbo santykiais susijusioms išmokoms, prie kurių priskiriama: </w:t>
                  </w:r>
                </w:p>
                <w:sdt>
                  <w:sdtPr>
                    <w:alias w:val="3.1 pp."/>
                    <w:tag w:val="part_e529a21265a040f1afafdaf61b6f85ed"/>
                    <w:lock w:val="sdtLocked"/>
                    <w:richText/>
                  </w:sdtPr>
                  <w:sdtContent>
                    <w:p>
                      <w:pPr>
                        <w:widowControl w:val="0"/>
                        <w:tabs>
                          <w:tab w:val="left" w:pos="1134"/>
                        </w:tabs>
                        <w:suppressAutoHyphens/>
                        <w:ind w:firstLine="567"/>
                        <w:jc w:val="both"/>
                        <w:rPr>
                          <w:bCs/>
                          <w:color w:val="000000"/>
                          <w:lang w:eastAsia="lt-LT"/>
                        </w:rPr>
                      </w:pPr>
                      <w:sdt>
                        <w:sdtPr>
                          <w:alias w:val="Numeris"/>
                          <w:tag w:val="nr_e529a21265a040f1afafdaf61b6f85ed"/>
                          <w:lock w:val="sdtLocked"/>
                          <w:richText/>
                        </w:sdtPr>
                        <w:sdtContent>
                          <w:r>
                            <w:rPr>
                              <w:rFonts w:eastAsia="Calibri"/>
                              <w:bCs/>
                              <w:color w:val="000000"/>
                              <w:szCs w:val="22"/>
                            </w:rPr>
                            <w:t>3.1</w:t>
                          </w:r>
                        </w:sdtContent>
                      </w:sdt>
                      <w:r>
                        <w:rPr>
                          <w:rFonts w:eastAsia="Calibri"/>
                          <w:bCs/>
                          <w:color w:val="000000"/>
                          <w:szCs w:val="22"/>
                        </w:rPr>
                        <w:t>.</w:t>
                        <w:tab/>
                      </w:r>
                      <w:r>
                        <w:rPr>
                          <w:bCs/>
                          <w:color w:val="000000"/>
                          <w:lang w:eastAsia="lt-LT"/>
                        </w:rPr>
                        <w:t xml:space="preserve">darbo užmokestis pinigais ir (arba) natūra pagal darbo sutartis ar </w:t>
                      </w:r>
                      <w:r>
                        <w:rPr>
                          <w:color w:val="000000"/>
                          <w:lang w:eastAsia="lt-LT"/>
                        </w:rPr>
                        <w:t xml:space="preserve">kitus darbo </w:t>
                      </w:r>
                      <w:r>
                        <w:rPr>
                          <w:bCs/>
                          <w:color w:val="000000"/>
                          <w:lang w:eastAsia="lt-LT"/>
                        </w:rPr>
                        <w:t>ar tarnybos apmokėjimą reglamentuojančius teisės aktus;</w:t>
                      </w:r>
                    </w:p>
                  </w:sdtContent>
                </w:sdt>
                <w:sdt>
                  <w:sdtPr>
                    <w:alias w:val="3.2 pp."/>
                    <w:tag w:val="part_c9f1d2c32c4243f7b83552a5ae1d2301"/>
                    <w:lock w:val="sdtLocked"/>
                    <w:richText/>
                  </w:sdtPr>
                  <w:sdtContent>
                    <w:p>
                      <w:pPr>
                        <w:widowControl w:val="0"/>
                        <w:tabs>
                          <w:tab w:val="left" w:pos="1134"/>
                        </w:tabs>
                        <w:suppressAutoHyphens/>
                        <w:ind w:firstLine="567"/>
                        <w:jc w:val="both"/>
                        <w:rPr>
                          <w:bCs/>
                          <w:color w:val="000000"/>
                          <w:lang w:eastAsia="lt-LT"/>
                        </w:rPr>
                      </w:pPr>
                      <w:sdt>
                        <w:sdtPr>
                          <w:alias w:val="Numeris"/>
                          <w:tag w:val="nr_c9f1d2c32c4243f7b83552a5ae1d2301"/>
                          <w:lock w:val="sdtLocked"/>
                          <w:richText/>
                        </w:sdtPr>
                        <w:sdtContent>
                          <w:r>
                            <w:rPr>
                              <w:rFonts w:eastAsia="Calibri"/>
                              <w:bCs/>
                              <w:color w:val="000000"/>
                              <w:szCs w:val="22"/>
                            </w:rPr>
                            <w:t>3.2</w:t>
                          </w:r>
                        </w:sdtContent>
                      </w:sdt>
                      <w:r>
                        <w:rPr>
                          <w:rFonts w:eastAsia="Calibri"/>
                          <w:bCs/>
                          <w:color w:val="000000"/>
                          <w:szCs w:val="22"/>
                        </w:rPr>
                        <w:t>.</w:t>
                        <w:tab/>
                      </w:r>
                      <w:r>
                        <w:rPr>
                          <w:bCs/>
                          <w:color w:val="000000"/>
                          <w:lang w:eastAsia="lt-LT"/>
                        </w:rPr>
                        <w:t>kitos išmokos, kurias privaloma mokėti pagal teisės aktus, reglamentuojančius išmokų mokėjimą, tokios kaip išeitinės išmokos, ilgalaikio darbo išmokos ir kitos panašios išmokos;</w:t>
                      </w:r>
                    </w:p>
                  </w:sdtContent>
                </w:sdt>
                <w:sdt>
                  <w:sdtPr>
                    <w:alias w:val="3.3 pp."/>
                    <w:tag w:val="part_45311c75bf9c4a5eaf62e1602c101bc0"/>
                    <w:lock w:val="sdtLocked"/>
                    <w:richText/>
                  </w:sdtPr>
                  <w:sdtContent>
                    <w:p>
                      <w:pPr>
                        <w:widowControl w:val="0"/>
                        <w:tabs>
                          <w:tab w:val="left" w:pos="1134"/>
                        </w:tabs>
                        <w:suppressAutoHyphens/>
                        <w:ind w:firstLine="567"/>
                        <w:jc w:val="both"/>
                        <w:rPr>
                          <w:bCs/>
                          <w:color w:val="000000"/>
                          <w:lang w:eastAsia="lt-LT"/>
                        </w:rPr>
                      </w:pPr>
                      <w:sdt>
                        <w:sdtPr>
                          <w:alias w:val="Numeris"/>
                          <w:tag w:val="nr_45311c75bf9c4a5eaf62e1602c101bc0"/>
                          <w:lock w:val="sdtLocked"/>
                          <w:richText/>
                        </w:sdtPr>
                        <w:sdtContent>
                          <w:r>
                            <w:rPr>
                              <w:rFonts w:eastAsia="Calibri"/>
                              <w:bCs/>
                              <w:color w:val="000000"/>
                              <w:szCs w:val="22"/>
                            </w:rPr>
                            <w:t>3.3</w:t>
                          </w:r>
                        </w:sdtContent>
                      </w:sdt>
                      <w:r>
                        <w:rPr>
                          <w:rFonts w:eastAsia="Calibri"/>
                          <w:bCs/>
                          <w:color w:val="000000"/>
                          <w:szCs w:val="22"/>
                        </w:rPr>
                        <w:t>.</w:t>
                        <w:tab/>
                      </w:r>
                      <w:r>
                        <w:rPr>
                          <w:color w:val="000000"/>
                          <w:lang w:eastAsia="lt-LT"/>
                        </w:rPr>
                        <w:t>už</w:t>
                      </w:r>
                      <w:r>
                        <w:rPr>
                          <w:bCs/>
                          <w:color w:val="000000"/>
                          <w:lang w:eastAsia="lt-LT"/>
                        </w:rPr>
                        <w:t xml:space="preserve"> darbuotoją mokamos įmokos į išteklių fondus arba įmokos kitiems subjektams darbuotojo naudai, tokios kaip įmokos draudimo bendrovėms ir kitos panašios įmokos;</w:t>
                      </w:r>
                    </w:p>
                  </w:sdtContent>
                </w:sdt>
                <w:sdt>
                  <w:sdtPr>
                    <w:alias w:val="3.4 pp."/>
                    <w:tag w:val="part_9fa95e09e1b649259c1017e90bfe1ce4"/>
                    <w:lock w:val="sdtLocked"/>
                    <w:richText/>
                  </w:sdtPr>
                  <w:sdtContent>
                    <w:p>
                      <w:pPr>
                        <w:widowControl w:val="0"/>
                        <w:tabs>
                          <w:tab w:val="left" w:pos="1134"/>
                        </w:tabs>
                        <w:suppressAutoHyphens/>
                        <w:ind w:firstLine="567"/>
                        <w:jc w:val="both"/>
                        <w:rPr>
                          <w:bCs/>
                          <w:color w:val="000000"/>
                          <w:lang w:eastAsia="lt-LT"/>
                        </w:rPr>
                      </w:pPr>
                      <w:sdt>
                        <w:sdtPr>
                          <w:alias w:val="Numeris"/>
                          <w:tag w:val="nr_9fa95e09e1b649259c1017e90bfe1ce4"/>
                          <w:lock w:val="sdtLocked"/>
                          <w:richText/>
                        </w:sdtPr>
                        <w:sdtContent>
                          <w:r>
                            <w:rPr>
                              <w:rFonts w:eastAsia="Calibri"/>
                              <w:bCs/>
                              <w:color w:val="000000"/>
                              <w:szCs w:val="22"/>
                            </w:rPr>
                            <w:t>3.4</w:t>
                          </w:r>
                        </w:sdtContent>
                      </w:sdt>
                      <w:r>
                        <w:rPr>
                          <w:rFonts w:eastAsia="Calibri"/>
                          <w:bCs/>
                          <w:color w:val="000000"/>
                          <w:szCs w:val="22"/>
                        </w:rPr>
                        <w:t>.</w:t>
                        <w:tab/>
                      </w:r>
                      <w:r>
                        <w:rPr>
                          <w:bCs/>
                          <w:color w:val="000000"/>
                          <w:lang w:eastAsia="lt-LT"/>
                        </w:rPr>
                        <w:t>atlygis už suteiktas paslaugas, perduotas ar suteiktas teises pagal kitas nei darbo sutartis, kurios apskaitos tikslais pagal Standartą priskiriamos prie su darbo santykiais susijusių sutarčių. Standarte laikoma, kad sutartis atitinka darbo santykių esmę, jeigu joje susitariama dėl Lietuvos Respublikos darbo kodekse nustatytų būtinųjų darbo sutarties sąlygų (darbo funkcija, darbo apmokėjimo sąlygos ir darbovietė);</w:t>
                      </w:r>
                    </w:p>
                  </w:sdtContent>
                </w:sdt>
                <w:sdt>
                  <w:sdtPr>
                    <w:alias w:val="3.5 pp."/>
                    <w:tag w:val="part_2c0fd2c592224f8fbc267dfa5c111e0d"/>
                    <w:lock w:val="sdtLocked"/>
                    <w:richText/>
                  </w:sdtPr>
                  <w:sdtContent>
                    <w:p>
                      <w:pPr>
                        <w:widowControl w:val="0"/>
                        <w:tabs>
                          <w:tab w:val="left" w:pos="1134"/>
                        </w:tabs>
                        <w:suppressAutoHyphens/>
                        <w:ind w:firstLine="567"/>
                        <w:jc w:val="both"/>
                        <w:rPr>
                          <w:bCs/>
                          <w:color w:val="000000"/>
                          <w:lang w:eastAsia="lt-LT"/>
                        </w:rPr>
                      </w:pPr>
                      <w:sdt>
                        <w:sdtPr>
                          <w:alias w:val="Numeris"/>
                          <w:tag w:val="nr_2c0fd2c592224f8fbc267dfa5c111e0d"/>
                          <w:lock w:val="sdtLocked"/>
                          <w:richText/>
                        </w:sdtPr>
                        <w:sdtContent>
                          <w:r>
                            <w:rPr>
                              <w:rFonts w:eastAsia="Calibri"/>
                              <w:bCs/>
                              <w:color w:val="000000"/>
                              <w:szCs w:val="22"/>
                            </w:rPr>
                            <w:t>3.5</w:t>
                          </w:r>
                        </w:sdtContent>
                      </w:sdt>
                      <w:r>
                        <w:rPr>
                          <w:rFonts w:eastAsia="Calibri"/>
                          <w:bCs/>
                          <w:color w:val="000000"/>
                          <w:szCs w:val="22"/>
                        </w:rPr>
                        <w:t>.</w:t>
                        <w:tab/>
                      </w:r>
                      <w:r>
                        <w:rPr>
                          <w:bCs/>
                          <w:color w:val="000000"/>
                          <w:lang w:eastAsia="lt-LT"/>
                        </w:rPr>
                        <w:t>socialinės ir kitos išmokos darbuotojui.</w:t>
                      </w:r>
                    </w:p>
                  </w:sdtContent>
                </w:sdt>
              </w:sdtContent>
            </w:sdt>
            <w:sdt>
              <w:sdtPr>
                <w:alias w:val="4 p."/>
                <w:tag w:val="part_b06edaa518fd489ea192013efd24de3e"/>
                <w:lock w:val="sdtLocked"/>
                <w:richText/>
              </w:sdtPr>
              <w:sdtContent>
                <w:p>
                  <w:pPr>
                    <w:widowControl w:val="0"/>
                    <w:tabs>
                      <w:tab w:val="left" w:pos="1134"/>
                    </w:tabs>
                    <w:suppressAutoHyphens/>
                    <w:ind w:firstLine="567"/>
                    <w:jc w:val="both"/>
                    <w:rPr>
                      <w:color w:val="000000"/>
                      <w:lang w:eastAsia="lt-LT"/>
                    </w:rPr>
                  </w:pPr>
                  <w:sdt>
                    <w:sdtPr>
                      <w:alias w:val="Numeris"/>
                      <w:tag w:val="nr_b06edaa518fd489ea192013efd24de3e"/>
                      <w:lock w:val="sdtLocked"/>
                      <w:richText/>
                    </w:sdtPr>
                    <w:sdtContent>
                      <w:r>
                        <w:rPr>
                          <w:rFonts w:eastAsia="Calibri"/>
                          <w:color w:val="000000"/>
                          <w:szCs w:val="22"/>
                        </w:rPr>
                        <w:t>4</w:t>
                      </w:r>
                    </w:sdtContent>
                  </w:sdt>
                  <w:r>
                    <w:rPr>
                      <w:rFonts w:eastAsia="Calibri"/>
                      <w:color w:val="000000"/>
                      <w:szCs w:val="22"/>
                    </w:rPr>
                    <w:t>.</w:t>
                    <w:tab/>
                  </w:r>
                  <w:r>
                    <w:rPr>
                      <w:bCs/>
                      <w:color w:val="000000"/>
                      <w:lang w:eastAsia="lt-LT"/>
                    </w:rPr>
                    <w:t>Standartas netaikomas apskaitai:</w:t>
                  </w:r>
                </w:p>
                <w:sdt>
                  <w:sdtPr>
                    <w:alias w:val="4.1 pp."/>
                    <w:tag w:val="part_25db58c66f724154bd76fa09762a98cb"/>
                    <w:lock w:val="sdtLocked"/>
                    <w:richText/>
                  </w:sdtPr>
                  <w:sdtContent>
                    <w:p>
                      <w:pPr>
                        <w:widowControl w:val="0"/>
                        <w:tabs>
                          <w:tab w:val="left" w:pos="1134"/>
                        </w:tabs>
                        <w:suppressAutoHyphens/>
                        <w:ind w:firstLine="567"/>
                        <w:jc w:val="both"/>
                        <w:rPr>
                          <w:bCs/>
                          <w:color w:val="000000"/>
                          <w:lang w:eastAsia="lt-LT"/>
                        </w:rPr>
                      </w:pPr>
                      <w:sdt>
                        <w:sdtPr>
                          <w:alias w:val="Numeris"/>
                          <w:tag w:val="nr_25db58c66f724154bd76fa09762a98cb"/>
                          <w:lock w:val="sdtLocked"/>
                          <w:richText/>
                        </w:sdtPr>
                        <w:sdtContent>
                          <w:r>
                            <w:rPr>
                              <w:rFonts w:eastAsia="Calibri"/>
                              <w:bCs/>
                              <w:color w:val="000000"/>
                              <w:szCs w:val="22"/>
                            </w:rPr>
                            <w:t>4.1</w:t>
                          </w:r>
                        </w:sdtContent>
                      </w:sdt>
                      <w:r>
                        <w:rPr>
                          <w:rFonts w:eastAsia="Calibri"/>
                          <w:bCs/>
                          <w:color w:val="000000"/>
                          <w:szCs w:val="22"/>
                        </w:rPr>
                        <w:t>.</w:t>
                        <w:tab/>
                      </w:r>
                      <w:r>
                        <w:rPr>
                          <w:bCs/>
                          <w:color w:val="000000"/>
                          <w:lang w:eastAsia="lt-LT"/>
                        </w:rPr>
                        <w:t>socialinės paramos, teikiamos iš tam tikslui įsteigtų išteklių fondų;</w:t>
                      </w:r>
                    </w:p>
                  </w:sdtContent>
                </w:sdt>
                <w:sdt>
                  <w:sdtPr>
                    <w:alias w:val="4.2 pp."/>
                    <w:tag w:val="part_a494883b52e34a0683e83cdea605d5ef"/>
                    <w:lock w:val="sdtLocked"/>
                    <w:richText/>
                  </w:sdtPr>
                  <w:sdtContent>
                    <w:p>
                      <w:pPr>
                        <w:widowControl w:val="0"/>
                        <w:tabs>
                          <w:tab w:val="left" w:pos="1134"/>
                        </w:tabs>
                        <w:suppressAutoHyphens/>
                        <w:ind w:firstLine="567"/>
                        <w:jc w:val="both"/>
                        <w:rPr>
                          <w:bCs/>
                          <w:color w:val="000000"/>
                          <w:lang w:eastAsia="lt-LT"/>
                        </w:rPr>
                      </w:pPr>
                      <w:sdt>
                        <w:sdtPr>
                          <w:alias w:val="Numeris"/>
                          <w:tag w:val="nr_a494883b52e34a0683e83cdea605d5ef"/>
                          <w:lock w:val="sdtLocked"/>
                          <w:richText/>
                        </w:sdtPr>
                        <w:sdtContent>
                          <w:r>
                            <w:rPr>
                              <w:rFonts w:eastAsia="Calibri"/>
                              <w:bCs/>
                              <w:color w:val="000000"/>
                              <w:szCs w:val="22"/>
                            </w:rPr>
                            <w:t>4.2</w:t>
                          </w:r>
                        </w:sdtContent>
                      </w:sdt>
                      <w:r>
                        <w:rPr>
                          <w:rFonts w:eastAsia="Calibri"/>
                          <w:bCs/>
                          <w:color w:val="000000"/>
                          <w:szCs w:val="22"/>
                        </w:rPr>
                        <w:t>.</w:t>
                        <w:tab/>
                      </w:r>
                      <w:r>
                        <w:rPr>
                          <w:bCs/>
                          <w:color w:val="000000"/>
                          <w:lang w:eastAsia="lt-LT"/>
                        </w:rPr>
                        <w:t xml:space="preserve">piniginių dovanų ir laimėjimų (prizų), premijų ir valstybės stipendijų, skiriamų sportininkams, kultūros ir meno kūrėjams, mokslininkams </w:t>
                      </w:r>
                      <w:r>
                        <w:rPr>
                          <w:color w:val="000000"/>
                          <w:spacing w:val="-1"/>
                          <w:lang w:eastAsia="lt-LT"/>
                        </w:rPr>
                        <w:t>ir kitiems asmenims</w:t>
                      </w:r>
                      <w:r>
                        <w:rPr>
                          <w:bCs/>
                          <w:color w:val="000000"/>
                          <w:lang w:eastAsia="lt-LT"/>
                        </w:rPr>
                        <w:t xml:space="preserve">, stipendijų studentams ir kitų panašių išmokų, kurių apskaitai taikomos 11-ojo viešojo sektoriaus apskaitos ir finansinės atskaitomybės standarto „Sąnaudos“, </w:t>
                      </w:r>
                      <w:r>
                        <w:rPr>
                          <w:color w:val="000000"/>
                        </w:rPr>
                        <w:t xml:space="preserve">patvirtinto </w:t>
                      </w:r>
                      <w:r>
                        <w:t>Lietuvos Respublikos finansų ministro 2008 m. vasario 8 d. įsakymu Nr. 1K-059 „Dėl 11-ojo viešojo sektoriaus apskaitos ir finansinės atskaitomybės standarto patvirtinimo“,</w:t>
                      </w:r>
                      <w:r>
                        <w:rPr>
                          <w:bCs/>
                          <w:color w:val="000000"/>
                          <w:lang w:eastAsia="lt-LT"/>
                        </w:rPr>
                        <w:t xml:space="preserve"> nuostatos.</w:t>
                      </w:r>
                    </w:p>
                  </w:sdtContent>
                </w:sdt>
              </w:sdtContent>
            </w:sdt>
            <w:sdt>
              <w:sdtPr>
                <w:alias w:val="5 p."/>
                <w:tag w:val="part_4723b7571fd14d799bf1e8cad35c5a6b"/>
                <w:lock w:val="sdtLocked"/>
                <w:richText/>
              </w:sdtPr>
              <w:sdtContent>
                <w:p>
                  <w:pPr>
                    <w:widowControl w:val="0"/>
                    <w:tabs>
                      <w:tab w:val="left" w:pos="1134"/>
                    </w:tabs>
                    <w:suppressAutoHyphens/>
                    <w:ind w:firstLine="567"/>
                    <w:jc w:val="both"/>
                    <w:rPr>
                      <w:bCs/>
                      <w:color w:val="000000"/>
                      <w:lang w:eastAsia="lt-LT"/>
                    </w:rPr>
                  </w:pPr>
                  <w:sdt>
                    <w:sdtPr>
                      <w:alias w:val="Numeris"/>
                      <w:tag w:val="nr_4723b7571fd14d799bf1e8cad35c5a6b"/>
                      <w:lock w:val="sdtLocked"/>
                      <w:richText/>
                    </w:sdtPr>
                    <w:sdtContent>
                      <w:r>
                        <w:rPr>
                          <w:rFonts w:eastAsia="Calibri"/>
                          <w:bCs/>
                          <w:color w:val="000000"/>
                          <w:szCs w:val="22"/>
                        </w:rPr>
                        <w:t>5</w:t>
                      </w:r>
                    </w:sdtContent>
                  </w:sdt>
                  <w:r>
                    <w:rPr>
                      <w:rFonts w:eastAsia="Calibri"/>
                      <w:bCs/>
                      <w:color w:val="000000"/>
                      <w:szCs w:val="22"/>
                    </w:rPr>
                    <w:t>.</w:t>
                    <w:tab/>
                  </w:r>
                  <w:r>
                    <w:rPr>
                      <w:bCs/>
                      <w:color w:val="000000"/>
                      <w:lang w:eastAsia="lt-LT"/>
                    </w:rPr>
                    <w:t>Standarte vartojamos sąvokos suprantamos taip, kaip jos apibrėžtos Darbo kodekse, Lietuvos Respublikos viešojo sektoriaus atskaitomybės įstatyme, Lietuvos Respublikos garantijų darbuotojams jų darbdaviui tapus nemokiam ir ilgalaikio darbo išmokų įstatyme ir kituose viešojo sektoriaus apskaitos ir finansinės atskaitomybės standartuose (toliau – VSAFAS).</w:t>
                  </w:r>
                </w:p>
                <w:p>
                  <w:pPr>
                    <w:widowControl w:val="0"/>
                    <w:jc w:val="center"/>
                    <w:rPr>
                      <w:lang w:eastAsia="lt-LT"/>
                    </w:rPr>
                  </w:pPr>
                </w:p>
              </w:sdtContent>
            </w:sdt>
          </w:sdtContent>
        </w:sdt>
        <w:sdt>
          <w:sdtPr>
            <w:alias w:val="skyrius"/>
            <w:tag w:val="part_53b53a64568243bb9398bf4fcee2c283"/>
            <w:lock w:val="sdtLocked"/>
            <w:richText/>
          </w:sdtPr>
          <w:sdtContent>
            <w:p>
              <w:pPr>
                <w:keepLines/>
                <w:widowControl w:val="0"/>
                <w:suppressAutoHyphens/>
                <w:jc w:val="center"/>
                <w:rPr>
                  <w:b/>
                  <w:bCs/>
                  <w:caps/>
                  <w:color w:val="000000"/>
                  <w:lang w:eastAsia="lt-LT"/>
                </w:rPr>
              </w:pPr>
              <w:sdt>
                <w:sdtPr>
                  <w:alias w:val="Numeris"/>
                  <w:tag w:val="nr_53b53a64568243bb9398bf4fcee2c283"/>
                  <w:lock w:val="sdtLocked"/>
                  <w:richText/>
                </w:sdtPr>
                <w:sdtContent>
                  <w:r>
                    <w:rPr>
                      <w:b/>
                      <w:bCs/>
                      <w:caps/>
                      <w:color w:val="000000"/>
                      <w:lang w:eastAsia="lt-LT"/>
                    </w:rPr>
                    <w:t>II</w:t>
                  </w:r>
                </w:sdtContent>
              </w:sdt>
              <w:r>
                <w:rPr>
                  <w:b/>
                  <w:bCs/>
                  <w:caps/>
                  <w:color w:val="000000"/>
                  <w:lang w:eastAsia="lt-LT"/>
                </w:rPr>
                <w:t xml:space="preserve"> SKYRIUS</w:t>
              </w:r>
            </w:p>
            <w:p>
              <w:pPr>
                <w:keepLines/>
                <w:widowControl w:val="0"/>
                <w:suppressAutoHyphens/>
                <w:jc w:val="center"/>
                <w:rPr>
                  <w:b/>
                  <w:bCs/>
                  <w:caps/>
                  <w:color w:val="000000"/>
                  <w:lang w:eastAsia="lt-LT"/>
                </w:rPr>
              </w:pPr>
              <w:sdt>
                <w:sdtPr>
                  <w:alias w:val="Pavadinimas"/>
                  <w:tag w:val="title_53b53a64568243bb9398bf4fcee2c283"/>
                  <w:lock w:val="sdtLocked"/>
                  <w:richText/>
                </w:sdtPr>
                <w:sdtContent>
                  <w:r>
                    <w:rPr>
                      <w:b/>
                      <w:bCs/>
                      <w:caps/>
                      <w:color w:val="000000"/>
                      <w:lang w:eastAsia="lt-LT"/>
                    </w:rPr>
                    <w:t>SU DARBO SANTYKIAIS SUSIJUSIŲ IŠMOKŲ GRUPAVIMAS</w:t>
                  </w:r>
                </w:sdtContent>
              </w:sdt>
            </w:p>
            <w:p>
              <w:pPr>
                <w:keepLines/>
                <w:widowControl w:val="0"/>
                <w:suppressAutoHyphens/>
                <w:jc w:val="center"/>
                <w:rPr>
                  <w:b/>
                  <w:bCs/>
                  <w:caps/>
                  <w:color w:val="000000"/>
                  <w:lang w:eastAsia="lt-LT"/>
                </w:rPr>
              </w:pPr>
            </w:p>
            <w:sdt>
              <w:sdtPr>
                <w:alias w:val="skirsnis"/>
                <w:tag w:val="part_2c7e3a31e1684e9cb0a4c712a0a9e3ed"/>
                <w:lock w:val="sdtLocked"/>
                <w:richText/>
              </w:sdtPr>
              <w:sdtContent>
                <w:p>
                  <w:pPr>
                    <w:keepLines/>
                    <w:widowControl w:val="0"/>
                    <w:suppressAutoHyphens/>
                    <w:jc w:val="center"/>
                    <w:rPr>
                      <w:b/>
                      <w:bCs/>
                      <w:caps/>
                      <w:color w:val="000000"/>
                      <w:lang w:eastAsia="lt-LT"/>
                    </w:rPr>
                  </w:pPr>
                  <w:sdt>
                    <w:sdtPr>
                      <w:alias w:val="Numeris"/>
                      <w:tag w:val="nr_2c7e3a31e1684e9cb0a4c712a0a9e3ed"/>
                      <w:lock w:val="sdtLocked"/>
                      <w:richText/>
                    </w:sdtPr>
                    <w:sdtContent>
                      <w:r>
                        <w:rPr>
                          <w:b/>
                          <w:bCs/>
                          <w:caps/>
                          <w:color w:val="000000"/>
                          <w:lang w:eastAsia="lt-LT"/>
                        </w:rPr>
                        <w:t>PIRMASIS</w:t>
                      </w:r>
                    </w:sdtContent>
                  </w:sdt>
                  <w:r>
                    <w:rPr>
                      <w:b/>
                      <w:bCs/>
                      <w:caps/>
                      <w:color w:val="000000"/>
                      <w:lang w:eastAsia="lt-LT"/>
                    </w:rPr>
                    <w:t xml:space="preserve"> SKIRSNIS</w:t>
                  </w:r>
                </w:p>
                <w:p>
                  <w:pPr>
                    <w:keepLines/>
                    <w:widowControl w:val="0"/>
                    <w:suppressAutoHyphens/>
                    <w:jc w:val="center"/>
                    <w:rPr>
                      <w:b/>
                      <w:bCs/>
                      <w:caps/>
                      <w:color w:val="000000"/>
                      <w:lang w:eastAsia="lt-LT"/>
                    </w:rPr>
                  </w:pPr>
                  <w:sdt>
                    <w:sdtPr>
                      <w:alias w:val="Pavadinimas"/>
                      <w:tag w:val="title_2c7e3a31e1684e9cb0a4c712a0a9e3ed"/>
                      <w:lock w:val="sdtLocked"/>
                      <w:richText/>
                    </w:sdtPr>
                    <w:sdtContent>
                      <w:r>
                        <w:rPr>
                          <w:b/>
                          <w:bCs/>
                          <w:caps/>
                          <w:color w:val="000000"/>
                          <w:lang w:eastAsia="lt-LT"/>
                        </w:rPr>
                        <w:t>SU DARBO SANTYKIAIS SUSIJUSIŲ IŠMOKŲ RŪŠYS PAGAL NUMATOMĄ ĮSIPAREIGOJIMŲ ĮVYKDYMĄ</w:t>
                      </w:r>
                    </w:sdtContent>
                  </w:sdt>
                </w:p>
                <w:p>
                  <w:pPr>
                    <w:widowControl w:val="0"/>
                    <w:suppressAutoHyphens/>
                    <w:ind w:firstLine="567"/>
                    <w:jc w:val="both"/>
                    <w:rPr>
                      <w:color w:val="000000"/>
                      <w:lang w:eastAsia="lt-LT"/>
                    </w:rPr>
                  </w:pPr>
                </w:p>
                <w:sdt>
                  <w:sdtPr>
                    <w:alias w:val="6 p."/>
                    <w:tag w:val="part_155e715d057f420aa96868dbbd3964f7"/>
                    <w:lock w:val="sdtLocked"/>
                    <w:richText/>
                  </w:sdtPr>
                  <w:sdtContent>
                    <w:p>
                      <w:pPr>
                        <w:widowControl w:val="0"/>
                        <w:tabs>
                          <w:tab w:val="left" w:pos="1134"/>
                        </w:tabs>
                        <w:suppressAutoHyphens/>
                        <w:ind w:firstLine="567"/>
                        <w:jc w:val="both"/>
                        <w:rPr>
                          <w:bCs/>
                          <w:color w:val="000000"/>
                          <w:lang w:eastAsia="lt-LT"/>
                        </w:rPr>
                      </w:pPr>
                      <w:sdt>
                        <w:sdtPr>
                          <w:alias w:val="Numeris"/>
                          <w:tag w:val="nr_155e715d057f420aa96868dbbd3964f7"/>
                          <w:lock w:val="sdtLocked"/>
                          <w:richText/>
                        </w:sdtPr>
                        <w:sdtContent>
                          <w:r>
                            <w:rPr>
                              <w:rFonts w:eastAsia="Calibri"/>
                              <w:bCs/>
                              <w:color w:val="000000"/>
                              <w:szCs w:val="22"/>
                            </w:rPr>
                            <w:t>6</w:t>
                          </w:r>
                        </w:sdtContent>
                      </w:sdt>
                      <w:r>
                        <w:rPr>
                          <w:rFonts w:eastAsia="Calibri"/>
                          <w:bCs/>
                          <w:color w:val="000000"/>
                          <w:szCs w:val="22"/>
                        </w:rPr>
                        <w:t>.</w:t>
                        <w:tab/>
                      </w:r>
                      <w:r>
                        <w:rPr>
                          <w:bCs/>
                          <w:color w:val="000000"/>
                          <w:lang w:eastAsia="lt-LT"/>
                        </w:rPr>
                        <w:t xml:space="preserve">Su darbo santykiais susijusia išmoka laikomas bet koks užmokestis pinigais ar natūra, viešojo sektoriaus subjekto mokamas darbuotojui už atliktą darbą, tarnybą, vykdytas pareigas, arba kita dėl darbo santykių ar jų esmę atitinkančių santykių atsirandanti teisės aktų nustatyta išmoka tiesiogiai darbuotojui, jo vaikams, sutuoktiniui ar kitiems išlaikytiniams arba kitiems subjektams, tokiems kaip draudimo bendrovės, išteklių fondai ir kiti subjektai. </w:t>
                      </w:r>
                    </w:p>
                  </w:sdtContent>
                </w:sdt>
                <w:sdt>
                  <w:sdtPr>
                    <w:alias w:val="7 p."/>
                    <w:tag w:val="part_642ad34f694c4782bcd89c82a37cffc1"/>
                    <w:lock w:val="sdtLocked"/>
                    <w:richText/>
                  </w:sdtPr>
                  <w:sdtContent>
                    <w:p>
                      <w:pPr>
                        <w:widowControl w:val="0"/>
                        <w:tabs>
                          <w:tab w:val="left" w:pos="1134"/>
                        </w:tabs>
                        <w:suppressAutoHyphens/>
                        <w:ind w:firstLine="567"/>
                        <w:jc w:val="both"/>
                        <w:rPr>
                          <w:color w:val="000000"/>
                          <w:lang w:eastAsia="lt-LT"/>
                        </w:rPr>
                      </w:pPr>
                      <w:sdt>
                        <w:sdtPr>
                          <w:alias w:val="Numeris"/>
                          <w:tag w:val="nr_642ad34f694c4782bcd89c82a37cffc1"/>
                          <w:lock w:val="sdtLocked"/>
                          <w:richText/>
                        </w:sdtPr>
                        <w:sdtContent>
                          <w:r>
                            <w:rPr>
                              <w:rFonts w:eastAsia="Calibri"/>
                              <w:color w:val="000000"/>
                              <w:szCs w:val="22"/>
                            </w:rPr>
                            <w:t>7</w:t>
                          </w:r>
                        </w:sdtContent>
                      </w:sdt>
                      <w:r>
                        <w:rPr>
                          <w:rFonts w:eastAsia="Calibri"/>
                          <w:color w:val="000000"/>
                          <w:szCs w:val="22"/>
                        </w:rPr>
                        <w:t>.</w:t>
                        <w:tab/>
                      </w:r>
                      <w:r>
                        <w:rPr>
                          <w:color w:val="000000"/>
                          <w:lang w:eastAsia="lt-LT"/>
                        </w:rPr>
                        <w:t>Su darbo santykiais susijusių išmokų rūšys pagal numatomą įsipareigojimo įvykdymą:</w:t>
                      </w:r>
                    </w:p>
                    <w:sdt>
                      <w:sdtPr>
                        <w:alias w:val="7.1 pp."/>
                        <w:tag w:val="part_ccaf6ec11b8c4f4b8a415cf5205b2536"/>
                        <w:lock w:val="sdtLocked"/>
                        <w:richText/>
                      </w:sdtPr>
                      <w:sdtContent>
                        <w:p>
                          <w:pPr>
                            <w:widowControl w:val="0"/>
                            <w:tabs>
                              <w:tab w:val="left" w:pos="1134"/>
                            </w:tabs>
                            <w:suppressAutoHyphens/>
                            <w:ind w:firstLine="567"/>
                            <w:jc w:val="both"/>
                            <w:rPr>
                              <w:color w:val="000000"/>
                              <w:lang w:eastAsia="lt-LT"/>
                            </w:rPr>
                          </w:pPr>
                          <w:sdt>
                            <w:sdtPr>
                              <w:alias w:val="Numeris"/>
                              <w:tag w:val="nr_ccaf6ec11b8c4f4b8a415cf5205b2536"/>
                              <w:lock w:val="sdtLocked"/>
                              <w:richText/>
                            </w:sdtPr>
                            <w:sdtContent>
                              <w:r>
                                <w:rPr>
                                  <w:rFonts w:eastAsia="Calibri"/>
                                  <w:color w:val="000000"/>
                                  <w:szCs w:val="22"/>
                                </w:rPr>
                                <w:t>7.1</w:t>
                              </w:r>
                            </w:sdtContent>
                          </w:sdt>
                          <w:r>
                            <w:rPr>
                              <w:rFonts w:eastAsia="Calibri"/>
                              <w:color w:val="000000"/>
                              <w:szCs w:val="22"/>
                            </w:rPr>
                            <w:t>.</w:t>
                            <w:tab/>
                          </w:r>
                          <w:r>
                            <w:rPr>
                              <w:color w:val="000000"/>
                              <w:lang w:eastAsia="lt-LT"/>
                            </w:rPr>
                            <w:t>trumpalaikės išmokos – su darbo santykiais susijusios išmokos darbuotojui pinigais ir (arba) natūra, kuriuos numatoma išmokėti per 12 mėnesių nuo tada, kai darbuotojas atlieka darbą ar tarnybą, suteikiančius teisę gauti tokią išmoką, ir darbdavio socialinio draudimo įmokos;</w:t>
                          </w:r>
                        </w:p>
                      </w:sdtContent>
                    </w:sdt>
                    <w:sdt>
                      <w:sdtPr>
                        <w:alias w:val="7.2 pp."/>
                        <w:tag w:val="part_22f9cb33f08c46adbcbb8eb4a78acc2c"/>
                        <w:lock w:val="sdtLocked"/>
                        <w:richText/>
                      </w:sdtPr>
                      <w:sdtContent>
                        <w:p>
                          <w:pPr>
                            <w:widowControl w:val="0"/>
                            <w:tabs>
                              <w:tab w:val="left" w:pos="567"/>
                              <w:tab w:val="left" w:pos="1134"/>
                            </w:tabs>
                            <w:suppressAutoHyphens/>
                            <w:ind w:firstLine="567"/>
                            <w:jc w:val="both"/>
                            <w:rPr>
                              <w:color w:val="000000"/>
                              <w:lang w:eastAsia="lt-LT"/>
                            </w:rPr>
                          </w:pPr>
                          <w:sdt>
                            <w:sdtPr>
                              <w:alias w:val="Numeris"/>
                              <w:tag w:val="nr_22f9cb33f08c46adbcbb8eb4a78acc2c"/>
                              <w:lock w:val="sdtLocked"/>
                              <w:richText/>
                            </w:sdtPr>
                            <w:sdtContent>
                              <w:r>
                                <w:rPr>
                                  <w:rFonts w:eastAsia="Calibri"/>
                                  <w:color w:val="000000"/>
                                  <w:szCs w:val="22"/>
                                </w:rPr>
                                <w:t>7.2</w:t>
                              </w:r>
                            </w:sdtContent>
                          </w:sdt>
                          <w:r>
                            <w:rPr>
                              <w:rFonts w:eastAsia="Calibri"/>
                              <w:color w:val="000000"/>
                              <w:szCs w:val="22"/>
                            </w:rPr>
                            <w:t>.</w:t>
                            <w:tab/>
                          </w:r>
                          <w:r>
                            <w:rPr>
                              <w:color w:val="000000"/>
                              <w:lang w:eastAsia="lt-LT"/>
                            </w:rPr>
                            <w:t>ilgalaikės išmokos</w:t>
                          </w:r>
                          <w:r>
                            <w:rPr>
                              <w:lang w:eastAsia="lt-LT"/>
                            </w:rPr>
                            <w:t xml:space="preserve"> – su darbo santykiais susijusios išmokos darbuotojui pinigais, kuriuos numatoma išmokėti praėjus 12 mėnesių nuo tada, kai darbuotojas </w:t>
                          </w:r>
                          <w:r>
                            <w:rPr>
                              <w:color w:val="000000"/>
                              <w:lang w:eastAsia="lt-LT"/>
                            </w:rPr>
                            <w:t>atlieka darbą ar tarnybą, suteikiančius teisę gauti tokią išmoką.</w:t>
                          </w:r>
                        </w:p>
                        <w:p>
                          <w:pPr>
                            <w:widowControl w:val="0"/>
                            <w:tabs>
                              <w:tab w:val="left" w:pos="567"/>
                              <w:tab w:val="left" w:pos="1134"/>
                            </w:tabs>
                            <w:suppressAutoHyphens/>
                            <w:spacing w:line="276" w:lineRule="auto"/>
                            <w:ind w:left="567"/>
                            <w:jc w:val="both"/>
                            <w:rPr>
                              <w:rFonts w:eastAsia="Calibri"/>
                              <w:color w:val="000000"/>
                              <w:szCs w:val="22"/>
                            </w:rPr>
                          </w:pPr>
                        </w:p>
                      </w:sdtContent>
                    </w:sdt>
                  </w:sdtContent>
                </w:sdt>
              </w:sdtContent>
            </w:sdt>
            <w:sdt>
              <w:sdtPr>
                <w:alias w:val="skirsnis"/>
                <w:tag w:val="part_ac88de4cf2524552a40f12f7b8bae4d7"/>
                <w:lock w:val="sdtLocked"/>
                <w:richText/>
              </w:sdtPr>
              <w:sdtContent>
                <w:p>
                  <w:pPr>
                    <w:keepLines/>
                    <w:widowControl w:val="0"/>
                    <w:suppressAutoHyphens/>
                    <w:jc w:val="center"/>
                    <w:rPr>
                      <w:b/>
                      <w:bCs/>
                      <w:color w:val="000000"/>
                      <w:lang w:eastAsia="lt-LT"/>
                    </w:rPr>
                  </w:pPr>
                  <w:sdt>
                    <w:sdtPr>
                      <w:alias w:val="Numeris"/>
                      <w:tag w:val="nr_ac88de4cf2524552a40f12f7b8bae4d7"/>
                      <w:lock w:val="sdtLocked"/>
                      <w:richText/>
                    </w:sdtPr>
                    <w:sdtContent>
                      <w:r>
                        <w:rPr>
                          <w:b/>
                          <w:bCs/>
                          <w:color w:val="000000"/>
                          <w:lang w:eastAsia="lt-LT"/>
                        </w:rPr>
                        <w:t>ANTRASIS</w:t>
                      </w:r>
                    </w:sdtContent>
                  </w:sdt>
                  <w:r>
                    <w:rPr>
                      <w:b/>
                      <w:bCs/>
                      <w:color w:val="000000"/>
                      <w:lang w:eastAsia="lt-LT"/>
                    </w:rPr>
                    <w:t xml:space="preserve"> SKIRSNIS</w:t>
                  </w:r>
                </w:p>
                <w:p>
                  <w:pPr>
                    <w:keepLines/>
                    <w:widowControl w:val="0"/>
                    <w:suppressAutoHyphens/>
                    <w:jc w:val="center"/>
                    <w:rPr>
                      <w:b/>
                      <w:bCs/>
                      <w:caps/>
                      <w:color w:val="000000"/>
                      <w:lang w:eastAsia="lt-LT"/>
                    </w:rPr>
                  </w:pPr>
                  <w:sdt>
                    <w:sdtPr>
                      <w:alias w:val="Pavadinimas"/>
                      <w:tag w:val="title_ac88de4cf2524552a40f12f7b8bae4d7"/>
                      <w:lock w:val="sdtLocked"/>
                      <w:richText/>
                    </w:sdtPr>
                    <w:sdtContent>
                      <w:r>
                        <w:rPr>
                          <w:b/>
                          <w:bCs/>
                          <w:color w:val="000000"/>
                          <w:lang w:eastAsia="lt-LT"/>
                        </w:rPr>
                        <w:t xml:space="preserve">TRUMPALAIKĖS IŠMOKOS </w:t>
                      </w:r>
                    </w:sdtContent>
                  </w:sdt>
                </w:p>
                <w:p>
                  <w:pPr>
                    <w:widowControl w:val="0"/>
                    <w:suppressAutoHyphens/>
                    <w:ind w:firstLine="567"/>
                    <w:jc w:val="both"/>
                    <w:rPr>
                      <w:color w:val="000000"/>
                      <w:lang w:eastAsia="lt-LT"/>
                    </w:rPr>
                  </w:pPr>
                </w:p>
                <w:sdt>
                  <w:sdtPr>
                    <w:alias w:val="8 p."/>
                    <w:tag w:val="part_2212e1eaec714e1799cf71517ef2f012"/>
                    <w:lock w:val="sdtLocked"/>
                    <w:richText/>
                  </w:sdtPr>
                  <w:sdtContent>
                    <w:p>
                      <w:pPr>
                        <w:widowControl w:val="0"/>
                        <w:tabs>
                          <w:tab w:val="left" w:pos="1134"/>
                        </w:tabs>
                        <w:suppressAutoHyphens/>
                        <w:ind w:firstLine="567"/>
                        <w:jc w:val="both"/>
                        <w:rPr>
                          <w:color w:val="000000"/>
                          <w:lang w:eastAsia="lt-LT"/>
                        </w:rPr>
                      </w:pPr>
                      <w:sdt>
                        <w:sdtPr>
                          <w:alias w:val="Numeris"/>
                          <w:tag w:val="nr_2212e1eaec714e1799cf71517ef2f012"/>
                          <w:lock w:val="sdtLocked"/>
                          <w:richText/>
                        </w:sdtPr>
                        <w:sdtContent>
                          <w:r>
                            <w:rPr>
                              <w:rFonts w:eastAsia="Calibri"/>
                              <w:color w:val="000000"/>
                              <w:szCs w:val="22"/>
                            </w:rPr>
                            <w:t>8</w:t>
                          </w:r>
                        </w:sdtContent>
                      </w:sdt>
                      <w:r>
                        <w:rPr>
                          <w:rFonts w:eastAsia="Calibri"/>
                          <w:color w:val="000000"/>
                          <w:szCs w:val="22"/>
                        </w:rPr>
                        <w:t>.</w:t>
                        <w:tab/>
                      </w:r>
                      <w:r>
                        <w:rPr>
                          <w:color w:val="000000"/>
                          <w:lang w:eastAsia="lt-LT"/>
                        </w:rPr>
                        <w:t xml:space="preserve">Trumpalaikės išmokos apskaitoje registruojamos kaip trumpalaikis įsipareigojimas ir sąnaudos tą ataskaitinį laikotarpį, už kurį apskaičiuotos išmokos, arba pagal kitus VSAFAS (12-asis </w:t>
                      </w:r>
                      <w:r>
                        <w:t>viešojo sektoriaus apskaitos ir finansinės atskaitomybės standartas</w:t>
                      </w:r>
                      <w:r>
                        <w:rPr>
                          <w:color w:val="000000"/>
                          <w:lang w:eastAsia="lt-LT"/>
                        </w:rPr>
                        <w:t xml:space="preserve"> „Ilgalaikis materialusis turtas“, </w:t>
                      </w:r>
                      <w:r>
                        <w:t>patvirtintas Lietuvos Respublikos finansų ministro 2008 m. gegužės 8 d. įsakymu Nr. 1K-174 „Dėl viešojo sektoriaus apskaitos ir finansinės atskaitomybės 12-ojo standarto patvirtinimo“</w:t>
                      </w:r>
                      <w:r>
                        <w:rPr>
                          <w:color w:val="000000"/>
                          <w:lang w:eastAsia="lt-LT"/>
                        </w:rPr>
                        <w:t xml:space="preserve">, 13-asis </w:t>
                      </w:r>
                      <w:r>
                        <w:t>viešojo sektoriaus apskaitos ir finansinės atskaitomybės standartas</w:t>
                      </w:r>
                      <w:r>
                        <w:rPr>
                          <w:color w:val="000000"/>
                          <w:lang w:eastAsia="lt-LT"/>
                        </w:rPr>
                        <w:t xml:space="preserve"> „Nematerialusis turtas </w:t>
                      </w:r>
                      <w:r>
                        <w:t>“, patvirtintas Lietuvos Respublikos finansų ministro 2008 m. liepos 16 d. įsakymu Nr. 1K-238 „Dėl viešojo sektoriaus apskaitos ir finansinės atskaitomybės 13-ojo standarto patvirtinimo“</w:t>
                      </w:r>
                      <w:r>
                        <w:rPr>
                          <w:color w:val="000000"/>
                          <w:lang w:eastAsia="lt-LT"/>
                        </w:rPr>
                        <w:t>) šios išmokos įtraukiamos į kuriamo turto vertę.</w:t>
                      </w:r>
                    </w:p>
                  </w:sdtContent>
                </w:sdt>
                <w:sdt>
                  <w:sdtPr>
                    <w:alias w:val="9 p."/>
                    <w:tag w:val="part_99bf552102cb423badd467b0d2decf7c"/>
                    <w:lock w:val="sdtLocked"/>
                    <w:richText/>
                  </w:sdtPr>
                  <w:sdtContent>
                    <w:p>
                      <w:pPr>
                        <w:widowControl w:val="0"/>
                        <w:tabs>
                          <w:tab w:val="left" w:pos="1134"/>
                        </w:tabs>
                        <w:suppressAutoHyphens/>
                        <w:ind w:firstLine="567"/>
                        <w:jc w:val="both"/>
                        <w:rPr>
                          <w:color w:val="000000"/>
                          <w:lang w:eastAsia="lt-LT"/>
                        </w:rPr>
                      </w:pPr>
                      <w:sdt>
                        <w:sdtPr>
                          <w:alias w:val="Numeris"/>
                          <w:tag w:val="nr_99bf552102cb423badd467b0d2decf7c"/>
                          <w:lock w:val="sdtLocked"/>
                          <w:richText/>
                        </w:sdtPr>
                        <w:sdtContent>
                          <w:r>
                            <w:rPr>
                              <w:rFonts w:eastAsia="Calibri"/>
                              <w:color w:val="000000"/>
                              <w:szCs w:val="22"/>
                            </w:rPr>
                            <w:t>9</w:t>
                          </w:r>
                        </w:sdtContent>
                      </w:sdt>
                      <w:r>
                        <w:rPr>
                          <w:rFonts w:eastAsia="Calibri"/>
                          <w:color w:val="000000"/>
                          <w:szCs w:val="22"/>
                        </w:rPr>
                        <w:t>.</w:t>
                        <w:tab/>
                      </w:r>
                      <w:r>
                        <w:rPr>
                          <w:color w:val="000000"/>
                          <w:lang w:eastAsia="lt-LT"/>
                        </w:rPr>
                        <w:t>Iš anksto sumokėtas darbo užmokestis (avansas) apskaitoje registruojamas kaip turtas (išankstiniai apmokėjimai), o apskaičiuojant darbo užmokestį registruojamos sąnaudos ir įsipareigojimas, kuris sumažinamas išankstinio apmokėjimo suma. Jeigu iš anksto sumokėtas darbo užmokestis (avansas) viršija apskaičiuotą darbo užmokesčio įsipareigojimo sumą, viešojo sektoriaus subjektas sumą, viršijančią įsipareigojimo sumą, toliau apskaitoje rodo kaip išankstinį apmokėjimą. Jei išmokėtos sumos, viršijančios apskaičiuotą darbo užmokesčio įsipareigojimo sumą, viešojo sektoriaus subjektas nesusigrąžina arba ja nesumažina darbuotojui mokėtinų sumų, šią sumos dalį viešojo sektoriaus subjektas pripažįsta sąnaudomis.</w:t>
                      </w:r>
                    </w:p>
                  </w:sdtContent>
                </w:sdt>
                <w:sdt>
                  <w:sdtPr>
                    <w:alias w:val="10 p."/>
                    <w:tag w:val="part_f18373bc316a4463b81940d6e7608962"/>
                    <w:lock w:val="sdtLocked"/>
                    <w:richText/>
                  </w:sdtPr>
                  <w:sdtContent>
                    <w:p>
                      <w:pPr>
                        <w:widowControl w:val="0"/>
                        <w:tabs>
                          <w:tab w:val="left" w:pos="1134"/>
                        </w:tabs>
                        <w:suppressAutoHyphens/>
                        <w:ind w:firstLine="567"/>
                        <w:jc w:val="both"/>
                        <w:rPr>
                          <w:color w:val="000000"/>
                          <w:lang w:eastAsia="lt-LT"/>
                        </w:rPr>
                      </w:pPr>
                      <w:sdt>
                        <w:sdtPr>
                          <w:alias w:val="Numeris"/>
                          <w:tag w:val="nr_f18373bc316a4463b81940d6e7608962"/>
                          <w:lock w:val="sdtLocked"/>
                          <w:richText/>
                        </w:sdtPr>
                        <w:sdtContent>
                          <w:r>
                            <w:rPr>
                              <w:rFonts w:eastAsia="Calibri"/>
                              <w:color w:val="000000"/>
                              <w:szCs w:val="22"/>
                            </w:rPr>
                            <w:t>10</w:t>
                          </w:r>
                        </w:sdtContent>
                      </w:sdt>
                      <w:r>
                        <w:rPr>
                          <w:rFonts w:eastAsia="Calibri"/>
                          <w:color w:val="000000"/>
                          <w:szCs w:val="22"/>
                        </w:rPr>
                        <w:t>.</w:t>
                        <w:tab/>
                      </w:r>
                      <w:r>
                        <w:rPr>
                          <w:color w:val="000000"/>
                          <w:lang w:eastAsia="lt-LT"/>
                        </w:rPr>
                        <w:t>Viešojo sektoriaus subjektas turi pripažinti trumpalaikių išmokų darbuotojams už mokamą ne darbo laiką įsipareigojimą:</w:t>
                      </w:r>
                    </w:p>
                    <w:sdt>
                      <w:sdtPr>
                        <w:alias w:val="10.1 pp."/>
                        <w:tag w:val="part_f66a6872abb04ba9b491fc7383d393dc"/>
                        <w:lock w:val="sdtLocked"/>
                        <w:richText/>
                      </w:sdtPr>
                      <w:sdtContent>
                        <w:p>
                          <w:pPr>
                            <w:widowControl w:val="0"/>
                            <w:tabs>
                              <w:tab w:val="left" w:pos="1134"/>
                            </w:tabs>
                            <w:suppressAutoHyphens/>
                            <w:ind w:firstLine="567"/>
                            <w:jc w:val="both"/>
                            <w:rPr>
                              <w:color w:val="000000"/>
                              <w:lang w:eastAsia="lt-LT"/>
                            </w:rPr>
                          </w:pPr>
                          <w:sdt>
                            <w:sdtPr>
                              <w:alias w:val="Numeris"/>
                              <w:tag w:val="nr_f66a6872abb04ba9b491fc7383d393dc"/>
                              <w:lock w:val="sdtLocked"/>
                              <w:richText/>
                            </w:sdtPr>
                            <w:sdtContent>
                              <w:r>
                                <w:rPr>
                                  <w:rFonts w:eastAsia="Calibri"/>
                                  <w:color w:val="000000"/>
                                  <w:szCs w:val="22"/>
                                </w:rPr>
                                <w:t>10.1</w:t>
                              </w:r>
                            </w:sdtContent>
                          </w:sdt>
                          <w:r>
                            <w:rPr>
                              <w:rFonts w:eastAsia="Calibri"/>
                              <w:color w:val="000000"/>
                              <w:szCs w:val="22"/>
                            </w:rPr>
                            <w:t>.</w:t>
                            <w:tab/>
                          </w:r>
                          <w:r>
                            <w:rPr>
                              <w:color w:val="000000"/>
                              <w:lang w:eastAsia="lt-LT"/>
                            </w:rPr>
                            <w:t>kaupdamas būsimų išmokų už mokamą ne darbo laiką sąnaudas – kai darbuotojai atliko darbą, suteikiantį teisę į ilgesnį būsimą mokamą ne darbo laiką;</w:t>
                          </w:r>
                        </w:p>
                      </w:sdtContent>
                    </w:sdt>
                    <w:sdt>
                      <w:sdtPr>
                        <w:alias w:val="10.2 pp."/>
                        <w:tag w:val="part_c9e08bc81b5d4f01bd0459e71e92552a"/>
                        <w:lock w:val="sdtLocked"/>
                        <w:richText/>
                      </w:sdtPr>
                      <w:sdtContent>
                        <w:p>
                          <w:pPr>
                            <w:widowControl w:val="0"/>
                            <w:tabs>
                              <w:tab w:val="left" w:pos="1134"/>
                            </w:tabs>
                            <w:suppressAutoHyphens/>
                            <w:ind w:firstLine="567"/>
                            <w:jc w:val="both"/>
                            <w:rPr>
                              <w:color w:val="000000"/>
                              <w:lang w:eastAsia="lt-LT"/>
                            </w:rPr>
                          </w:pPr>
                          <w:sdt>
                            <w:sdtPr>
                              <w:alias w:val="Numeris"/>
                              <w:tag w:val="nr_c9e08bc81b5d4f01bd0459e71e92552a"/>
                              <w:lock w:val="sdtLocked"/>
                              <w:richText/>
                            </w:sdtPr>
                            <w:sdtContent>
                              <w:r>
                                <w:rPr>
                                  <w:rFonts w:eastAsia="Calibri"/>
                                  <w:color w:val="000000"/>
                                  <w:szCs w:val="22"/>
                                </w:rPr>
                                <w:t>10.2</w:t>
                              </w:r>
                            </w:sdtContent>
                          </w:sdt>
                          <w:r>
                            <w:rPr>
                              <w:rFonts w:eastAsia="Calibri"/>
                              <w:color w:val="000000"/>
                              <w:szCs w:val="22"/>
                            </w:rPr>
                            <w:t>.</w:t>
                            <w:tab/>
                          </w:r>
                          <w:r>
                            <w:rPr>
                              <w:color w:val="000000"/>
                              <w:lang w:eastAsia="lt-LT"/>
                            </w:rPr>
                            <w:t>iš karto pripažindamas trumpalaikių išmokų už mokamą ne darbo laiką sąnaudas tą laikotarpį, kai jis privalo apskaičiuoti šias sumas, tačiau jų negalima buvo tikėtis iš anksto.</w:t>
                          </w:r>
                        </w:p>
                      </w:sdtContent>
                    </w:sdt>
                  </w:sdtContent>
                </w:sdt>
                <w:sdt>
                  <w:sdtPr>
                    <w:alias w:val="11 p."/>
                    <w:tag w:val="part_ef704c33d3fa4992a564ca968469f6f7"/>
                    <w:lock w:val="sdtLocked"/>
                    <w:richText/>
                  </w:sdtPr>
                  <w:sdtContent>
                    <w:p>
                      <w:pPr>
                        <w:widowControl w:val="0"/>
                        <w:tabs>
                          <w:tab w:val="left" w:pos="1134"/>
                        </w:tabs>
                        <w:suppressAutoHyphens/>
                        <w:ind w:firstLine="567"/>
                        <w:jc w:val="both"/>
                        <w:rPr>
                          <w:color w:val="000000"/>
                          <w:lang w:eastAsia="lt-LT"/>
                        </w:rPr>
                      </w:pPr>
                      <w:sdt>
                        <w:sdtPr>
                          <w:alias w:val="Numeris"/>
                          <w:tag w:val="nr_ef704c33d3fa4992a564ca968469f6f7"/>
                          <w:lock w:val="sdtLocked"/>
                          <w:richText/>
                        </w:sdtPr>
                        <w:sdtContent>
                          <w:r>
                            <w:rPr>
                              <w:rFonts w:eastAsia="Calibri"/>
                              <w:color w:val="000000"/>
                              <w:szCs w:val="22"/>
                            </w:rPr>
                            <w:t>11</w:t>
                          </w:r>
                        </w:sdtContent>
                      </w:sdt>
                      <w:r>
                        <w:rPr>
                          <w:rFonts w:eastAsia="Calibri"/>
                          <w:color w:val="000000"/>
                          <w:szCs w:val="22"/>
                        </w:rPr>
                        <w:t>.</w:t>
                        <w:tab/>
                      </w:r>
                      <w:r>
                        <w:rPr>
                          <w:color w:val="000000"/>
                          <w:lang w:eastAsia="lt-LT"/>
                        </w:rPr>
                        <w:t>Mokamas ne darbo laikas skirstomas į:</w:t>
                      </w:r>
                    </w:p>
                    <w:sdt>
                      <w:sdtPr>
                        <w:alias w:val="11.1 pp."/>
                        <w:tag w:val="part_09c897f1093b4a688e75cfc093cda408"/>
                        <w:lock w:val="sdtLocked"/>
                        <w:richText/>
                      </w:sdtPr>
                      <w:sdtContent>
                        <w:p>
                          <w:pPr>
                            <w:widowControl w:val="0"/>
                            <w:tabs>
                              <w:tab w:val="left" w:pos="1134"/>
                            </w:tabs>
                            <w:suppressAutoHyphens/>
                            <w:ind w:firstLine="567"/>
                            <w:jc w:val="both"/>
                            <w:rPr>
                              <w:color w:val="000000"/>
                              <w:lang w:eastAsia="lt-LT"/>
                            </w:rPr>
                          </w:pPr>
                          <w:sdt>
                            <w:sdtPr>
                              <w:alias w:val="Numeris"/>
                              <w:tag w:val="nr_09c897f1093b4a688e75cfc093cda408"/>
                              <w:lock w:val="sdtLocked"/>
                              <w:richText/>
                            </w:sdtPr>
                            <w:sdtContent>
                              <w:r>
                                <w:rPr>
                                  <w:rFonts w:eastAsia="Calibri"/>
                                  <w:color w:val="000000"/>
                                  <w:szCs w:val="22"/>
                                </w:rPr>
                                <w:t>11.1</w:t>
                              </w:r>
                            </w:sdtContent>
                          </w:sdt>
                          <w:r>
                            <w:rPr>
                              <w:rFonts w:eastAsia="Calibri"/>
                              <w:color w:val="000000"/>
                              <w:szCs w:val="22"/>
                            </w:rPr>
                            <w:t>.</w:t>
                            <w:tab/>
                          </w:r>
                          <w:r>
                            <w:rPr>
                              <w:color w:val="000000"/>
                              <w:lang w:eastAsia="lt-LT"/>
                            </w:rPr>
                            <w:t>kaupiamąjį;</w:t>
                          </w:r>
                        </w:p>
                      </w:sdtContent>
                    </w:sdt>
                    <w:sdt>
                      <w:sdtPr>
                        <w:alias w:val="11.2 pp."/>
                        <w:tag w:val="part_bb96aa26eefc4a2eb6da3753833e39be"/>
                        <w:lock w:val="sdtLocked"/>
                        <w:richText/>
                      </w:sdtPr>
                      <w:sdtContent>
                        <w:p>
                          <w:pPr>
                            <w:widowControl w:val="0"/>
                            <w:tabs>
                              <w:tab w:val="left" w:pos="1134"/>
                            </w:tabs>
                            <w:suppressAutoHyphens/>
                            <w:ind w:firstLine="567"/>
                            <w:jc w:val="both"/>
                            <w:rPr>
                              <w:color w:val="000000"/>
                              <w:lang w:eastAsia="lt-LT"/>
                            </w:rPr>
                          </w:pPr>
                          <w:sdt>
                            <w:sdtPr>
                              <w:alias w:val="Numeris"/>
                              <w:tag w:val="nr_bb96aa26eefc4a2eb6da3753833e39be"/>
                              <w:lock w:val="sdtLocked"/>
                              <w:richText/>
                            </w:sdtPr>
                            <w:sdtContent>
                              <w:r>
                                <w:rPr>
                                  <w:rFonts w:eastAsia="Calibri"/>
                                  <w:color w:val="000000"/>
                                  <w:szCs w:val="22"/>
                                </w:rPr>
                                <w:t>11.2</w:t>
                              </w:r>
                            </w:sdtContent>
                          </w:sdt>
                          <w:r>
                            <w:rPr>
                              <w:rFonts w:eastAsia="Calibri"/>
                              <w:color w:val="000000"/>
                              <w:szCs w:val="22"/>
                            </w:rPr>
                            <w:t>.</w:t>
                            <w:tab/>
                          </w:r>
                          <w:r>
                            <w:rPr>
                              <w:color w:val="000000"/>
                              <w:lang w:eastAsia="lt-LT"/>
                            </w:rPr>
                            <w:t>nekaupiamąjį.</w:t>
                          </w:r>
                        </w:p>
                      </w:sdtContent>
                    </w:sdt>
                  </w:sdtContent>
                </w:sdt>
                <w:sdt>
                  <w:sdtPr>
                    <w:alias w:val="12 p."/>
                    <w:tag w:val="part_e4b67c7bfc67466d904e6ce0e8f1574d"/>
                    <w:lock w:val="sdtLocked"/>
                    <w:richText/>
                  </w:sdtPr>
                  <w:sdtContent>
                    <w:p>
                      <w:pPr>
                        <w:widowControl w:val="0"/>
                        <w:tabs>
                          <w:tab w:val="left" w:pos="1134"/>
                        </w:tabs>
                        <w:suppressAutoHyphens/>
                        <w:ind w:firstLine="567"/>
                        <w:jc w:val="both"/>
                        <w:rPr>
                          <w:color w:val="000000"/>
                          <w:lang w:eastAsia="lt-LT"/>
                        </w:rPr>
                      </w:pPr>
                      <w:sdt>
                        <w:sdtPr>
                          <w:alias w:val="Numeris"/>
                          <w:tag w:val="nr_e4b67c7bfc67466d904e6ce0e8f1574d"/>
                          <w:lock w:val="sdtLocked"/>
                          <w:richText/>
                        </w:sdtPr>
                        <w:sdtContent>
                          <w:r>
                            <w:rPr>
                              <w:rFonts w:eastAsia="Calibri"/>
                              <w:color w:val="000000"/>
                              <w:szCs w:val="22"/>
                            </w:rPr>
                            <w:t>12</w:t>
                          </w:r>
                        </w:sdtContent>
                      </w:sdt>
                      <w:r>
                        <w:rPr>
                          <w:rFonts w:eastAsia="Calibri"/>
                          <w:color w:val="000000"/>
                          <w:szCs w:val="22"/>
                        </w:rPr>
                        <w:t>.</w:t>
                        <w:tab/>
                      </w:r>
                      <w:r>
                        <w:rPr>
                          <w:color w:val="000000"/>
                          <w:lang w:eastAsia="lt-LT"/>
                        </w:rPr>
                        <w:t>Kaupiamąjį mokamą ne darbo laiką galima perkelti ir išnaudoti būsimaisiais laikotarpiais, jeigu einamąjį laikotarpį sukauptas mokamas ne darbo laikas buvo nevisiškai išnaudotas. Įsipareigojimai, susiję su kaupiamuoju mokamu ne darbo laiku, atsiranda tada, kai darbuotojai atlieka darbą, suteikiantį jiems teisę į būsimą kaupiamąjį mokamą ne darbo laiką.</w:t>
                      </w:r>
                    </w:p>
                  </w:sdtContent>
                </w:sdt>
                <w:sdt>
                  <w:sdtPr>
                    <w:alias w:val="13 p."/>
                    <w:tag w:val="part_b6c3ca50627e4c5d9b1bbf0d1e6db731"/>
                    <w:lock w:val="sdtLocked"/>
                    <w:richText/>
                  </w:sdtPr>
                  <w:sdtContent>
                    <w:p>
                      <w:pPr>
                        <w:widowControl w:val="0"/>
                        <w:tabs>
                          <w:tab w:val="left" w:pos="1134"/>
                        </w:tabs>
                        <w:suppressAutoHyphens/>
                        <w:ind w:firstLine="567"/>
                        <w:jc w:val="both"/>
                        <w:rPr>
                          <w:color w:val="000000"/>
                          <w:lang w:eastAsia="lt-LT"/>
                        </w:rPr>
                      </w:pPr>
                      <w:sdt>
                        <w:sdtPr>
                          <w:alias w:val="Numeris"/>
                          <w:tag w:val="nr_b6c3ca50627e4c5d9b1bbf0d1e6db731"/>
                          <w:lock w:val="sdtLocked"/>
                          <w:richText/>
                        </w:sdtPr>
                        <w:sdtContent>
                          <w:r>
                            <w:rPr>
                              <w:rFonts w:eastAsia="Calibri"/>
                              <w:color w:val="000000"/>
                              <w:szCs w:val="22"/>
                            </w:rPr>
                            <w:t>13</w:t>
                          </w:r>
                        </w:sdtContent>
                      </w:sdt>
                      <w:r>
                        <w:rPr>
                          <w:rFonts w:eastAsia="Calibri"/>
                          <w:color w:val="000000"/>
                          <w:szCs w:val="22"/>
                        </w:rPr>
                        <w:t>.</w:t>
                        <w:tab/>
                      </w:r>
                      <w:r>
                        <w:rPr>
                          <w:color w:val="000000"/>
                          <w:lang w:eastAsia="lt-LT"/>
                        </w:rPr>
                        <w:t>Viešojo sektoriaus subjektas ne rečiau kaip kartą per metus prieš sudarydamas metines finansines ataskaitas pagal viešojo sektoriaus subjekto apskaitos politikoje nustatytą tvarką turi įvertinti išmokų už kasmetines atostogas (kaupiamąjį mokamą ne darbo laiką) sumą ir registruoti darbo užmokesčio ir socialinio draudimo sąnaudas ir įsipareigojimą darbuotojams (sukauptas sąnaudas).</w:t>
                      </w:r>
                    </w:p>
                  </w:sdtContent>
                </w:sdt>
                <w:sdt>
                  <w:sdtPr>
                    <w:alias w:val="14 p."/>
                    <w:tag w:val="part_382cae1fb9c44d67b9d5cc0411528b11"/>
                    <w:lock w:val="sdtLocked"/>
                    <w:richText/>
                  </w:sdtPr>
                  <w:sdtContent>
                    <w:p>
                      <w:pPr>
                        <w:widowControl w:val="0"/>
                        <w:tabs>
                          <w:tab w:val="left" w:pos="1134"/>
                        </w:tabs>
                        <w:suppressAutoHyphens/>
                        <w:ind w:firstLine="567"/>
                        <w:jc w:val="both"/>
                        <w:rPr>
                          <w:color w:val="000000"/>
                          <w:lang w:eastAsia="lt-LT"/>
                        </w:rPr>
                      </w:pPr>
                      <w:sdt>
                        <w:sdtPr>
                          <w:alias w:val="Numeris"/>
                          <w:tag w:val="nr_382cae1fb9c44d67b9d5cc0411528b11"/>
                          <w:lock w:val="sdtLocked"/>
                          <w:richText/>
                        </w:sdtPr>
                        <w:sdtContent>
                          <w:r>
                            <w:rPr>
                              <w:rFonts w:eastAsia="Calibri"/>
                              <w:color w:val="000000"/>
                              <w:szCs w:val="22"/>
                            </w:rPr>
                            <w:t>14</w:t>
                          </w:r>
                        </w:sdtContent>
                      </w:sdt>
                      <w:r>
                        <w:rPr>
                          <w:rFonts w:eastAsia="Calibri"/>
                          <w:color w:val="000000"/>
                          <w:szCs w:val="22"/>
                        </w:rPr>
                        <w:t>.</w:t>
                        <w:tab/>
                      </w:r>
                      <w:r>
                        <w:rPr>
                          <w:color w:val="000000"/>
                          <w:lang w:eastAsia="lt-LT"/>
                        </w:rPr>
                        <w:t>Nekaupiamasis mokamas ne darbo laikas į kitus laikotarpius neperkeliamas. Prievolė apmokėti nekaupiamąjį mokamą ne darbo laiką išnyksta, jeigu ataskaitinį laikotarpį skirtas mokamas ne darbo laikas neišnaudojamas, ir nutraukiant darbo santykius nesuteikia teisės gauti piniginės kompensacijos už neišnaudotą mokamą ne darbo laiką. Trumpalaikį įsipareigojimą dėl nekaupiamojo mokamo ne darbo laiko ir sąnaudas viešojo sektoriaus subjektas apskaičiuoja ir registruoja apskaitoje tada, kai remdamasis pateiktais dokumentais, kuriais įrodoma darbuotojo teisė į mokamą ne darbo laiką, priima sprendimą dėl išmokos skyrimo.</w:t>
                      </w:r>
                    </w:p>
                  </w:sdtContent>
                </w:sdt>
                <w:sdt>
                  <w:sdtPr>
                    <w:alias w:val="15 p."/>
                    <w:tag w:val="part_c8077ba390a84ee580cf6212d6f6598d"/>
                    <w:lock w:val="sdtLocked"/>
                    <w:richText/>
                  </w:sdtPr>
                  <w:sdtContent>
                    <w:p>
                      <w:pPr>
                        <w:widowControl w:val="0"/>
                        <w:tabs>
                          <w:tab w:val="left" w:pos="1134"/>
                        </w:tabs>
                        <w:suppressAutoHyphens/>
                        <w:ind w:firstLine="567"/>
                        <w:jc w:val="both"/>
                        <w:rPr>
                          <w:color w:val="000000"/>
                          <w:lang w:eastAsia="lt-LT"/>
                        </w:rPr>
                      </w:pPr>
                      <w:sdt>
                        <w:sdtPr>
                          <w:alias w:val="Numeris"/>
                          <w:tag w:val="nr_c8077ba390a84ee580cf6212d6f6598d"/>
                          <w:lock w:val="sdtLocked"/>
                          <w:richText/>
                        </w:sdtPr>
                        <w:sdtContent>
                          <w:r>
                            <w:rPr>
                              <w:rFonts w:eastAsia="Calibri"/>
                              <w:color w:val="000000"/>
                              <w:szCs w:val="22"/>
                            </w:rPr>
                            <w:t>15</w:t>
                          </w:r>
                        </w:sdtContent>
                      </w:sdt>
                      <w:r>
                        <w:rPr>
                          <w:rFonts w:eastAsia="Calibri"/>
                          <w:color w:val="000000"/>
                          <w:szCs w:val="22"/>
                        </w:rPr>
                        <w:t>.</w:t>
                        <w:tab/>
                      </w:r>
                      <w:r>
                        <w:rPr>
                          <w:color w:val="000000"/>
                          <w:lang w:eastAsia="lt-LT"/>
                        </w:rPr>
                        <w:t>Viešojo sektoriaus subjektas turi pripažinti vienkartinių išmokų pinigais ir (arba) natūra sąnaudas ir įsipareigojimą pagal Standarto 8 punkto nuostatas tada, kai:</w:t>
                      </w:r>
                    </w:p>
                    <w:sdt>
                      <w:sdtPr>
                        <w:alias w:val="15.1 pp."/>
                        <w:tag w:val="part_4f7121804be643fb95bbd6f0c31e205d"/>
                        <w:lock w:val="sdtLocked"/>
                        <w:richText/>
                      </w:sdtPr>
                      <w:sdtContent>
                        <w:p>
                          <w:pPr>
                            <w:widowControl w:val="0"/>
                            <w:tabs>
                              <w:tab w:val="left" w:pos="1134"/>
                            </w:tabs>
                            <w:suppressAutoHyphens/>
                            <w:ind w:firstLine="567"/>
                            <w:jc w:val="both"/>
                            <w:rPr>
                              <w:color w:val="000000"/>
                              <w:lang w:eastAsia="lt-LT"/>
                            </w:rPr>
                          </w:pPr>
                          <w:sdt>
                            <w:sdtPr>
                              <w:alias w:val="Numeris"/>
                              <w:tag w:val="nr_4f7121804be643fb95bbd6f0c31e205d"/>
                              <w:lock w:val="sdtLocked"/>
                              <w:richText/>
                            </w:sdtPr>
                            <w:sdtContent>
                              <w:r>
                                <w:rPr>
                                  <w:rFonts w:eastAsia="Calibri"/>
                                  <w:color w:val="000000"/>
                                  <w:szCs w:val="22"/>
                                </w:rPr>
                                <w:t>15.1</w:t>
                              </w:r>
                            </w:sdtContent>
                          </w:sdt>
                          <w:r>
                            <w:rPr>
                              <w:rFonts w:eastAsia="Calibri"/>
                              <w:color w:val="000000"/>
                              <w:szCs w:val="22"/>
                            </w:rPr>
                            <w:t>.</w:t>
                            <w:tab/>
                          </w:r>
                          <w:r>
                            <w:rPr>
                              <w:color w:val="000000"/>
                              <w:lang w:eastAsia="lt-LT"/>
                            </w:rPr>
                            <w:t>jis turi prievolę ar neatšaukiamąjį pasižadėjimą atlikti tokius mokėjimus dėl buvusių ūkinių įvykių, aplinkybių, sudariusių prielaidas prievolei ar neatšaukiamajam pasižadėjimui už praėjusį ataskaitinį laikotarpį atsirasti;</w:t>
                          </w:r>
                        </w:p>
                      </w:sdtContent>
                    </w:sdt>
                    <w:sdt>
                      <w:sdtPr>
                        <w:alias w:val="15.2 pp."/>
                        <w:tag w:val="part_5d42c17f36e74f348613008733458607"/>
                        <w:lock w:val="sdtLocked"/>
                        <w:richText/>
                      </w:sdtPr>
                      <w:sdtContent>
                        <w:p>
                          <w:pPr>
                            <w:widowControl w:val="0"/>
                            <w:tabs>
                              <w:tab w:val="left" w:pos="1134"/>
                            </w:tabs>
                            <w:suppressAutoHyphens/>
                            <w:ind w:firstLine="567"/>
                            <w:jc w:val="both"/>
                            <w:rPr>
                              <w:color w:val="000000"/>
                              <w:lang w:eastAsia="lt-LT"/>
                            </w:rPr>
                          </w:pPr>
                          <w:sdt>
                            <w:sdtPr>
                              <w:alias w:val="Numeris"/>
                              <w:tag w:val="nr_5d42c17f36e74f348613008733458607"/>
                              <w:lock w:val="sdtLocked"/>
                              <w:richText/>
                            </w:sdtPr>
                            <w:sdtContent>
                              <w:r>
                                <w:rPr>
                                  <w:rFonts w:eastAsia="Calibri"/>
                                  <w:color w:val="000000"/>
                                  <w:szCs w:val="22"/>
                                </w:rPr>
                                <w:t>15.2</w:t>
                              </w:r>
                            </w:sdtContent>
                          </w:sdt>
                          <w:r>
                            <w:rPr>
                              <w:rFonts w:eastAsia="Calibri"/>
                              <w:color w:val="000000"/>
                              <w:szCs w:val="22"/>
                            </w:rPr>
                            <w:t>.</w:t>
                            <w:tab/>
                          </w:r>
                          <w:r>
                            <w:rPr>
                              <w:color w:val="000000"/>
                              <w:lang w:eastAsia="lt-LT"/>
                            </w:rPr>
                            <w:t>šias sąnaudas ir įsipareigojimą galima patikimai įvertinti.</w:t>
                          </w:r>
                        </w:p>
                      </w:sdtContent>
                    </w:sdt>
                  </w:sdtContent>
                </w:sdt>
                <w:sdt>
                  <w:sdtPr>
                    <w:alias w:val="16 p."/>
                    <w:tag w:val="part_ee57a51fa2e042ee89cb5996d88682ea"/>
                    <w:lock w:val="sdtLocked"/>
                    <w:richText/>
                  </w:sdtPr>
                  <w:sdtContent>
                    <w:p>
                      <w:pPr>
                        <w:widowControl w:val="0"/>
                        <w:tabs>
                          <w:tab w:val="left" w:pos="1134"/>
                        </w:tabs>
                        <w:suppressAutoHyphens/>
                        <w:ind w:firstLine="567"/>
                        <w:jc w:val="both"/>
                        <w:rPr>
                          <w:color w:val="000000"/>
                          <w:lang w:eastAsia="lt-LT"/>
                        </w:rPr>
                      </w:pPr>
                      <w:sdt>
                        <w:sdtPr>
                          <w:alias w:val="Numeris"/>
                          <w:tag w:val="nr_ee57a51fa2e042ee89cb5996d88682ea"/>
                          <w:lock w:val="sdtLocked"/>
                          <w:richText/>
                        </w:sdtPr>
                        <w:sdtContent>
                          <w:r>
                            <w:rPr>
                              <w:rFonts w:eastAsia="Calibri"/>
                              <w:color w:val="000000"/>
                              <w:szCs w:val="22"/>
                            </w:rPr>
                            <w:t>16</w:t>
                          </w:r>
                        </w:sdtContent>
                      </w:sdt>
                      <w:r>
                        <w:rPr>
                          <w:rFonts w:eastAsia="Calibri"/>
                          <w:color w:val="000000"/>
                          <w:szCs w:val="22"/>
                        </w:rPr>
                        <w:t>.</w:t>
                        <w:tab/>
                      </w:r>
                      <w:r>
                        <w:rPr>
                          <w:color w:val="000000"/>
                          <w:lang w:eastAsia="lt-LT"/>
                        </w:rPr>
                        <w:t>Viešojo sektoriaus subjektas gali patikimai įvertinti trumpalaikį įsipareigojimą ar neatšaukiamąjį pasižadėjimą ir registruoti sąnaudas tada, kai:</w:t>
                      </w:r>
                    </w:p>
                    <w:sdt>
                      <w:sdtPr>
                        <w:alias w:val="16.1 pp."/>
                        <w:tag w:val="part_de222493dad143219b225d48a2214c72"/>
                        <w:lock w:val="sdtLocked"/>
                        <w:richText/>
                      </w:sdtPr>
                      <w:sdtContent>
                        <w:p>
                          <w:pPr>
                            <w:widowControl w:val="0"/>
                            <w:tabs>
                              <w:tab w:val="left" w:pos="1134"/>
                            </w:tabs>
                            <w:suppressAutoHyphens/>
                            <w:ind w:firstLine="567"/>
                            <w:jc w:val="both"/>
                            <w:rPr>
                              <w:color w:val="000000"/>
                              <w:lang w:eastAsia="lt-LT"/>
                            </w:rPr>
                          </w:pPr>
                          <w:sdt>
                            <w:sdtPr>
                              <w:alias w:val="Numeris"/>
                              <w:tag w:val="nr_de222493dad143219b225d48a2214c72"/>
                              <w:lock w:val="sdtLocked"/>
                              <w:richText/>
                            </w:sdtPr>
                            <w:sdtContent>
                              <w:r>
                                <w:rPr>
                                  <w:rFonts w:eastAsia="Calibri"/>
                                  <w:color w:val="000000"/>
                                  <w:szCs w:val="22"/>
                                </w:rPr>
                                <w:t>16.1</w:t>
                              </w:r>
                            </w:sdtContent>
                          </w:sdt>
                          <w:r>
                            <w:rPr>
                              <w:rFonts w:eastAsia="Calibri"/>
                              <w:color w:val="000000"/>
                              <w:szCs w:val="22"/>
                            </w:rPr>
                            <w:t>.</w:t>
                            <w:tab/>
                          </w:r>
                          <w:r>
                            <w:rPr>
                              <w:color w:val="000000"/>
                              <w:lang w:eastAsia="lt-LT"/>
                            </w:rPr>
                            <w:t>yra viešojo sektoriaus subjekto vadovo nustatyta vienkartinių piniginių išmokų ir išmokų natūra apskaičiavimo ir mokėjimo tvarka;</w:t>
                          </w:r>
                        </w:p>
                      </w:sdtContent>
                    </w:sdt>
                    <w:sdt>
                      <w:sdtPr>
                        <w:alias w:val="16.2 pp."/>
                        <w:tag w:val="part_88712d2f7a6044c89fb27d54c9456d81"/>
                        <w:lock w:val="sdtLocked"/>
                        <w:richText/>
                      </w:sdtPr>
                      <w:sdtContent>
                        <w:p>
                          <w:pPr>
                            <w:widowControl w:val="0"/>
                            <w:tabs>
                              <w:tab w:val="left" w:pos="1134"/>
                            </w:tabs>
                            <w:suppressAutoHyphens/>
                            <w:ind w:firstLine="567"/>
                            <w:jc w:val="both"/>
                            <w:rPr>
                              <w:color w:val="000000"/>
                              <w:lang w:eastAsia="lt-LT"/>
                            </w:rPr>
                          </w:pPr>
                          <w:sdt>
                            <w:sdtPr>
                              <w:alias w:val="Numeris"/>
                              <w:tag w:val="nr_88712d2f7a6044c89fb27d54c9456d81"/>
                              <w:lock w:val="sdtLocked"/>
                              <w:richText/>
                            </w:sdtPr>
                            <w:sdtContent>
                              <w:r>
                                <w:rPr>
                                  <w:rFonts w:eastAsia="Calibri"/>
                                  <w:color w:val="000000"/>
                                  <w:szCs w:val="22"/>
                                </w:rPr>
                                <w:t>16.2</w:t>
                              </w:r>
                            </w:sdtContent>
                          </w:sdt>
                          <w:r>
                            <w:rPr>
                              <w:rFonts w:eastAsia="Calibri"/>
                              <w:color w:val="000000"/>
                              <w:szCs w:val="22"/>
                            </w:rPr>
                            <w:t>.</w:t>
                            <w:tab/>
                          </w:r>
                          <w:r>
                            <w:rPr>
                              <w:color w:val="000000"/>
                              <w:lang w:eastAsia="lt-LT"/>
                            </w:rPr>
                            <w:t>viešojo sektoriaus subjektas gali patikimai nustatyti mokėtinų vienkartinių piniginių išmokų ir išmokų natūra sumą už ataskaitinį laikotarpį prieš rengdamas finansinių ataskaitų rinkinį;</w:t>
                          </w:r>
                        </w:p>
                      </w:sdtContent>
                    </w:sdt>
                    <w:sdt>
                      <w:sdtPr>
                        <w:alias w:val="16.3 pp."/>
                        <w:tag w:val="part_d685cae9ca30465eaefe28a24b19c4b2"/>
                        <w:lock w:val="sdtLocked"/>
                        <w:richText/>
                      </w:sdtPr>
                      <w:sdtContent>
                        <w:p>
                          <w:pPr>
                            <w:widowControl w:val="0"/>
                            <w:tabs>
                              <w:tab w:val="left" w:pos="1134"/>
                            </w:tabs>
                            <w:suppressAutoHyphens/>
                            <w:ind w:firstLine="567"/>
                            <w:jc w:val="both"/>
                            <w:rPr>
                              <w:color w:val="000000"/>
                              <w:lang w:eastAsia="lt-LT"/>
                            </w:rPr>
                          </w:pPr>
                          <w:sdt>
                            <w:sdtPr>
                              <w:alias w:val="Numeris"/>
                              <w:tag w:val="nr_d685cae9ca30465eaefe28a24b19c4b2"/>
                              <w:lock w:val="sdtLocked"/>
                              <w:richText/>
                            </w:sdtPr>
                            <w:sdtContent>
                              <w:r>
                                <w:rPr>
                                  <w:rFonts w:eastAsia="Calibri"/>
                                  <w:color w:val="000000"/>
                                  <w:szCs w:val="22"/>
                                </w:rPr>
                                <w:t>16.3</w:t>
                              </w:r>
                            </w:sdtContent>
                          </w:sdt>
                          <w:r>
                            <w:rPr>
                              <w:rFonts w:eastAsia="Calibri"/>
                              <w:color w:val="000000"/>
                              <w:szCs w:val="22"/>
                            </w:rPr>
                            <w:t>.</w:t>
                            <w:tab/>
                          </w:r>
                          <w:r>
                            <w:rPr>
                              <w:color w:val="000000"/>
                              <w:lang w:eastAsia="lt-LT"/>
                            </w:rPr>
                            <w:t>praėjusiais laikotarpiais taikyta vienkartinių piniginių išmokų ir išmokų natūra mokėjimo praktika leidžia patikimai nustatyti neatšaukiamojo pasižadėjimo mokėti priedus ir pašalpas sumą.</w:t>
                          </w:r>
                        </w:p>
                        <w:p>
                          <w:pPr>
                            <w:keepLines/>
                            <w:widowControl w:val="0"/>
                            <w:suppressAutoHyphens/>
                            <w:ind w:left="567"/>
                            <w:jc w:val="center"/>
                            <w:rPr>
                              <w:b/>
                              <w:bCs/>
                              <w:color w:val="000000"/>
                              <w:lang w:eastAsia="lt-LT"/>
                            </w:rPr>
                          </w:pPr>
                        </w:p>
                      </w:sdtContent>
                    </w:sdt>
                  </w:sdtContent>
                </w:sdt>
              </w:sdtContent>
            </w:sdt>
            <w:sdt>
              <w:sdtPr>
                <w:alias w:val="skirsnis"/>
                <w:tag w:val="part_c84fcbb4ed9f43319aad5e077de94a92"/>
                <w:lock w:val="sdtLocked"/>
                <w:richText/>
              </w:sdtPr>
              <w:sdtContent>
                <w:p>
                  <w:pPr>
                    <w:keepLines/>
                    <w:widowControl w:val="0"/>
                    <w:suppressAutoHyphens/>
                    <w:jc w:val="center"/>
                    <w:rPr>
                      <w:rFonts w:eastAsia="Calibri"/>
                      <w:b/>
                      <w:bCs/>
                      <w:color w:val="000000"/>
                      <w:szCs w:val="22"/>
                    </w:rPr>
                  </w:pPr>
                  <w:sdt>
                    <w:sdtPr>
                      <w:alias w:val="Numeris"/>
                      <w:tag w:val="nr_c84fcbb4ed9f43319aad5e077de94a92"/>
                      <w:lock w:val="sdtLocked"/>
                      <w:richText/>
                    </w:sdtPr>
                    <w:sdtContent>
                      <w:r>
                        <w:rPr>
                          <w:rFonts w:eastAsia="Calibri"/>
                          <w:b/>
                          <w:bCs/>
                          <w:color w:val="000000"/>
                          <w:szCs w:val="22"/>
                        </w:rPr>
                        <w:t>TREČIASIS</w:t>
                      </w:r>
                    </w:sdtContent>
                  </w:sdt>
                  <w:r>
                    <w:rPr>
                      <w:rFonts w:eastAsia="Calibri"/>
                      <w:b/>
                      <w:bCs/>
                      <w:color w:val="000000"/>
                      <w:szCs w:val="22"/>
                    </w:rPr>
                    <w:t xml:space="preserve"> SKIRSNIS</w:t>
                  </w:r>
                </w:p>
                <w:p>
                  <w:pPr>
                    <w:keepLines/>
                    <w:widowControl w:val="0"/>
                    <w:suppressAutoHyphens/>
                    <w:jc w:val="center"/>
                    <w:rPr>
                      <w:b/>
                      <w:bCs/>
                      <w:caps/>
                      <w:color w:val="000000"/>
                      <w:lang w:eastAsia="lt-LT"/>
                    </w:rPr>
                  </w:pPr>
                  <w:sdt>
                    <w:sdtPr>
                      <w:alias w:val="Pavadinimas"/>
                      <w:tag w:val="title_c84fcbb4ed9f43319aad5e077de94a92"/>
                      <w:lock w:val="sdtLocked"/>
                      <w:richText/>
                    </w:sdtPr>
                    <w:sdtContent>
                      <w:r>
                        <w:rPr>
                          <w:b/>
                          <w:bCs/>
                          <w:color w:val="000000"/>
                          <w:lang w:eastAsia="lt-LT"/>
                        </w:rPr>
                        <w:t>ILGALAIKĖS IŠMOKOS</w:t>
                      </w:r>
                    </w:sdtContent>
                  </w:sdt>
                </w:p>
                <w:p>
                  <w:pPr>
                    <w:widowControl w:val="0"/>
                    <w:suppressAutoHyphens/>
                    <w:ind w:firstLine="567"/>
                    <w:jc w:val="both"/>
                    <w:rPr>
                      <w:color w:val="000000"/>
                      <w:lang w:eastAsia="lt-LT"/>
                    </w:rPr>
                  </w:pPr>
                </w:p>
                <w:sdt>
                  <w:sdtPr>
                    <w:alias w:val="17 p."/>
                    <w:tag w:val="part_f3b9052cb03d452385f4a118b50b3c21"/>
                    <w:lock w:val="sdtLocked"/>
                    <w:richText/>
                  </w:sdtPr>
                  <w:sdtContent>
                    <w:p>
                      <w:pPr>
                        <w:widowControl w:val="0"/>
                        <w:tabs>
                          <w:tab w:val="left" w:pos="1134"/>
                        </w:tabs>
                        <w:suppressAutoHyphens/>
                        <w:ind w:firstLine="567"/>
                        <w:jc w:val="both"/>
                        <w:rPr>
                          <w:color w:val="000000"/>
                          <w:lang w:eastAsia="lt-LT"/>
                        </w:rPr>
                      </w:pPr>
                      <w:sdt>
                        <w:sdtPr>
                          <w:alias w:val="Numeris"/>
                          <w:tag w:val="nr_f3b9052cb03d452385f4a118b50b3c21"/>
                          <w:lock w:val="sdtLocked"/>
                          <w:richText/>
                        </w:sdtPr>
                        <w:sdtContent>
                          <w:r>
                            <w:rPr>
                              <w:rFonts w:eastAsia="Calibri"/>
                              <w:color w:val="000000"/>
                              <w:szCs w:val="22"/>
                            </w:rPr>
                            <w:t>17</w:t>
                          </w:r>
                        </w:sdtContent>
                      </w:sdt>
                      <w:r>
                        <w:rPr>
                          <w:rFonts w:eastAsia="Calibri"/>
                          <w:color w:val="000000"/>
                          <w:szCs w:val="22"/>
                        </w:rPr>
                        <w:t>.</w:t>
                        <w:tab/>
                      </w:r>
                      <w:r>
                        <w:rPr>
                          <w:color w:val="000000"/>
                          <w:lang w:eastAsia="lt-LT"/>
                        </w:rPr>
                        <w:t>Ilgalaikių išmokų sąnaudos pripažįstamos iš karto visai ilgalaikio įsipareigojimo sumai, priėmus sprendimą arba pagal prievolę mokėti tokias išmokas, išskyrus Standarto 18 punkte nurodytą atvejį.</w:t>
                      </w:r>
                    </w:p>
                  </w:sdtContent>
                </w:sdt>
                <w:sdt>
                  <w:sdtPr>
                    <w:alias w:val="18 p."/>
                    <w:tag w:val="part_3d65503679554e36ae5ed0e0f5b0119c"/>
                    <w:lock w:val="sdtLocked"/>
                    <w:richText/>
                  </w:sdtPr>
                  <w:sdtContent>
                    <w:p>
                      <w:pPr>
                        <w:widowControl w:val="0"/>
                        <w:tabs>
                          <w:tab w:val="left" w:pos="1134"/>
                        </w:tabs>
                        <w:suppressAutoHyphens/>
                        <w:ind w:firstLine="567"/>
                        <w:jc w:val="both"/>
                        <w:rPr>
                          <w:color w:val="000000"/>
                          <w:lang w:eastAsia="lt-LT"/>
                        </w:rPr>
                      </w:pPr>
                      <w:sdt>
                        <w:sdtPr>
                          <w:alias w:val="Numeris"/>
                          <w:tag w:val="nr_3d65503679554e36ae5ed0e0f5b0119c"/>
                          <w:lock w:val="sdtLocked"/>
                          <w:richText/>
                        </w:sdtPr>
                        <w:sdtContent>
                          <w:r>
                            <w:rPr>
                              <w:rFonts w:eastAsia="Calibri"/>
                              <w:color w:val="000000"/>
                              <w:szCs w:val="22"/>
                            </w:rPr>
                            <w:t>18</w:t>
                          </w:r>
                        </w:sdtContent>
                      </w:sdt>
                      <w:r>
                        <w:rPr>
                          <w:rFonts w:eastAsia="Calibri"/>
                          <w:color w:val="000000"/>
                          <w:szCs w:val="22"/>
                        </w:rPr>
                        <w:t>.</w:t>
                        <w:tab/>
                      </w:r>
                      <w:r>
                        <w:rPr>
                          <w:color w:val="000000"/>
                          <w:lang w:eastAsia="lt-LT"/>
                        </w:rPr>
                        <w:t>Jeigu ilgalaikės išmokos dydis priklauso nuo darbo santykių trukmės, ilgalaikis įsipareigojimas proporcingai kaupiamas ir pripažįstamas sąnaudomis per visą darbo ar tarnybos laiką. Vertinant šį ilgalaikį įsipareigojimą, turi būti atsižvelgta į tikimybę, kad reikės mokėti tokią išmoką, ir laikotarpį, už kurį mokėjimas turėtų būti atliktas, bei į kasmet sukauptinos sumos reikšmingumą. Jeigu išmokos dydis yra vienodas visiems darbuotojams, neatsižvelgiant į ištarnautą laiką ar kitas su konkrečiu darbuotoju susijusias aplinkybes, šių išmokų sąnaudos pripažįstamos tada, kai įvyksta įvykis ar atsiranda aplinkybės, dėl kurių numatoma mokėti išmoką.</w:t>
                      </w:r>
                    </w:p>
                    <w:p>
                      <w:pPr>
                        <w:widowControl w:val="0"/>
                        <w:tabs>
                          <w:tab w:val="left" w:pos="0"/>
                          <w:tab w:val="left" w:pos="1134"/>
                        </w:tabs>
                        <w:suppressAutoHyphens/>
                        <w:spacing w:line="276" w:lineRule="auto"/>
                        <w:jc w:val="center"/>
                        <w:rPr>
                          <w:rFonts w:eastAsia="Calibri"/>
                          <w:color w:val="000000"/>
                          <w:szCs w:val="22"/>
                        </w:rPr>
                      </w:pPr>
                    </w:p>
                  </w:sdtContent>
                </w:sdt>
              </w:sdtContent>
            </w:sdt>
            <w:sdt>
              <w:sdtPr>
                <w:alias w:val="skirsnis"/>
                <w:tag w:val="part_e320bc013cda4645898af3f9b78bf52d"/>
                <w:lock w:val="sdtLocked"/>
                <w:richText/>
              </w:sdtPr>
              <w:sdtContent>
                <w:p>
                  <w:pPr>
                    <w:widowControl w:val="0"/>
                    <w:tabs>
                      <w:tab w:val="left" w:pos="0"/>
                      <w:tab w:val="left" w:pos="1134"/>
                    </w:tabs>
                    <w:suppressAutoHyphens/>
                    <w:spacing w:line="276" w:lineRule="auto"/>
                    <w:jc w:val="center"/>
                    <w:rPr>
                      <w:rFonts w:eastAsia="Calibri"/>
                      <w:b/>
                      <w:color w:val="000000"/>
                      <w:szCs w:val="22"/>
                    </w:rPr>
                  </w:pPr>
                  <w:sdt>
                    <w:sdtPr>
                      <w:alias w:val="Numeris"/>
                      <w:tag w:val="nr_e320bc013cda4645898af3f9b78bf52d"/>
                      <w:lock w:val="sdtLocked"/>
                      <w:richText/>
                    </w:sdtPr>
                    <w:sdtContent>
                      <w:r>
                        <w:rPr>
                          <w:rFonts w:eastAsia="Calibri"/>
                          <w:b/>
                          <w:color w:val="000000"/>
                          <w:szCs w:val="22"/>
                        </w:rPr>
                        <w:t>KETVIRTASIS</w:t>
                      </w:r>
                    </w:sdtContent>
                  </w:sdt>
                  <w:r>
                    <w:rPr>
                      <w:rFonts w:eastAsia="Calibri"/>
                      <w:b/>
                      <w:color w:val="000000"/>
                      <w:szCs w:val="22"/>
                    </w:rPr>
                    <w:t xml:space="preserve"> SKIRSNIS</w:t>
                  </w:r>
                </w:p>
                <w:p>
                  <w:pPr>
                    <w:keepLines/>
                    <w:widowControl w:val="0"/>
                    <w:tabs>
                      <w:tab w:val="left" w:pos="0"/>
                    </w:tabs>
                    <w:suppressAutoHyphens/>
                    <w:jc w:val="center"/>
                    <w:rPr>
                      <w:b/>
                      <w:bCs/>
                      <w:caps/>
                      <w:color w:val="000000"/>
                      <w:lang w:eastAsia="lt-LT"/>
                    </w:rPr>
                  </w:pPr>
                  <w:sdt>
                    <w:sdtPr>
                      <w:alias w:val="Pavadinimas"/>
                      <w:tag w:val="title_e320bc013cda4645898af3f9b78bf52d"/>
                      <w:lock w:val="sdtLocked"/>
                      <w:richText/>
                    </w:sdtPr>
                    <w:sdtContent>
                      <w:r>
                        <w:rPr>
                          <w:b/>
                          <w:bCs/>
                          <w:color w:val="000000"/>
                          <w:lang w:eastAsia="lt-LT"/>
                        </w:rPr>
                        <w:t>IŠEITINĖS IŠMOKOS</w:t>
                      </w:r>
                    </w:sdtContent>
                  </w:sdt>
                </w:p>
                <w:p>
                  <w:pPr>
                    <w:widowControl w:val="0"/>
                    <w:suppressAutoHyphens/>
                    <w:ind w:firstLine="567"/>
                    <w:jc w:val="both"/>
                    <w:rPr>
                      <w:color w:val="000000"/>
                      <w:lang w:eastAsia="lt-LT"/>
                    </w:rPr>
                  </w:pPr>
                </w:p>
                <w:sdt>
                  <w:sdtPr>
                    <w:alias w:val="19 p."/>
                    <w:tag w:val="part_5f130fc15ca04a11a9467539953e9d5d"/>
                    <w:lock w:val="sdtLocked"/>
                    <w:richText/>
                  </w:sdtPr>
                  <w:sdtContent>
                    <w:p>
                      <w:pPr>
                        <w:widowControl w:val="0"/>
                        <w:tabs>
                          <w:tab w:val="left" w:pos="1134"/>
                        </w:tabs>
                        <w:suppressAutoHyphens/>
                        <w:ind w:firstLine="567"/>
                        <w:jc w:val="both"/>
                        <w:rPr>
                          <w:color w:val="000000"/>
                          <w:lang w:eastAsia="lt-LT"/>
                        </w:rPr>
                      </w:pPr>
                      <w:sdt>
                        <w:sdtPr>
                          <w:alias w:val="Numeris"/>
                          <w:tag w:val="nr_5f130fc15ca04a11a9467539953e9d5d"/>
                          <w:lock w:val="sdtLocked"/>
                          <w:richText/>
                        </w:sdtPr>
                        <w:sdtContent>
                          <w:r>
                            <w:rPr>
                              <w:rFonts w:eastAsia="Calibri"/>
                              <w:color w:val="000000"/>
                              <w:szCs w:val="22"/>
                            </w:rPr>
                            <w:t>19</w:t>
                          </w:r>
                        </w:sdtContent>
                      </w:sdt>
                      <w:r>
                        <w:rPr>
                          <w:rFonts w:eastAsia="Calibri"/>
                          <w:color w:val="000000"/>
                          <w:szCs w:val="22"/>
                        </w:rPr>
                        <w:t>.</w:t>
                        <w:tab/>
                      </w:r>
                      <w:r>
                        <w:rPr>
                          <w:color w:val="000000"/>
                          <w:lang w:eastAsia="lt-LT"/>
                        </w:rPr>
                        <w:t>Išeitine išmoka darbuotojui laikoma išmoka darbuotojui, viešojo sektoriaus subjekto mokama pasibaigus darbo santykiams.</w:t>
                      </w:r>
                    </w:p>
                  </w:sdtContent>
                </w:sdt>
                <w:sdt>
                  <w:sdtPr>
                    <w:alias w:val="20 p."/>
                    <w:tag w:val="part_1ef49b4802f24e8381bd39d9fa1ff356"/>
                    <w:lock w:val="sdtLocked"/>
                    <w:richText/>
                  </w:sdtPr>
                  <w:sdtContent>
                    <w:p>
                      <w:pPr>
                        <w:widowControl w:val="0"/>
                        <w:tabs>
                          <w:tab w:val="left" w:pos="1134"/>
                        </w:tabs>
                        <w:suppressAutoHyphens/>
                        <w:ind w:firstLine="567"/>
                        <w:jc w:val="both"/>
                        <w:rPr>
                          <w:color w:val="000000"/>
                          <w:lang w:eastAsia="lt-LT"/>
                        </w:rPr>
                      </w:pPr>
                      <w:sdt>
                        <w:sdtPr>
                          <w:alias w:val="Numeris"/>
                          <w:tag w:val="nr_1ef49b4802f24e8381bd39d9fa1ff356"/>
                          <w:lock w:val="sdtLocked"/>
                          <w:richText/>
                        </w:sdtPr>
                        <w:sdtContent>
                          <w:r>
                            <w:rPr>
                              <w:rFonts w:eastAsia="Calibri"/>
                              <w:color w:val="000000"/>
                              <w:szCs w:val="22"/>
                            </w:rPr>
                            <w:t>20</w:t>
                          </w:r>
                        </w:sdtContent>
                      </w:sdt>
                      <w:r>
                        <w:rPr>
                          <w:rFonts w:eastAsia="Calibri"/>
                          <w:color w:val="000000"/>
                          <w:szCs w:val="22"/>
                        </w:rPr>
                        <w:t>.</w:t>
                        <w:tab/>
                      </w:r>
                      <w:r>
                        <w:rPr>
                          <w:color w:val="000000"/>
                          <w:lang w:eastAsia="lt-LT"/>
                        </w:rPr>
                        <w:t>Viešojo sektoriaus subjektas gali būti įpareigotas mokėti išeitines išmokas teisės aktų, reglamentuojančių tokių išmokų mokėjimą, sutarčių ar kitų susitarimų nustatyta tvarka arba viešojo sektoriaus subjekto darbuotojai gali pagrįstai tikėtis tokių išmokų pagal neatšaukiamąjį pasižadėjimą. Paprastai išeitinės išmokos yra vienkartiniai mokėjimai, tačiau kartais jos gali apimti ir atlyginimą iki tam tikro nurodyto laikotarpio pabaigos, kai darbuotojas daugiau nebedirba darbo, teikiančio viešojo sektoriaus subjektui ekonominės naudos, ar kitas išmokas, pasibaigus darbo (tarnybos) laikotarpiui, iš darbdavio lėšų.</w:t>
                      </w:r>
                    </w:p>
                  </w:sdtContent>
                </w:sdt>
                <w:sdt>
                  <w:sdtPr>
                    <w:alias w:val="21 p."/>
                    <w:tag w:val="part_64b98d8eba9f4b229d739bae482931bd"/>
                    <w:lock w:val="sdtLocked"/>
                    <w:richText/>
                  </w:sdtPr>
                  <w:sdtContent>
                    <w:p>
                      <w:pPr>
                        <w:widowControl w:val="0"/>
                        <w:tabs>
                          <w:tab w:val="left" w:pos="1134"/>
                        </w:tabs>
                        <w:suppressAutoHyphens/>
                        <w:ind w:firstLine="567"/>
                        <w:jc w:val="both"/>
                        <w:rPr>
                          <w:color w:val="000000"/>
                          <w:lang w:eastAsia="lt-LT"/>
                        </w:rPr>
                      </w:pPr>
                      <w:sdt>
                        <w:sdtPr>
                          <w:alias w:val="Numeris"/>
                          <w:tag w:val="nr_64b98d8eba9f4b229d739bae482931bd"/>
                          <w:lock w:val="sdtLocked"/>
                          <w:richText/>
                        </w:sdtPr>
                        <w:sdtContent>
                          <w:r>
                            <w:rPr>
                              <w:rFonts w:eastAsia="Calibri"/>
                              <w:color w:val="000000"/>
                              <w:szCs w:val="22"/>
                            </w:rPr>
                            <w:t>21</w:t>
                          </w:r>
                        </w:sdtContent>
                      </w:sdt>
                      <w:r>
                        <w:rPr>
                          <w:rFonts w:eastAsia="Calibri"/>
                          <w:color w:val="000000"/>
                          <w:szCs w:val="22"/>
                        </w:rPr>
                        <w:t>.</w:t>
                        <w:tab/>
                      </w:r>
                      <w:r>
                        <w:rPr>
                          <w:color w:val="000000"/>
                          <w:lang w:eastAsia="lt-LT"/>
                        </w:rPr>
                        <w:t xml:space="preserve">Išeitinės išmokos, įskaitant ilgalaikio darbo išmokas, viešojo sektoriaus subjekto apskaitoje pripažįstamos sąnaudomis tą laikotarpį, kurį baigiasi darbo santykiai. </w:t>
                      </w:r>
                    </w:p>
                    <w:p>
                      <w:pPr>
                        <w:rPr>
                          <w:b/>
                          <w:bCs/>
                          <w:caps/>
                          <w:color w:val="000000"/>
                          <w:lang w:eastAsia="lt-LT"/>
                        </w:rPr>
                      </w:pPr>
                    </w:p>
                  </w:sdtContent>
                </w:sdt>
              </w:sdtContent>
            </w:sdt>
          </w:sdtContent>
        </w:sdt>
        <w:sdt>
          <w:sdtPr>
            <w:alias w:val="skyrius"/>
            <w:tag w:val="part_a5df5f5e32cd4e8891dc0b681a9e5326"/>
            <w:lock w:val="sdtLocked"/>
            <w:richText/>
          </w:sdtPr>
          <w:sdtContent>
            <w:p>
              <w:pPr>
                <w:keepLines/>
                <w:widowControl w:val="0"/>
                <w:suppressAutoHyphens/>
                <w:jc w:val="center"/>
                <w:rPr>
                  <w:b/>
                  <w:bCs/>
                  <w:caps/>
                  <w:color w:val="000000"/>
                  <w:lang w:eastAsia="lt-LT"/>
                </w:rPr>
              </w:pPr>
              <w:sdt>
                <w:sdtPr>
                  <w:alias w:val="Numeris"/>
                  <w:tag w:val="nr_a5df5f5e32cd4e8891dc0b681a9e5326"/>
                  <w:lock w:val="sdtLocked"/>
                  <w:richText/>
                </w:sdtPr>
                <w:sdtContent>
                  <w:r>
                    <w:rPr>
                      <w:b/>
                      <w:bCs/>
                      <w:caps/>
                      <w:color w:val="000000"/>
                      <w:lang w:eastAsia="lt-LT"/>
                    </w:rPr>
                    <w:t>III</w:t>
                  </w:r>
                </w:sdtContent>
              </w:sdt>
              <w:r>
                <w:rPr>
                  <w:b/>
                  <w:bCs/>
                  <w:caps/>
                  <w:color w:val="000000"/>
                  <w:lang w:eastAsia="lt-LT"/>
                </w:rPr>
                <w:t xml:space="preserve"> SKYRIUS</w:t>
              </w:r>
            </w:p>
            <w:p>
              <w:pPr>
                <w:keepLines/>
                <w:widowControl w:val="0"/>
                <w:suppressAutoHyphens/>
                <w:jc w:val="center"/>
                <w:rPr>
                  <w:b/>
                  <w:bCs/>
                  <w:caps/>
                  <w:color w:val="000000"/>
                  <w:lang w:eastAsia="lt-LT"/>
                </w:rPr>
              </w:pPr>
              <w:sdt>
                <w:sdtPr>
                  <w:alias w:val="Pavadinimas"/>
                  <w:tag w:val="title_a5df5f5e32cd4e8891dc0b681a9e5326"/>
                  <w:lock w:val="sdtLocked"/>
                  <w:richText/>
                </w:sdtPr>
                <w:sdtContent>
                  <w:r>
                    <w:rPr>
                      <w:b/>
                      <w:bCs/>
                      <w:caps/>
                      <w:color w:val="000000"/>
                      <w:lang w:eastAsia="lt-LT"/>
                    </w:rPr>
                    <w:t>SU DARBO SANTYKIAIS SUSIJUSIŲ IŠMOKŲ PRISKYRIMAS PRIE SĄNAUDŲ STRAIPSNIŲ</w:t>
                  </w:r>
                </w:sdtContent>
              </w:sdt>
            </w:p>
            <w:p>
              <w:pPr>
                <w:keepLines/>
                <w:widowControl w:val="0"/>
                <w:suppressAutoHyphens/>
                <w:jc w:val="center"/>
                <w:rPr>
                  <w:b/>
                  <w:bCs/>
                  <w:caps/>
                  <w:color w:val="000000"/>
                  <w:lang w:eastAsia="lt-LT"/>
                </w:rPr>
              </w:pPr>
            </w:p>
            <w:sdt>
              <w:sdtPr>
                <w:alias w:val="22 p."/>
                <w:tag w:val="part_5d074bc1fd2c419fb37fe55b72c65ab0"/>
                <w:lock w:val="sdtLocked"/>
                <w:richText/>
              </w:sdtPr>
              <w:sdtContent>
                <w:p>
                  <w:pPr>
                    <w:widowControl w:val="0"/>
                    <w:tabs>
                      <w:tab w:val="left" w:pos="1134"/>
                    </w:tabs>
                    <w:suppressAutoHyphens/>
                    <w:ind w:firstLine="567"/>
                    <w:jc w:val="both"/>
                    <w:rPr>
                      <w:color w:val="000000"/>
                      <w:lang w:eastAsia="lt-LT"/>
                    </w:rPr>
                  </w:pPr>
                  <w:sdt>
                    <w:sdtPr>
                      <w:alias w:val="Numeris"/>
                      <w:tag w:val="nr_5d074bc1fd2c419fb37fe55b72c65ab0"/>
                      <w:lock w:val="sdtLocked"/>
                      <w:richText/>
                    </w:sdtPr>
                    <w:sdtContent>
                      <w:r>
                        <w:rPr>
                          <w:rFonts w:eastAsia="Calibri"/>
                          <w:color w:val="000000"/>
                          <w:szCs w:val="22"/>
                        </w:rPr>
                        <w:t>22</w:t>
                      </w:r>
                    </w:sdtContent>
                  </w:sdt>
                  <w:r>
                    <w:rPr>
                      <w:rFonts w:eastAsia="Calibri"/>
                      <w:color w:val="000000"/>
                      <w:szCs w:val="22"/>
                    </w:rPr>
                    <w:t>.</w:t>
                    <w:tab/>
                  </w:r>
                  <w:r>
                    <w:rPr>
                      <w:color w:val="000000"/>
                      <w:lang w:eastAsia="lt-LT"/>
                    </w:rPr>
                    <w:t>Su darbo santykiais susijusios išmokos priskiriamos prie šių sąnaudų straipsnių:</w:t>
                  </w:r>
                </w:p>
                <w:sdt>
                  <w:sdtPr>
                    <w:alias w:val="22.1 pp."/>
                    <w:tag w:val="part_f114bf3e09524b9aaec0ab3b2958044f"/>
                    <w:lock w:val="sdtLocked"/>
                    <w:richText/>
                  </w:sdtPr>
                  <w:sdtContent>
                    <w:p>
                      <w:pPr>
                        <w:widowControl w:val="0"/>
                        <w:tabs>
                          <w:tab w:val="left" w:pos="1134"/>
                        </w:tabs>
                        <w:suppressAutoHyphens/>
                        <w:ind w:firstLine="567"/>
                        <w:jc w:val="both"/>
                        <w:rPr>
                          <w:color w:val="000000"/>
                          <w:lang w:eastAsia="lt-LT"/>
                        </w:rPr>
                      </w:pPr>
                      <w:sdt>
                        <w:sdtPr>
                          <w:alias w:val="Numeris"/>
                          <w:tag w:val="nr_f114bf3e09524b9aaec0ab3b2958044f"/>
                          <w:lock w:val="sdtLocked"/>
                          <w:richText/>
                        </w:sdtPr>
                        <w:sdtContent>
                          <w:r>
                            <w:rPr>
                              <w:rFonts w:eastAsia="Calibri"/>
                              <w:color w:val="000000"/>
                              <w:szCs w:val="22"/>
                            </w:rPr>
                            <w:t>22.1</w:t>
                          </w:r>
                        </w:sdtContent>
                      </w:sdt>
                      <w:r>
                        <w:rPr>
                          <w:rFonts w:eastAsia="Calibri"/>
                          <w:color w:val="000000"/>
                          <w:szCs w:val="22"/>
                        </w:rPr>
                        <w:t>.</w:t>
                        <w:tab/>
                      </w:r>
                      <w:r>
                        <w:rPr>
                          <w:color w:val="000000"/>
                          <w:lang w:eastAsia="lt-LT"/>
                        </w:rPr>
                        <w:t>prie darbo užmokesčio ir socialinio draudimo sąnaudų priskiriamos išmokos darbuotojui pinigais ir (arba) natūra:</w:t>
                      </w:r>
                    </w:p>
                    <w:sdt>
                      <w:sdtPr>
                        <w:alias w:val="22.1.1 pp."/>
                        <w:tag w:val="part_4f05c9687478443396da38b98a83deb7"/>
                        <w:lock w:val="sdtLocked"/>
                        <w:richText/>
                      </w:sdtPr>
                      <w:sdtContent>
                        <w:p>
                          <w:pPr>
                            <w:widowControl w:val="0"/>
                            <w:tabs>
                              <w:tab w:val="left" w:pos="1134"/>
                            </w:tabs>
                            <w:suppressAutoHyphens/>
                            <w:ind w:firstLine="567"/>
                            <w:jc w:val="both"/>
                            <w:rPr>
                              <w:color w:val="000000"/>
                              <w:lang w:eastAsia="lt-LT"/>
                            </w:rPr>
                          </w:pPr>
                          <w:sdt>
                            <w:sdtPr>
                              <w:alias w:val="Numeris"/>
                              <w:tag w:val="nr_4f05c9687478443396da38b98a83deb7"/>
                              <w:lock w:val="sdtLocked"/>
                              <w:richText/>
                            </w:sdtPr>
                            <w:sdtContent>
                              <w:r>
                                <w:rPr>
                                  <w:rFonts w:eastAsia="Calibri"/>
                                  <w:color w:val="000000"/>
                                  <w:szCs w:val="22"/>
                                </w:rPr>
                                <w:t>22.1.1</w:t>
                              </w:r>
                            </w:sdtContent>
                          </w:sdt>
                          <w:r>
                            <w:rPr>
                              <w:rFonts w:eastAsia="Calibri"/>
                              <w:color w:val="000000"/>
                              <w:szCs w:val="22"/>
                            </w:rPr>
                            <w:t>.</w:t>
                            <w:tab/>
                          </w:r>
                          <w:r>
                            <w:rPr>
                              <w:color w:val="000000"/>
                              <w:lang w:eastAsia="lt-LT"/>
                            </w:rPr>
                            <w:t>tiesiogiai su darbo santykiais arba jų esmę atitinkančiais santykiais susijęs darbo užmokestis (pareiginė alga, priedai, priemokos, mokėjimai už darbą poilsio ir švenčių dienomis, nakties, viršvalandinį darbą ir budėjimą, premijos, darbo užmokestis už kasmetines atostogas, nepanaudotų atostogų kompensacijų išmokos, nenutrūkstamas darbo užmokesčio mokėjimas ligos atveju (už pirmas dvi ligos dienas) ir panašiai);</w:t>
                          </w:r>
                        </w:p>
                      </w:sdtContent>
                    </w:sdt>
                    <w:sdt>
                      <w:sdtPr>
                        <w:alias w:val="22.1.2 pp."/>
                        <w:tag w:val="part_e824b468268141998dc445e6db3b62e5"/>
                        <w:lock w:val="sdtLocked"/>
                        <w:richText/>
                      </w:sdtPr>
                      <w:sdtContent>
                        <w:p>
                          <w:pPr>
                            <w:widowControl w:val="0"/>
                            <w:tabs>
                              <w:tab w:val="left" w:pos="1134"/>
                            </w:tabs>
                            <w:suppressAutoHyphens/>
                            <w:ind w:firstLine="567"/>
                            <w:jc w:val="both"/>
                            <w:rPr>
                              <w:color w:val="000000"/>
                              <w:lang w:eastAsia="lt-LT"/>
                            </w:rPr>
                          </w:pPr>
                          <w:sdt>
                            <w:sdtPr>
                              <w:alias w:val="Numeris"/>
                              <w:tag w:val="nr_e824b468268141998dc445e6db3b62e5"/>
                              <w:lock w:val="sdtLocked"/>
                              <w:richText/>
                            </w:sdtPr>
                            <w:sdtContent>
                              <w:r>
                                <w:rPr>
                                  <w:rFonts w:eastAsia="Calibri"/>
                                  <w:color w:val="000000"/>
                                  <w:szCs w:val="22"/>
                                </w:rPr>
                                <w:t>22.1.2</w:t>
                              </w:r>
                            </w:sdtContent>
                          </w:sdt>
                          <w:r>
                            <w:rPr>
                              <w:rFonts w:eastAsia="Calibri"/>
                              <w:color w:val="000000"/>
                              <w:szCs w:val="22"/>
                            </w:rPr>
                            <w:t>.</w:t>
                            <w:tab/>
                          </w:r>
                          <w:r>
                            <w:rPr>
                              <w:color w:val="000000"/>
                              <w:lang w:eastAsia="lt-LT"/>
                            </w:rPr>
                            <w:t>išeitinės išmokos, ilgalaikio darbo išmokos;</w:t>
                          </w:r>
                        </w:p>
                      </w:sdtContent>
                    </w:sdt>
                    <w:sdt>
                      <w:sdtPr>
                        <w:alias w:val="22.1.3 pp."/>
                        <w:tag w:val="part_e169b4c78cad4fb9ba488f6b5426b36e"/>
                        <w:lock w:val="sdtLocked"/>
                        <w:richText/>
                      </w:sdtPr>
                      <w:sdtContent>
                        <w:p>
                          <w:pPr>
                            <w:widowControl w:val="0"/>
                            <w:tabs>
                              <w:tab w:val="left" w:pos="1134"/>
                            </w:tabs>
                            <w:suppressAutoHyphens/>
                            <w:ind w:firstLine="567"/>
                            <w:jc w:val="both"/>
                            <w:rPr>
                              <w:color w:val="000000"/>
                              <w:lang w:eastAsia="lt-LT"/>
                            </w:rPr>
                          </w:pPr>
                          <w:sdt>
                            <w:sdtPr>
                              <w:alias w:val="Numeris"/>
                              <w:tag w:val="nr_e169b4c78cad4fb9ba488f6b5426b36e"/>
                              <w:lock w:val="sdtLocked"/>
                              <w:richText/>
                            </w:sdtPr>
                            <w:sdtContent>
                              <w:r>
                                <w:rPr>
                                  <w:rFonts w:eastAsia="Calibri"/>
                                  <w:color w:val="000000"/>
                                  <w:szCs w:val="22"/>
                                </w:rPr>
                                <w:t>22.1.3</w:t>
                              </w:r>
                            </w:sdtContent>
                          </w:sdt>
                          <w:r>
                            <w:rPr>
                              <w:rFonts w:eastAsia="Calibri"/>
                              <w:color w:val="000000"/>
                              <w:szCs w:val="22"/>
                            </w:rPr>
                            <w:t>.</w:t>
                            <w:tab/>
                            <w:t xml:space="preserve">darbdavio </w:t>
                          </w:r>
                          <w:r>
                            <w:rPr>
                              <w:color w:val="000000"/>
                              <w:lang w:eastAsia="lt-LT"/>
                            </w:rPr>
                            <w:t>įmokos į socialinio draudimo, pensijų fondus, įmokos į Garantinį fondą, Ilgalaikio darbo išmokų fondą;</w:t>
                          </w:r>
                        </w:p>
                      </w:sdtContent>
                    </w:sdt>
                    <w:sdt>
                      <w:sdtPr>
                        <w:alias w:val="22.1.4 pp."/>
                        <w:tag w:val="part_fd80f9f0a6814e52b5eb8a9a18aa6101"/>
                        <w:lock w:val="sdtLocked"/>
                        <w:richText/>
                      </w:sdtPr>
                      <w:sdtContent>
                        <w:p>
                          <w:pPr>
                            <w:widowControl w:val="0"/>
                            <w:tabs>
                              <w:tab w:val="left" w:pos="1134"/>
                            </w:tabs>
                            <w:suppressAutoHyphens/>
                            <w:ind w:firstLine="567"/>
                            <w:jc w:val="both"/>
                            <w:rPr>
                              <w:color w:val="000000"/>
                              <w:lang w:eastAsia="lt-LT"/>
                            </w:rPr>
                          </w:pPr>
                          <w:sdt>
                            <w:sdtPr>
                              <w:alias w:val="Numeris"/>
                              <w:tag w:val="nr_fd80f9f0a6814e52b5eb8a9a18aa6101"/>
                              <w:lock w:val="sdtLocked"/>
                              <w:richText/>
                            </w:sdtPr>
                            <w:sdtContent>
                              <w:r>
                                <w:rPr>
                                  <w:rFonts w:eastAsia="Calibri"/>
                                  <w:color w:val="000000"/>
                                  <w:szCs w:val="22"/>
                                </w:rPr>
                                <w:t>22.1.4</w:t>
                              </w:r>
                            </w:sdtContent>
                          </w:sdt>
                          <w:r>
                            <w:rPr>
                              <w:rFonts w:eastAsia="Calibri"/>
                              <w:color w:val="000000"/>
                              <w:szCs w:val="22"/>
                            </w:rPr>
                            <w:t>.</w:t>
                            <w:tab/>
                          </w:r>
                          <w:r>
                            <w:rPr>
                              <w:color w:val="000000"/>
                              <w:lang w:eastAsia="lt-LT"/>
                            </w:rPr>
                            <w:t>išmokos, skirtos darbuotojo išlaidoms kompensuoti (išmokos transporto išlaidoms vykstant iš gyvenamosios vietos į darbo vietą arba tarnybą ir atgal kompensuoti, išmokos gyvenamojo būsto nuomos išlaidoms kompensuoti ar nemokamai suteiktas būstas (apskaičiuota ataskaitinio laikotarpio būsto nusidėvėjimo suma), nemokamas maitinimas ir maitinimosi kompensavimas, mokesčiai už sveikatos priežiūros paslaugas ir kitos panašios išmokos), kai nauda teikiama konkrečiam darbuotojui, taip pat darbuotojo skatinimo priemonės, nenurodytos Standarto 22.1.1 papunktyje. Šios išmokos turi būti registruojamos atskiroje sąskaitoje nei kitos darbo užmokesčio sąnaudos;</w:t>
                          </w:r>
                        </w:p>
                      </w:sdtContent>
                    </w:sdt>
                    <w:sdt>
                      <w:sdtPr>
                        <w:alias w:val="22.1.5 pp."/>
                        <w:tag w:val="part_b97d53fe89294a8da131f47926efb500"/>
                        <w:lock w:val="sdtLocked"/>
                        <w:richText/>
                      </w:sdtPr>
                      <w:sdtContent>
                        <w:p>
                          <w:pPr>
                            <w:widowControl w:val="0"/>
                            <w:tabs>
                              <w:tab w:val="left" w:pos="1134"/>
                            </w:tabs>
                            <w:suppressAutoHyphens/>
                            <w:ind w:firstLine="567"/>
                            <w:jc w:val="both"/>
                            <w:rPr>
                              <w:color w:val="000000"/>
                              <w:szCs w:val="24"/>
                              <w:lang w:eastAsia="lt-LT"/>
                            </w:rPr>
                          </w:pPr>
                          <w:sdt>
                            <w:sdtPr>
                              <w:alias w:val="Numeris"/>
                              <w:tag w:val="nr_b97d53fe89294a8da131f47926efb500"/>
                              <w:lock w:val="sdtLocked"/>
                              <w:richText/>
                            </w:sdtPr>
                            <w:sdtContent>
                              <w:r>
                                <w:rPr>
                                  <w:rFonts w:eastAsia="Calibri"/>
                                  <w:color w:val="000000"/>
                                  <w:szCs w:val="24"/>
                                </w:rPr>
                                <w:t>22.1.5</w:t>
                              </w:r>
                            </w:sdtContent>
                          </w:sdt>
                          <w:r>
                            <w:rPr>
                              <w:rFonts w:eastAsia="Calibri"/>
                              <w:color w:val="000000"/>
                              <w:szCs w:val="24"/>
                            </w:rPr>
                            <w:t>.</w:t>
                            <w:tab/>
                          </w:r>
                          <w:r>
                            <w:rPr>
                              <w:szCs w:val="24"/>
                              <w:lang w:eastAsia="lt-LT"/>
                            </w:rPr>
                            <w:t>diplomatams ir jų šeimų nariams pagal Lietuvos Respublikos diplomatinės tarnybos įstatymo nuostatas skiriamos išmokos;</w:t>
                          </w:r>
                        </w:p>
                      </w:sdtContent>
                    </w:sdt>
                  </w:sdtContent>
                </w:sdt>
                <w:sdt>
                  <w:sdtPr>
                    <w:alias w:val="22.2 pp."/>
                    <w:tag w:val="part_ae0699844bbf498dbb641d67a42deedc"/>
                    <w:lock w:val="sdtLocked"/>
                    <w:richText/>
                  </w:sdtPr>
                  <w:sdtContent>
                    <w:p>
                      <w:pPr>
                        <w:widowControl w:val="0"/>
                        <w:tabs>
                          <w:tab w:val="left" w:pos="709"/>
                          <w:tab w:val="left" w:pos="851"/>
                          <w:tab w:val="left" w:pos="1134"/>
                          <w:tab w:val="left" w:pos="1276"/>
                          <w:tab w:val="left" w:pos="1418"/>
                          <w:tab w:val="left" w:pos="1560"/>
                        </w:tabs>
                        <w:suppressAutoHyphens/>
                        <w:ind w:firstLine="567"/>
                        <w:jc w:val="both"/>
                        <w:rPr>
                          <w:color w:val="000000"/>
                          <w:lang w:eastAsia="lt-LT"/>
                        </w:rPr>
                      </w:pPr>
                      <w:sdt>
                        <w:sdtPr>
                          <w:alias w:val="Numeris"/>
                          <w:tag w:val="nr_ae0699844bbf498dbb641d67a42deedc"/>
                          <w:lock w:val="sdtLocked"/>
                          <w:richText/>
                        </w:sdtPr>
                        <w:sdtContent>
                          <w:r>
                            <w:rPr>
                              <w:rFonts w:eastAsia="Calibri"/>
                              <w:color w:val="000000"/>
                              <w:szCs w:val="22"/>
                            </w:rPr>
                            <w:t>22.2</w:t>
                          </w:r>
                        </w:sdtContent>
                      </w:sdt>
                      <w:r>
                        <w:rPr>
                          <w:rFonts w:eastAsia="Calibri"/>
                          <w:color w:val="000000"/>
                          <w:szCs w:val="22"/>
                        </w:rPr>
                        <w:t>.</w:t>
                        <w:tab/>
                      </w:r>
                      <w:r>
                        <w:rPr>
                          <w:color w:val="000000"/>
                          <w:lang w:eastAsia="lt-LT"/>
                        </w:rPr>
                        <w:t>prie socialinių ir kitų išmokų darbuotojams sąnaudų priskiriamos išmokos darbuotojui:</w:t>
                      </w:r>
                    </w:p>
                    <w:sdt>
                      <w:sdtPr>
                        <w:alias w:val="22.2.1 pp."/>
                        <w:tag w:val="part_92e55935ceda4883b047275c45d62fce"/>
                        <w:lock w:val="sdtLocked"/>
                        <w:richText/>
                      </w:sdtPr>
                      <w:sdtContent>
                        <w:p>
                          <w:pPr>
                            <w:widowControl w:val="0"/>
                            <w:tabs>
                              <w:tab w:val="left" w:pos="709"/>
                              <w:tab w:val="left" w:pos="851"/>
                              <w:tab w:val="left" w:pos="1134"/>
                              <w:tab w:val="left" w:pos="1276"/>
                              <w:tab w:val="left" w:pos="1418"/>
                              <w:tab w:val="left" w:pos="1560"/>
                            </w:tabs>
                            <w:suppressAutoHyphens/>
                            <w:ind w:firstLine="567"/>
                            <w:jc w:val="both"/>
                            <w:rPr>
                              <w:color w:val="000000"/>
                              <w:lang w:eastAsia="lt-LT"/>
                            </w:rPr>
                          </w:pPr>
                          <w:sdt>
                            <w:sdtPr>
                              <w:alias w:val="Numeris"/>
                              <w:tag w:val="nr_92e55935ceda4883b047275c45d62fce"/>
                              <w:lock w:val="sdtLocked"/>
                              <w:richText/>
                            </w:sdtPr>
                            <w:sdtContent>
                              <w:r>
                                <w:rPr>
                                  <w:rFonts w:eastAsia="Calibri"/>
                                  <w:color w:val="000000"/>
                                  <w:szCs w:val="22"/>
                                </w:rPr>
                                <w:t>22.2.1</w:t>
                              </w:r>
                            </w:sdtContent>
                          </w:sdt>
                          <w:r>
                            <w:rPr>
                              <w:rFonts w:eastAsia="Calibri"/>
                              <w:color w:val="000000"/>
                              <w:szCs w:val="22"/>
                            </w:rPr>
                            <w:t>.</w:t>
                            <w:tab/>
                          </w:r>
                          <w:r>
                            <w:rPr>
                              <w:color w:val="000000"/>
                              <w:lang w:eastAsia="lt-LT"/>
                            </w:rPr>
                            <w:t>esant sunkiai materialinei būklei, mirties ir kitais atvejais;</w:t>
                          </w:r>
                        </w:p>
                      </w:sdtContent>
                    </w:sdt>
                    <w:sdt>
                      <w:sdtPr>
                        <w:alias w:val="22.2.2 pp."/>
                        <w:tag w:val="part_284df385164149a3a60507ba126d6861"/>
                        <w:lock w:val="sdtLocked"/>
                        <w:richText/>
                      </w:sdtPr>
                      <w:sdtContent>
                        <w:p>
                          <w:pPr>
                            <w:widowControl w:val="0"/>
                            <w:tabs>
                              <w:tab w:val="left" w:pos="851"/>
                              <w:tab w:val="left" w:pos="1134"/>
                              <w:tab w:val="left" w:pos="1276"/>
                              <w:tab w:val="left" w:pos="1418"/>
                            </w:tabs>
                            <w:suppressAutoHyphens/>
                            <w:ind w:firstLine="567"/>
                            <w:jc w:val="both"/>
                            <w:rPr>
                              <w:color w:val="000000"/>
                              <w:lang w:eastAsia="lt-LT"/>
                            </w:rPr>
                          </w:pPr>
                          <w:sdt>
                            <w:sdtPr>
                              <w:alias w:val="Numeris"/>
                              <w:tag w:val="nr_284df385164149a3a60507ba126d6861"/>
                              <w:lock w:val="sdtLocked"/>
                              <w:richText/>
                            </w:sdtPr>
                            <w:sdtContent>
                              <w:r>
                                <w:rPr>
                                  <w:rFonts w:eastAsia="Calibri"/>
                                  <w:color w:val="000000"/>
                                  <w:szCs w:val="22"/>
                                </w:rPr>
                                <w:t>22.2.2</w:t>
                              </w:r>
                            </w:sdtContent>
                          </w:sdt>
                          <w:r>
                            <w:rPr>
                              <w:rFonts w:eastAsia="Calibri"/>
                              <w:color w:val="000000"/>
                              <w:szCs w:val="22"/>
                            </w:rPr>
                            <w:t>.</w:t>
                            <w:tab/>
                          </w:r>
                          <w:r>
                            <w:rPr>
                              <w:color w:val="000000"/>
                              <w:lang w:eastAsia="lt-LT"/>
                            </w:rPr>
                            <w:t>žalos dėl profesinės ligos atlyginimo išmokos;</w:t>
                          </w:r>
                        </w:p>
                      </w:sdtContent>
                    </w:sdt>
                    <w:sdt>
                      <w:sdtPr>
                        <w:alias w:val="22.2.3 pp."/>
                        <w:tag w:val="part_e7fd074a6a49491f805873b7314d76b8"/>
                        <w:lock w:val="sdtLocked"/>
                        <w:richText/>
                      </w:sdtPr>
                      <w:sdtContent>
                        <w:p>
                          <w:pPr>
                            <w:widowControl w:val="0"/>
                            <w:tabs>
                              <w:tab w:val="left" w:pos="851"/>
                              <w:tab w:val="left" w:pos="1134"/>
                              <w:tab w:val="left" w:pos="1276"/>
                              <w:tab w:val="left" w:pos="1418"/>
                            </w:tabs>
                            <w:suppressAutoHyphens/>
                            <w:ind w:firstLine="567"/>
                            <w:jc w:val="both"/>
                            <w:rPr>
                              <w:color w:val="000000"/>
                              <w:lang w:eastAsia="lt-LT"/>
                            </w:rPr>
                          </w:pPr>
                          <w:sdt>
                            <w:sdtPr>
                              <w:alias w:val="Numeris"/>
                              <w:tag w:val="nr_e7fd074a6a49491f805873b7314d76b8"/>
                              <w:lock w:val="sdtLocked"/>
                              <w:richText/>
                            </w:sdtPr>
                            <w:sdtContent>
                              <w:r>
                                <w:rPr>
                                  <w:rFonts w:eastAsia="Calibri"/>
                                  <w:color w:val="000000"/>
                                  <w:szCs w:val="22"/>
                                </w:rPr>
                                <w:t>22.2.3</w:t>
                              </w:r>
                            </w:sdtContent>
                          </w:sdt>
                          <w:r>
                            <w:rPr>
                              <w:rFonts w:eastAsia="Calibri"/>
                              <w:color w:val="000000"/>
                              <w:szCs w:val="22"/>
                            </w:rPr>
                            <w:t>.</w:t>
                            <w:tab/>
                          </w:r>
                          <w:r>
                            <w:rPr>
                              <w:color w:val="000000"/>
                              <w:lang w:eastAsia="lt-LT"/>
                            </w:rPr>
                            <w:t>išmokos įvykus nelaimingam atsitikimui ir panašiai;</w:t>
                          </w:r>
                        </w:p>
                      </w:sdtContent>
                    </w:sdt>
                  </w:sdtContent>
                </w:sdt>
                <w:sdt>
                  <w:sdtPr>
                    <w:alias w:val="22.3 pp."/>
                    <w:tag w:val="part_9e0ea113687c4490b75670e07e9a8732"/>
                    <w:lock w:val="sdtLocked"/>
                    <w:richText/>
                  </w:sdtPr>
                  <w:sdtContent>
                    <w:p>
                      <w:pPr>
                        <w:widowControl w:val="0"/>
                        <w:tabs>
                          <w:tab w:val="left" w:pos="1134"/>
                        </w:tabs>
                        <w:suppressAutoHyphens/>
                        <w:ind w:firstLine="567"/>
                        <w:jc w:val="both"/>
                        <w:rPr>
                          <w:color w:val="000000"/>
                          <w:lang w:eastAsia="lt-LT"/>
                        </w:rPr>
                      </w:pPr>
                      <w:sdt>
                        <w:sdtPr>
                          <w:alias w:val="Numeris"/>
                          <w:tag w:val="nr_9e0ea113687c4490b75670e07e9a8732"/>
                          <w:lock w:val="sdtLocked"/>
                          <w:richText/>
                        </w:sdtPr>
                        <w:sdtContent>
                          <w:r>
                            <w:rPr>
                              <w:rFonts w:eastAsia="Calibri"/>
                              <w:color w:val="000000"/>
                              <w:szCs w:val="22"/>
                            </w:rPr>
                            <w:t>22.3</w:t>
                          </w:r>
                        </w:sdtContent>
                      </w:sdt>
                      <w:r>
                        <w:rPr>
                          <w:rFonts w:eastAsia="Calibri"/>
                          <w:color w:val="000000"/>
                          <w:szCs w:val="22"/>
                        </w:rPr>
                        <w:t>.</w:t>
                        <w:tab/>
                      </w:r>
                      <w:r>
                        <w:rPr>
                          <w:color w:val="000000"/>
                          <w:lang w:eastAsia="lt-LT"/>
                        </w:rPr>
                        <w:t>prie sąnaudų pagal jų pobūdį priskiriamos darbuotojų grupės ar visų darbuotojų naudai neapibrėžtos išmokos, kurios nepriskiriamos prie Standarto 22.1 ir 22.2 papunkčiuose išvardytų išmokų.</w:t>
                      </w:r>
                    </w:p>
                    <w:p>
                      <w:pPr>
                        <w:keepLines/>
                        <w:widowControl w:val="0"/>
                        <w:suppressAutoHyphens/>
                        <w:jc w:val="center"/>
                        <w:rPr>
                          <w:b/>
                          <w:bCs/>
                          <w:caps/>
                          <w:color w:val="000000"/>
                          <w:lang w:eastAsia="lt-LT"/>
                        </w:rPr>
                      </w:pPr>
                    </w:p>
                  </w:sdtContent>
                </w:sdt>
              </w:sdtContent>
            </w:sdt>
          </w:sdtContent>
        </w:sdt>
        <w:sdt>
          <w:sdtPr>
            <w:alias w:val="skyrius"/>
            <w:tag w:val="part_cbcbcf305bdf4bbba322ef42fb3bbf20"/>
            <w:lock w:val="sdtLocked"/>
            <w:richText/>
          </w:sdtPr>
          <w:sdtContent>
            <w:p>
              <w:pPr>
                <w:keepLines/>
                <w:widowControl w:val="0"/>
                <w:suppressAutoHyphens/>
                <w:jc w:val="center"/>
                <w:rPr>
                  <w:b/>
                  <w:bCs/>
                  <w:caps/>
                  <w:color w:val="000000"/>
                  <w:lang w:eastAsia="lt-LT"/>
                </w:rPr>
              </w:pPr>
              <w:sdt>
                <w:sdtPr>
                  <w:alias w:val="Numeris"/>
                  <w:tag w:val="nr_cbcbcf305bdf4bbba322ef42fb3bbf20"/>
                  <w:lock w:val="sdtLocked"/>
                  <w:richText/>
                </w:sdtPr>
                <w:sdtContent>
                  <w:r>
                    <w:rPr>
                      <w:b/>
                      <w:bCs/>
                      <w:caps/>
                      <w:color w:val="000000"/>
                      <w:lang w:eastAsia="lt-LT"/>
                    </w:rPr>
                    <w:t>IV</w:t>
                  </w:r>
                </w:sdtContent>
              </w:sdt>
              <w:r>
                <w:rPr>
                  <w:b/>
                  <w:bCs/>
                  <w:caps/>
                  <w:color w:val="000000"/>
                  <w:lang w:eastAsia="lt-LT"/>
                </w:rPr>
                <w:t xml:space="preserve"> SKYRIUS</w:t>
              </w:r>
            </w:p>
            <w:p>
              <w:pPr>
                <w:keepLines/>
                <w:widowControl w:val="0"/>
                <w:suppressAutoHyphens/>
                <w:jc w:val="center"/>
                <w:rPr>
                  <w:b/>
                  <w:bCs/>
                  <w:caps/>
                  <w:color w:val="000000"/>
                  <w:lang w:eastAsia="lt-LT"/>
                </w:rPr>
              </w:pPr>
              <w:sdt>
                <w:sdtPr>
                  <w:alias w:val="Pavadinimas"/>
                  <w:tag w:val="title_cbcbcf305bdf4bbba322ef42fb3bbf20"/>
                  <w:lock w:val="sdtLocked"/>
                  <w:richText/>
                </w:sdtPr>
                <w:sdtContent>
                  <w:r>
                    <w:rPr>
                      <w:b/>
                      <w:bCs/>
                      <w:caps/>
                      <w:color w:val="000000"/>
                      <w:lang w:eastAsia="lt-LT"/>
                    </w:rPr>
                    <w:t>INFORMACIJOS PATEIKIMAS FINANSINIŲ ATASKAITŲ AIŠKINAMAJAME RAŠTE</w:t>
                  </w:r>
                </w:sdtContent>
              </w:sdt>
            </w:p>
            <w:p>
              <w:pPr>
                <w:widowControl w:val="0"/>
                <w:suppressAutoHyphens/>
                <w:ind w:firstLine="567"/>
                <w:jc w:val="both"/>
                <w:rPr>
                  <w:color w:val="000000"/>
                  <w:lang w:eastAsia="lt-LT"/>
                </w:rPr>
              </w:pPr>
            </w:p>
            <w:sdt>
              <w:sdtPr>
                <w:alias w:val="23 p."/>
                <w:tag w:val="part_b274246736fc4473a03736dc27986952"/>
                <w:lock w:val="sdtLocked"/>
                <w:richText/>
              </w:sdtPr>
              <w:sdtContent>
                <w:p>
                  <w:pPr>
                    <w:widowControl w:val="0"/>
                    <w:tabs>
                      <w:tab w:val="left" w:pos="1134"/>
                    </w:tabs>
                    <w:suppressAutoHyphens/>
                    <w:ind w:firstLine="567"/>
                    <w:jc w:val="both"/>
                    <w:rPr>
                      <w:color w:val="000000"/>
                      <w:lang w:eastAsia="lt-LT"/>
                    </w:rPr>
                  </w:pPr>
                  <w:sdt>
                    <w:sdtPr>
                      <w:alias w:val="Numeris"/>
                      <w:tag w:val="nr_b274246736fc4473a03736dc27986952"/>
                      <w:lock w:val="sdtLocked"/>
                      <w:richText/>
                    </w:sdtPr>
                    <w:sdtContent>
                      <w:r>
                        <w:rPr>
                          <w:rFonts w:eastAsia="Calibri"/>
                          <w:color w:val="000000"/>
                          <w:szCs w:val="22"/>
                        </w:rPr>
                        <w:t>23</w:t>
                      </w:r>
                    </w:sdtContent>
                  </w:sdt>
                  <w:r>
                    <w:rPr>
                      <w:rFonts w:eastAsia="Calibri"/>
                      <w:color w:val="000000"/>
                      <w:szCs w:val="22"/>
                    </w:rPr>
                    <w:t>.</w:t>
                    <w:tab/>
                  </w:r>
                  <w:r>
                    <w:rPr>
                      <w:color w:val="000000"/>
                      <w:lang w:eastAsia="lt-LT"/>
                    </w:rPr>
                    <w:t>Viešojo sektoriaus subjekto ir viešojo sektoriaus subjektų grupės finansinių ataskaitų aiškinamajame rašte (toliau – aiškinamasis raštas) nurodoma:</w:t>
                  </w:r>
                </w:p>
                <w:sdt>
                  <w:sdtPr>
                    <w:alias w:val="23.1 pp."/>
                    <w:tag w:val="part_3154d5ff69a54b36b8bcb62c1b376b29"/>
                    <w:lock w:val="sdtLocked"/>
                    <w:richText/>
                  </w:sdtPr>
                  <w:sdtContent>
                    <w:p>
                      <w:pPr>
                        <w:widowControl w:val="0"/>
                        <w:tabs>
                          <w:tab w:val="left" w:pos="1418"/>
                        </w:tabs>
                        <w:suppressAutoHyphens/>
                        <w:ind w:firstLine="567"/>
                        <w:jc w:val="both"/>
                        <w:rPr>
                          <w:color w:val="000000"/>
                          <w:lang w:eastAsia="lt-LT"/>
                        </w:rPr>
                      </w:pPr>
                      <w:sdt>
                        <w:sdtPr>
                          <w:alias w:val="Numeris"/>
                          <w:tag w:val="nr_3154d5ff69a54b36b8bcb62c1b376b29"/>
                          <w:lock w:val="sdtLocked"/>
                          <w:richText/>
                        </w:sdtPr>
                        <w:sdtContent>
                          <w:r>
                            <w:rPr>
                              <w:rFonts w:eastAsia="Calibri"/>
                              <w:color w:val="000000"/>
                              <w:szCs w:val="22"/>
                            </w:rPr>
                            <w:t>23.1</w:t>
                          </w:r>
                        </w:sdtContent>
                      </w:sdt>
                      <w:r>
                        <w:rPr>
                          <w:rFonts w:eastAsia="Calibri"/>
                          <w:color w:val="000000"/>
                          <w:szCs w:val="22"/>
                        </w:rPr>
                        <w:t>.</w:t>
                        <w:tab/>
                      </w:r>
                      <w:r>
                        <w:rPr>
                          <w:color w:val="000000"/>
                          <w:lang w:eastAsia="lt-LT"/>
                        </w:rPr>
                        <w:t xml:space="preserve"> priežastys, jeigu reikšmingai padidėjo ataskaitinio laikotarpio sąnaudomis pripažintų su darbo santykiais susijusių išmokų suma, palyginti su praėjusio ataskaitinio laikotarpio atitinkama suma;</w:t>
                      </w:r>
                    </w:p>
                  </w:sdtContent>
                </w:sdt>
                <w:sdt>
                  <w:sdtPr>
                    <w:alias w:val="23.2 pp."/>
                    <w:tag w:val="part_e4e916edb6e349809c5e1fdb93eefab4"/>
                    <w:lock w:val="sdtLocked"/>
                    <w:richText/>
                  </w:sdtPr>
                  <w:sdtContent>
                    <w:p>
                      <w:pPr>
                        <w:widowControl w:val="0"/>
                        <w:tabs>
                          <w:tab w:val="left" w:pos="1418"/>
                        </w:tabs>
                        <w:suppressAutoHyphens/>
                        <w:ind w:firstLine="567"/>
                        <w:jc w:val="both"/>
                        <w:rPr>
                          <w:color w:val="000000"/>
                          <w:lang w:eastAsia="lt-LT"/>
                        </w:rPr>
                      </w:pPr>
                      <w:sdt>
                        <w:sdtPr>
                          <w:alias w:val="Numeris"/>
                          <w:tag w:val="nr_e4e916edb6e349809c5e1fdb93eefab4"/>
                          <w:lock w:val="sdtLocked"/>
                          <w:richText/>
                        </w:sdtPr>
                        <w:sdtContent>
                          <w:r>
                            <w:rPr>
                              <w:rFonts w:eastAsia="Calibri"/>
                              <w:color w:val="000000"/>
                              <w:szCs w:val="22"/>
                            </w:rPr>
                            <w:t>23.2</w:t>
                          </w:r>
                        </w:sdtContent>
                      </w:sdt>
                      <w:r>
                        <w:rPr>
                          <w:rFonts w:eastAsia="Calibri"/>
                          <w:color w:val="000000"/>
                          <w:szCs w:val="22"/>
                        </w:rPr>
                        <w:t>.</w:t>
                        <w:tab/>
                      </w:r>
                      <w:r>
                        <w:rPr>
                          <w:lang w:eastAsia="lt-LT"/>
                        </w:rPr>
                        <w:t>informacija apie darbo užmokesčio ir socialinio draudimo sąnaudas pagal Standarto priede nustatytą formą.</w:t>
                      </w:r>
                    </w:p>
                  </w:sdtContent>
                </w:sdt>
              </w:sdtContent>
            </w:sdt>
            <w:sdt>
              <w:sdtPr>
                <w:alias w:val="24 p."/>
                <w:tag w:val="part_eff6f0edfd6544379f1c697d90b8d42d"/>
                <w:lock w:val="sdtLocked"/>
                <w:richText/>
              </w:sdtPr>
              <w:sdtContent>
                <w:p>
                  <w:pPr>
                    <w:widowControl w:val="0"/>
                    <w:tabs>
                      <w:tab w:val="left" w:pos="1134"/>
                    </w:tabs>
                    <w:suppressAutoHyphens/>
                    <w:ind w:firstLine="567"/>
                    <w:jc w:val="both"/>
                    <w:rPr>
                      <w:color w:val="000000"/>
                      <w:spacing w:val="-1"/>
                      <w:lang w:eastAsia="lt-LT"/>
                    </w:rPr>
                  </w:pPr>
                  <w:sdt>
                    <w:sdtPr>
                      <w:alias w:val="Numeris"/>
                      <w:tag w:val="nr_eff6f0edfd6544379f1c697d90b8d42d"/>
                      <w:lock w:val="sdtLocked"/>
                      <w:richText/>
                    </w:sdtPr>
                    <w:sdtContent>
                      <w:r>
                        <w:rPr>
                          <w:rFonts w:eastAsia="Calibri"/>
                          <w:color w:val="000000"/>
                          <w:spacing w:val="-1"/>
                          <w:szCs w:val="22"/>
                        </w:rPr>
                        <w:t>24</w:t>
                      </w:r>
                    </w:sdtContent>
                  </w:sdt>
                  <w:r>
                    <w:rPr>
                      <w:rFonts w:eastAsia="Calibri"/>
                      <w:color w:val="000000"/>
                      <w:spacing w:val="-1"/>
                      <w:szCs w:val="22"/>
                    </w:rPr>
                    <w:t>.</w:t>
                    <w:tab/>
                  </w:r>
                  <w:r>
                    <w:rPr>
                      <w:color w:val="000000"/>
                      <w:spacing w:val="-1"/>
                      <w:lang w:eastAsia="lt-LT"/>
                    </w:rPr>
                    <w:t xml:space="preserve">Kai dėl likvidavimo, reorganizavimo ar kitų priežasčių darbuotojams yra pateikti pasiūlymai nutraukti (pakeisti) darbo santykius ir yra neaiški tiksli išeitinių išmokų suma, mokėjimo laikas, registruojamas neapibrėžtasis įsipareigojimas ir informacija apie jį pateikiama aiškinamajame rašte, kaip nustatyta 18-ajame </w:t>
                  </w:r>
                  <w:r>
                    <w:t>viešojo sektoriaus apskaitos ir finansinės atskaitomybės standarte</w:t>
                  </w:r>
                  <w:r>
                    <w:rPr>
                      <w:color w:val="000000"/>
                      <w:spacing w:val="-1"/>
                      <w:lang w:eastAsia="lt-LT"/>
                    </w:rPr>
                    <w:t xml:space="preserve"> „Atidėjiniai, neapibrėžtieji įsipareigojimai, neapibrėžtasis turtas ir poataskaitiniai įvykiai“, </w:t>
                  </w:r>
                  <w:r>
                    <w:t>patvirtintame Lietuvos Respublikos finansų ministro 2008 m. rugpjūčio 21 d. įsakymu Nr. 1K-252 „Dėl viešojo sektoriaus apskaitos ir finansinės atskaitomybės 18-ojo standarto patvirtinimo“</w:t>
                  </w:r>
                  <w:r>
                    <w:rPr>
                      <w:color w:val="000000"/>
                      <w:spacing w:val="-1"/>
                      <w:lang w:eastAsia="lt-LT"/>
                    </w:rPr>
                    <w:t>.</w:t>
                  </w:r>
                </w:p>
                <w:p>
                  <w:pPr>
                    <w:keepLines/>
                    <w:widowControl w:val="0"/>
                    <w:suppressAutoHyphens/>
                    <w:jc w:val="center"/>
                    <w:rPr>
                      <w:b/>
                      <w:bCs/>
                      <w:caps/>
                      <w:color w:val="000000"/>
                      <w:lang w:eastAsia="lt-LT"/>
                    </w:rPr>
                  </w:pPr>
                </w:p>
              </w:sdtContent>
            </w:sdt>
          </w:sdtContent>
        </w:sdt>
        <w:sdt>
          <w:sdtPr>
            <w:alias w:val="skyrius"/>
            <w:tag w:val="part_03ff5dda1b2f497abbd06727d4211fc5"/>
            <w:lock w:val="sdtLocked"/>
            <w:richText/>
          </w:sdtPr>
          <w:sdtContent>
            <w:p>
              <w:pPr>
                <w:keepLines/>
                <w:widowControl w:val="0"/>
                <w:suppressAutoHyphens/>
                <w:jc w:val="center"/>
                <w:rPr>
                  <w:b/>
                  <w:bCs/>
                  <w:caps/>
                  <w:color w:val="000000"/>
                  <w:lang w:eastAsia="lt-LT"/>
                </w:rPr>
              </w:pPr>
              <w:sdt>
                <w:sdtPr>
                  <w:alias w:val="Numeris"/>
                  <w:tag w:val="nr_03ff5dda1b2f497abbd06727d4211fc5"/>
                  <w:lock w:val="sdtLocked"/>
                  <w:richText/>
                </w:sdtPr>
                <w:sdtContent>
                  <w:r>
                    <w:rPr>
                      <w:b/>
                      <w:bCs/>
                      <w:caps/>
                      <w:color w:val="000000"/>
                      <w:lang w:eastAsia="lt-LT"/>
                    </w:rPr>
                    <w:t>V</w:t>
                  </w:r>
                </w:sdtContent>
              </w:sdt>
              <w:r>
                <w:rPr>
                  <w:b/>
                  <w:bCs/>
                  <w:caps/>
                  <w:color w:val="000000"/>
                  <w:lang w:eastAsia="lt-LT"/>
                </w:rPr>
                <w:t xml:space="preserve"> SKYRIUS</w:t>
              </w:r>
            </w:p>
            <w:p>
              <w:pPr>
                <w:keepLines/>
                <w:widowControl w:val="0"/>
                <w:suppressAutoHyphens/>
                <w:jc w:val="center"/>
                <w:rPr>
                  <w:b/>
                  <w:bCs/>
                  <w:caps/>
                  <w:color w:val="000000"/>
                  <w:lang w:eastAsia="lt-LT"/>
                </w:rPr>
              </w:pPr>
              <w:sdt>
                <w:sdtPr>
                  <w:alias w:val="Pavadinimas"/>
                  <w:tag w:val="title_03ff5dda1b2f497abbd06727d4211fc5"/>
                  <w:lock w:val="sdtLocked"/>
                  <w:richText/>
                </w:sdtPr>
                <w:sdtContent>
                  <w:r>
                    <w:rPr>
                      <w:b/>
                      <w:bCs/>
                      <w:caps/>
                      <w:color w:val="000000"/>
                      <w:lang w:eastAsia="lt-LT"/>
                    </w:rPr>
                    <w:t>BAIGIAMOSIOS NUOSTATOS</w:t>
                  </w:r>
                </w:sdtContent>
              </w:sdt>
            </w:p>
            <w:p>
              <w:pPr>
                <w:widowControl w:val="0"/>
                <w:suppressAutoHyphens/>
                <w:ind w:firstLine="567"/>
                <w:jc w:val="both"/>
                <w:rPr>
                  <w:color w:val="000000"/>
                  <w:lang w:eastAsia="lt-LT"/>
                </w:rPr>
              </w:pPr>
            </w:p>
            <w:sdt>
              <w:sdtPr>
                <w:alias w:val="25 p."/>
                <w:tag w:val="part_0e5906c81e7e48c79882f9817e83ab85"/>
                <w:lock w:val="sdtLocked"/>
                <w:richText/>
              </w:sdtPr>
              <w:sdtContent>
                <w:p>
                  <w:pPr>
                    <w:widowControl w:val="0"/>
                    <w:tabs>
                      <w:tab w:val="left" w:pos="1134"/>
                    </w:tabs>
                    <w:suppressAutoHyphens/>
                    <w:ind w:firstLine="567"/>
                    <w:jc w:val="both"/>
                    <w:rPr>
                      <w:color w:val="000000"/>
                      <w:szCs w:val="24"/>
                      <w:lang w:eastAsia="lt-LT"/>
                    </w:rPr>
                  </w:pPr>
                  <w:sdt>
                    <w:sdtPr>
                      <w:alias w:val="Numeris"/>
                      <w:tag w:val="nr_0e5906c81e7e48c79882f9817e83ab85"/>
                      <w:lock w:val="sdtLocked"/>
                      <w:richText/>
                    </w:sdtPr>
                    <w:sdtContent>
                      <w:r>
                        <w:rPr>
                          <w:rFonts w:eastAsia="Calibri"/>
                          <w:color w:val="000000"/>
                          <w:szCs w:val="24"/>
                        </w:rPr>
                        <w:t>25</w:t>
                      </w:r>
                    </w:sdtContent>
                  </w:sdt>
                  <w:r>
                    <w:rPr>
                      <w:rFonts w:eastAsia="Calibri"/>
                      <w:color w:val="000000"/>
                      <w:szCs w:val="24"/>
                    </w:rPr>
                    <w:t>.</w:t>
                    <w:tab/>
                  </w:r>
                  <w:r>
                    <w:rPr>
                      <w:color w:val="000000"/>
                      <w:szCs w:val="24"/>
                      <w:lang w:eastAsia="lt-LT"/>
                    </w:rPr>
                    <w:t>Viešojo sektoriaus subjektas, taikydamas Standartą pirmą kartą, perkeldamas pradinius likučius, inventorizuoja kiekvieno darbuotojo nepanaudotų kasmetinių atostogų dienas, kad įvertintų sukauptų nepanaudotų atostogų dienų likutį, ir, taikydamas jo vidutinį darbo užmokestį, apskaičiuoja ir užregistruoja apskaitoje pradinį įsipareigojimą darbuotojams (sukauptos sąnaudos). Taip pat įvertinamos ir užregistruojamos kitos prie su darbo santykiais susijusių išmokų priskiriamos sukauptos sąnaudos.</w:t>
                  </w:r>
                </w:p>
              </w:sdtContent>
            </w:sdt>
          </w:sdtContent>
        </w:sdt>
      </w:sdtContent>
    </w:sdt>
    <w:sdt>
      <w:sdtPr>
        <w:alias w:val="pr."/>
        <w:tag w:val="part_747842aca4124d2286c2f12b7a3166be"/>
        <w:lock w:val="sdtLocked"/>
        <w:richText/>
      </w:sdtPr>
      <w:sdtContent>
        <w:p>
          <w:pPr>
            <w:widowControl w:val="0"/>
            <w:tabs>
              <w:tab w:val="left" w:pos="1134"/>
            </w:tabs>
            <w:suppressAutoHyphens/>
            <w:spacing w:line="276" w:lineRule="auto"/>
            <w:ind w:left="567" w:firstLine="2880"/>
            <w:jc w:val="both"/>
            <w:rPr>
              <w:rFonts w:eastAsia="Calibri"/>
              <w:color w:val="000000"/>
              <w:szCs w:val="24"/>
            </w:rPr>
          </w:pPr>
          <w:r>
            <w:rPr>
              <w:rFonts w:eastAsia="Calibri"/>
              <w:color w:val="000000"/>
              <w:szCs w:val="24"/>
            </w:rPr>
            <w:t>___________</w:t>
          </w:r>
        </w:p>
        <w:p>
          <w:pPr>
            <w:tabs>
              <w:tab w:val="center" w:pos="4153"/>
              <w:tab w:val="right" w:pos="8306"/>
            </w:tabs>
          </w:pPr>
        </w:p>
        <w:p/>
        <w:p>
          <w:pPr>
            <w:rPr>
              <w:szCs w:val="24"/>
              <w:lang w:eastAsia="lt-LT"/>
            </w:rPr>
            <w:sectPr>
              <w:headerReference w:type="default" r:id="rId14"/>
              <w:pgSz w:w="11907" w:h="16840" w:code="9"/>
              <w:pgMar w:top="1134" w:right="1134" w:bottom="1134" w:left="1701" w:header="567" w:footer="284" w:gutter="0"/>
              <w:pgNumType w:start="1"/>
              <w:cols w:space="1296"/>
              <w:titlePg/>
              <w:docGrid w:linePitch="360"/>
            </w:sectPr>
          </w:pPr>
        </w:p>
        <w:p>
          <w:pPr>
            <w:tabs>
              <w:tab w:val="center" w:pos="4680"/>
              <w:tab w:val="right" w:pos="9360"/>
            </w:tabs>
            <w:rPr>
              <w:sz w:val="22"/>
              <w:szCs w:val="22"/>
              <w:lang w:val="en-US"/>
            </w:rPr>
          </w:pPr>
        </w:p>
        <w:p>
          <w:pPr>
            <w:ind w:left="9072"/>
            <w:rPr>
              <w:szCs w:val="24"/>
              <w:lang w:val="en-US" w:eastAsia="lt-LT"/>
            </w:rPr>
          </w:pPr>
          <w:r>
            <w:rPr>
              <w:szCs w:val="24"/>
              <w:lang w:eastAsia="lt-LT"/>
            </w:rPr>
            <w:t>24-ojo viešojo sektoriaus apskaitos ir finansinės atskaitomybės standarto „Su darbo santykiais susijusios išmokos“</w:t>
          </w:r>
        </w:p>
        <w:p>
          <w:pPr>
            <w:ind w:left="9072"/>
            <w:rPr>
              <w:szCs w:val="24"/>
              <w:lang w:eastAsia="lt-LT"/>
            </w:rPr>
          </w:pPr>
          <w:r>
            <w:rPr>
              <w:szCs w:val="24"/>
              <w:lang w:eastAsia="lt-LT"/>
            </w:rPr>
            <w:t>priedas</w:t>
          </w:r>
        </w:p>
        <w:p>
          <w:pPr>
            <w:ind w:left="11907"/>
            <w:rPr>
              <w:szCs w:val="24"/>
              <w:lang w:val="en-US" w:eastAsia="lt-LT"/>
            </w:rPr>
          </w:pPr>
        </w:p>
        <w:p>
          <w:pPr>
            <w:ind w:firstLine="720"/>
            <w:jc w:val="center"/>
            <w:rPr>
              <w:b/>
              <w:bCs/>
              <w:lang w:eastAsia="lt-LT"/>
            </w:rPr>
          </w:pPr>
          <w:sdt>
            <w:sdtPr>
              <w:alias w:val="Pavadinimas"/>
              <w:tag w:val="title_747842aca4124d2286c2f12b7a3166be"/>
              <w:lock w:val="sdtLocked"/>
              <w:richText/>
            </w:sdtPr>
            <w:sdtContent>
              <w:r>
                <w:rPr>
                  <w:b/>
                  <w:bCs/>
                  <w:lang w:eastAsia="lt-LT"/>
                </w:rPr>
                <w:t>(Informacijos apie darbo užmokesčio ir socialinio draudimo sąnaudas forma)</w:t>
              </w:r>
            </w:sdtContent>
          </w:sdt>
        </w:p>
        <w:p>
          <w:pPr>
            <w:ind w:firstLine="720"/>
            <w:jc w:val="center"/>
            <w:rPr>
              <w:b/>
              <w:bCs/>
              <w:lang w:eastAsia="lt-LT"/>
            </w:rPr>
          </w:pPr>
        </w:p>
        <w:sdt>
          <w:sdtPr>
            <w:alias w:val="lentele"/>
            <w:tag w:val="part_f53029d4343f41a7a23465c948c3ba4e"/>
            <w:lock w:val="sdtLocked"/>
            <w:richText/>
          </w:sdtPr>
          <w:sdtContent>
            <w:p>
              <w:pPr>
                <w:ind w:firstLine="720"/>
                <w:jc w:val="center"/>
                <w:rPr>
                  <w:b/>
                  <w:bCs/>
                  <w:lang w:eastAsia="lt-LT"/>
                </w:rPr>
              </w:pPr>
              <w:sdt>
                <w:sdtPr>
                  <w:alias w:val="Pavadinimas"/>
                  <w:tag w:val="title_f53029d4343f41a7a23465c948c3ba4e"/>
                  <w:lock w:val="sdtLocked"/>
                  <w:richText/>
                </w:sdtPr>
                <w:sdtContent>
                  <w:r>
                    <w:rPr>
                      <w:b/>
                      <w:bCs/>
                      <w:lang w:eastAsia="lt-LT"/>
                    </w:rPr>
                    <w:t xml:space="preserve">INFORMACIJA APIE DARBO UŽMOKESČIO IR SOCIALINIO DRAUDIMO SĄNAUDAS </w:t>
                  </w:r>
                </w:sdtContent>
              </w:sdt>
            </w:p>
            <w:p>
              <w:pPr>
                <w:ind w:firstLine="720"/>
                <w:jc w:val="center"/>
                <w:rPr>
                  <w:b/>
                  <w:bCs/>
                  <w:lang w:eastAsia="lt-LT"/>
                </w:rPr>
              </w:pPr>
            </w:p>
            <w:tbl>
              <w:tblPr>
                <w:tblW w:w="1520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1"/>
                <w:gridCol w:w="1575"/>
                <w:gridCol w:w="1190"/>
                <w:gridCol w:w="926"/>
                <w:gridCol w:w="1057"/>
                <w:gridCol w:w="1587"/>
                <w:gridCol w:w="1190"/>
                <w:gridCol w:w="529"/>
                <w:gridCol w:w="1190"/>
                <w:gridCol w:w="926"/>
                <w:gridCol w:w="1057"/>
                <w:gridCol w:w="1587"/>
                <w:gridCol w:w="1192"/>
                <w:gridCol w:w="661"/>
              </w:tblGrid>
              <w:tr>
                <w:trPr>
                  <w:trHeight w:val="217"/>
                  <w:tblHeader/>
                </w:trPr>
                <w:tc>
                  <w:tcPr>
                    <w:tcW w:w="541" w:type="dxa"/>
                    <w:vMerge w:val="restart"/>
                    <w:vAlign w:val="center"/>
                  </w:tcPr>
                  <w:p>
                    <w:pPr>
                      <w:tabs>
                        <w:tab w:val="left" w:pos="426"/>
                      </w:tabs>
                      <w:jc w:val="center"/>
                      <w:rPr>
                        <w:b/>
                        <w:sz w:val="18"/>
                        <w:szCs w:val="22"/>
                        <w:lang w:eastAsia="lt-LT"/>
                      </w:rPr>
                    </w:pPr>
                    <w:r>
                      <w:rPr>
                        <w:b/>
                        <w:sz w:val="18"/>
                        <w:szCs w:val="22"/>
                        <w:lang w:eastAsia="lt-LT"/>
                      </w:rPr>
                      <w:t>Eil. Nr.</w:t>
                    </w:r>
                  </w:p>
                </w:tc>
                <w:tc>
                  <w:tcPr>
                    <w:tcW w:w="1575" w:type="dxa"/>
                    <w:vMerge w:val="restart"/>
                    <w:shd w:val="clear" w:color="auto" w:fill="auto"/>
                    <w:vAlign w:val="center"/>
                  </w:tcPr>
                  <w:p>
                    <w:pPr>
                      <w:tabs>
                        <w:tab w:val="left" w:pos="426"/>
                      </w:tabs>
                      <w:jc w:val="center"/>
                      <w:rPr>
                        <w:b/>
                        <w:sz w:val="18"/>
                        <w:szCs w:val="22"/>
                        <w:lang w:eastAsia="lt-LT"/>
                      </w:rPr>
                    </w:pPr>
                    <w:r>
                      <w:rPr>
                        <w:b/>
                        <w:sz w:val="18"/>
                        <w:szCs w:val="22"/>
                        <w:lang w:eastAsia="lt-LT"/>
                      </w:rPr>
                      <w:t>Grupė</w:t>
                    </w:r>
                  </w:p>
                </w:tc>
                <w:tc>
                  <w:tcPr>
                    <w:tcW w:w="6479" w:type="dxa"/>
                    <w:gridSpan w:val="6"/>
                  </w:tcPr>
                  <w:p>
                    <w:pPr>
                      <w:tabs>
                        <w:tab w:val="left" w:pos="426"/>
                      </w:tabs>
                      <w:jc w:val="center"/>
                      <w:rPr>
                        <w:b/>
                        <w:sz w:val="18"/>
                        <w:szCs w:val="22"/>
                        <w:lang w:eastAsia="lt-LT"/>
                      </w:rPr>
                    </w:pPr>
                    <w:r>
                      <w:rPr>
                        <w:b/>
                        <w:sz w:val="18"/>
                        <w:szCs w:val="22"/>
                        <w:lang w:eastAsia="lt-LT"/>
                      </w:rPr>
                      <w:t>Ataskaitinis laikotarpis</w:t>
                    </w:r>
                  </w:p>
                </w:tc>
                <w:tc>
                  <w:tcPr>
                    <w:tcW w:w="6613" w:type="dxa"/>
                    <w:gridSpan w:val="6"/>
                  </w:tcPr>
                  <w:p>
                    <w:pPr>
                      <w:tabs>
                        <w:tab w:val="left" w:pos="426"/>
                      </w:tabs>
                      <w:jc w:val="center"/>
                      <w:rPr>
                        <w:b/>
                        <w:sz w:val="18"/>
                        <w:szCs w:val="22"/>
                        <w:lang w:eastAsia="lt-LT"/>
                      </w:rPr>
                    </w:pPr>
                    <w:r>
                      <w:rPr>
                        <w:b/>
                        <w:sz w:val="18"/>
                        <w:szCs w:val="22"/>
                        <w:lang w:eastAsia="lt-LT"/>
                      </w:rPr>
                      <w:t>Praėjęs ataskaitinis laikotarpis</w:t>
                    </w:r>
                  </w:p>
                </w:tc>
              </w:tr>
              <w:tr>
                <w:trPr>
                  <w:trHeight w:val="237"/>
                  <w:tblHeader/>
                </w:trPr>
                <w:tc>
                  <w:tcPr>
                    <w:tcW w:w="541" w:type="dxa"/>
                    <w:vMerge/>
                    <w:vAlign w:val="center"/>
                  </w:tcPr>
                  <w:p>
                    <w:pPr>
                      <w:tabs>
                        <w:tab w:val="left" w:pos="426"/>
                      </w:tabs>
                      <w:jc w:val="center"/>
                      <w:rPr>
                        <w:b/>
                        <w:sz w:val="18"/>
                        <w:szCs w:val="22"/>
                        <w:lang w:eastAsia="lt-LT"/>
                      </w:rPr>
                    </w:pPr>
                  </w:p>
                </w:tc>
                <w:tc>
                  <w:tcPr>
                    <w:tcW w:w="1575" w:type="dxa"/>
                    <w:vMerge/>
                    <w:shd w:val="clear" w:color="auto" w:fill="auto"/>
                  </w:tcPr>
                  <w:p>
                    <w:pPr>
                      <w:tabs>
                        <w:tab w:val="left" w:pos="426"/>
                      </w:tabs>
                      <w:jc w:val="both"/>
                      <w:rPr>
                        <w:b/>
                        <w:sz w:val="18"/>
                        <w:szCs w:val="22"/>
                        <w:lang w:eastAsia="lt-LT"/>
                      </w:rPr>
                    </w:pPr>
                  </w:p>
                </w:tc>
                <w:tc>
                  <w:tcPr>
                    <w:tcW w:w="1190" w:type="dxa"/>
                    <w:vMerge w:val="restart"/>
                    <w:shd w:val="clear" w:color="auto" w:fill="auto"/>
                    <w:vAlign w:val="center"/>
                  </w:tcPr>
                  <w:p>
                    <w:pPr>
                      <w:tabs>
                        <w:tab w:val="left" w:pos="426"/>
                      </w:tabs>
                      <w:jc w:val="center"/>
                      <w:rPr>
                        <w:b/>
                        <w:sz w:val="18"/>
                        <w:szCs w:val="22"/>
                        <w:lang w:eastAsia="lt-LT"/>
                      </w:rPr>
                    </w:pPr>
                    <w:r>
                      <w:rPr>
                        <w:b/>
                        <w:sz w:val="18"/>
                        <w:szCs w:val="22"/>
                        <w:lang w:eastAsia="lt-LT"/>
                      </w:rPr>
                      <w:t>Vidutinis darbuotojų skaičius</w:t>
                    </w:r>
                  </w:p>
                </w:tc>
                <w:tc>
                  <w:tcPr>
                    <w:tcW w:w="5289" w:type="dxa"/>
                    <w:gridSpan w:val="5"/>
                  </w:tcPr>
                  <w:p>
                    <w:pPr>
                      <w:tabs>
                        <w:tab w:val="left" w:pos="426"/>
                      </w:tabs>
                      <w:jc w:val="center"/>
                      <w:rPr>
                        <w:b/>
                        <w:sz w:val="18"/>
                        <w:szCs w:val="22"/>
                        <w:lang w:eastAsia="lt-LT"/>
                      </w:rPr>
                    </w:pPr>
                    <w:r>
                      <w:rPr>
                        <w:b/>
                        <w:sz w:val="18"/>
                        <w:szCs w:val="22"/>
                        <w:lang w:eastAsia="lt-LT"/>
                      </w:rPr>
                      <w:t>Darbo užmokesčio sąnaudos</w:t>
                    </w:r>
                  </w:p>
                </w:tc>
                <w:tc>
                  <w:tcPr>
                    <w:tcW w:w="1190" w:type="dxa"/>
                    <w:vMerge w:val="restart"/>
                    <w:shd w:val="clear" w:color="auto" w:fill="auto"/>
                    <w:vAlign w:val="center"/>
                  </w:tcPr>
                  <w:p>
                    <w:pPr>
                      <w:tabs>
                        <w:tab w:val="left" w:pos="426"/>
                      </w:tabs>
                      <w:jc w:val="center"/>
                      <w:rPr>
                        <w:b/>
                        <w:sz w:val="18"/>
                        <w:szCs w:val="22"/>
                        <w:lang w:eastAsia="lt-LT"/>
                      </w:rPr>
                    </w:pPr>
                    <w:r>
                      <w:rPr>
                        <w:b/>
                        <w:sz w:val="18"/>
                        <w:szCs w:val="22"/>
                        <w:lang w:eastAsia="lt-LT"/>
                      </w:rPr>
                      <w:t>Vidutinis darbuotojų skaičius</w:t>
                    </w:r>
                  </w:p>
                </w:tc>
                <w:tc>
                  <w:tcPr>
                    <w:tcW w:w="5423" w:type="dxa"/>
                    <w:gridSpan w:val="5"/>
                  </w:tcPr>
                  <w:p>
                    <w:pPr>
                      <w:tabs>
                        <w:tab w:val="left" w:pos="426"/>
                      </w:tabs>
                      <w:jc w:val="center"/>
                      <w:rPr>
                        <w:b/>
                        <w:sz w:val="18"/>
                        <w:szCs w:val="22"/>
                        <w:lang w:eastAsia="lt-LT"/>
                      </w:rPr>
                    </w:pPr>
                    <w:r>
                      <w:rPr>
                        <w:b/>
                        <w:sz w:val="18"/>
                        <w:szCs w:val="22"/>
                        <w:lang w:eastAsia="lt-LT"/>
                      </w:rPr>
                      <w:t>Darbo užmokesčio sąnaudos</w:t>
                    </w:r>
                  </w:p>
                </w:tc>
              </w:tr>
              <w:tr>
                <w:trPr>
                  <w:trHeight w:val="237"/>
                  <w:tblHeader/>
                </w:trPr>
                <w:tc>
                  <w:tcPr>
                    <w:tcW w:w="541" w:type="dxa"/>
                    <w:vMerge/>
                    <w:vAlign w:val="center"/>
                  </w:tcPr>
                  <w:p>
                    <w:pPr>
                      <w:tabs>
                        <w:tab w:val="left" w:pos="426"/>
                      </w:tabs>
                      <w:jc w:val="center"/>
                      <w:rPr>
                        <w:b/>
                        <w:sz w:val="18"/>
                        <w:szCs w:val="22"/>
                        <w:lang w:eastAsia="lt-LT"/>
                      </w:rPr>
                    </w:pPr>
                  </w:p>
                </w:tc>
                <w:tc>
                  <w:tcPr>
                    <w:tcW w:w="1575" w:type="dxa"/>
                    <w:vMerge/>
                    <w:shd w:val="clear" w:color="auto" w:fill="auto"/>
                  </w:tcPr>
                  <w:p>
                    <w:pPr>
                      <w:tabs>
                        <w:tab w:val="left" w:pos="426"/>
                      </w:tabs>
                      <w:jc w:val="both"/>
                      <w:rPr>
                        <w:b/>
                        <w:sz w:val="18"/>
                        <w:szCs w:val="22"/>
                        <w:lang w:eastAsia="lt-LT"/>
                      </w:rPr>
                    </w:pPr>
                  </w:p>
                </w:tc>
                <w:tc>
                  <w:tcPr>
                    <w:tcW w:w="1190" w:type="dxa"/>
                    <w:vMerge/>
                    <w:shd w:val="clear" w:color="auto" w:fill="auto"/>
                  </w:tcPr>
                  <w:p>
                    <w:pPr>
                      <w:tabs>
                        <w:tab w:val="left" w:pos="426"/>
                      </w:tabs>
                      <w:jc w:val="center"/>
                      <w:rPr>
                        <w:b/>
                        <w:sz w:val="18"/>
                        <w:szCs w:val="22"/>
                        <w:lang w:eastAsia="lt-LT"/>
                      </w:rPr>
                    </w:pPr>
                  </w:p>
                </w:tc>
                <w:tc>
                  <w:tcPr>
                    <w:tcW w:w="926" w:type="dxa"/>
                    <w:shd w:val="clear" w:color="auto" w:fill="auto"/>
                  </w:tcPr>
                  <w:p>
                    <w:pPr>
                      <w:tabs>
                        <w:tab w:val="left" w:pos="426"/>
                      </w:tabs>
                      <w:jc w:val="center"/>
                      <w:rPr>
                        <w:sz w:val="18"/>
                        <w:lang w:eastAsia="lt-LT"/>
                      </w:rPr>
                    </w:pPr>
                    <w:r>
                      <w:rPr>
                        <w:sz w:val="18"/>
                        <w:lang w:eastAsia="lt-LT"/>
                      </w:rPr>
                      <w:t>Pareiginė alga</w:t>
                    </w:r>
                  </w:p>
                </w:tc>
                <w:tc>
                  <w:tcPr>
                    <w:tcW w:w="1057" w:type="dxa"/>
                  </w:tcPr>
                  <w:p>
                    <w:pPr>
                      <w:tabs>
                        <w:tab w:val="left" w:pos="426"/>
                      </w:tabs>
                      <w:jc w:val="center"/>
                      <w:rPr>
                        <w:sz w:val="18"/>
                        <w:lang w:eastAsia="lt-LT"/>
                      </w:rPr>
                    </w:pPr>
                    <w:r>
                      <w:rPr>
                        <w:sz w:val="18"/>
                        <w:lang w:eastAsia="lt-LT"/>
                      </w:rPr>
                      <w:t>Priedai, priemokos, premijos</w:t>
                    </w:r>
                  </w:p>
                </w:tc>
                <w:tc>
                  <w:tcPr>
                    <w:tcW w:w="1587" w:type="dxa"/>
                    <w:shd w:val="clear" w:color="auto" w:fill="auto"/>
                  </w:tcPr>
                  <w:p>
                    <w:pPr>
                      <w:tabs>
                        <w:tab w:val="left" w:pos="426"/>
                      </w:tabs>
                      <w:jc w:val="center"/>
                      <w:rPr>
                        <w:b/>
                        <w:sz w:val="18"/>
                        <w:lang w:eastAsia="lt-LT"/>
                      </w:rPr>
                    </w:pPr>
                    <w:r>
                      <w:rPr>
                        <w:sz w:val="18"/>
                        <w:lang w:eastAsia="lt-LT"/>
                      </w:rPr>
                      <w:t>Kitos darbuotojo skatinimo priemonės ir</w:t>
                    </w:r>
                    <w:r>
                      <w:rPr>
                        <w:sz w:val="18"/>
                        <w:vertAlign w:val="superscript"/>
                        <w:lang w:eastAsia="lt-LT"/>
                      </w:rPr>
                      <w:t xml:space="preserve"> </w:t>
                    </w:r>
                    <w:r>
                      <w:rPr>
                        <w:sz w:val="18"/>
                        <w:lang w:eastAsia="lt-LT"/>
                      </w:rPr>
                      <w:t>darbuotojo išlaidų kompensavimas</w:t>
                    </w:r>
                  </w:p>
                </w:tc>
                <w:tc>
                  <w:tcPr>
                    <w:tcW w:w="1190" w:type="dxa"/>
                  </w:tcPr>
                  <w:p>
                    <w:pPr>
                      <w:tabs>
                        <w:tab w:val="left" w:pos="426"/>
                      </w:tabs>
                      <w:jc w:val="center"/>
                      <w:rPr>
                        <w:sz w:val="18"/>
                        <w:lang w:eastAsia="lt-LT"/>
                      </w:rPr>
                    </w:pPr>
                    <w:r>
                      <w:rPr>
                        <w:sz w:val="18"/>
                        <w:lang w:eastAsia="lt-LT"/>
                      </w:rPr>
                      <w:t>Išmokos diplomatams ir jų šeimų nariams</w:t>
                    </w:r>
                  </w:p>
                </w:tc>
                <w:tc>
                  <w:tcPr>
                    <w:tcW w:w="529" w:type="dxa"/>
                  </w:tcPr>
                  <w:p>
                    <w:pPr>
                      <w:tabs>
                        <w:tab w:val="left" w:pos="426"/>
                      </w:tabs>
                      <w:jc w:val="center"/>
                      <w:rPr>
                        <w:sz w:val="18"/>
                        <w:lang w:eastAsia="lt-LT"/>
                      </w:rPr>
                    </w:pPr>
                    <w:r>
                      <w:rPr>
                        <w:sz w:val="18"/>
                        <w:lang w:eastAsia="lt-LT"/>
                      </w:rPr>
                      <w:t>Kita</w:t>
                    </w:r>
                  </w:p>
                </w:tc>
                <w:tc>
                  <w:tcPr>
                    <w:tcW w:w="1190" w:type="dxa"/>
                    <w:vMerge/>
                    <w:shd w:val="clear" w:color="auto" w:fill="auto"/>
                  </w:tcPr>
                  <w:p>
                    <w:pPr>
                      <w:tabs>
                        <w:tab w:val="left" w:pos="426"/>
                      </w:tabs>
                      <w:jc w:val="center"/>
                      <w:rPr>
                        <w:b/>
                        <w:sz w:val="18"/>
                        <w:szCs w:val="22"/>
                        <w:lang w:eastAsia="lt-LT"/>
                      </w:rPr>
                    </w:pPr>
                  </w:p>
                </w:tc>
                <w:tc>
                  <w:tcPr>
                    <w:tcW w:w="926" w:type="dxa"/>
                    <w:shd w:val="clear" w:color="auto" w:fill="auto"/>
                  </w:tcPr>
                  <w:p>
                    <w:pPr>
                      <w:tabs>
                        <w:tab w:val="left" w:pos="426"/>
                      </w:tabs>
                      <w:jc w:val="center"/>
                      <w:rPr>
                        <w:sz w:val="18"/>
                        <w:lang w:eastAsia="lt-LT"/>
                      </w:rPr>
                    </w:pPr>
                    <w:r>
                      <w:rPr>
                        <w:sz w:val="18"/>
                        <w:lang w:eastAsia="lt-LT"/>
                      </w:rPr>
                      <w:t>Pareiginė alga</w:t>
                    </w:r>
                  </w:p>
                </w:tc>
                <w:tc>
                  <w:tcPr>
                    <w:tcW w:w="1057" w:type="dxa"/>
                  </w:tcPr>
                  <w:p>
                    <w:pPr>
                      <w:tabs>
                        <w:tab w:val="left" w:pos="426"/>
                      </w:tabs>
                      <w:jc w:val="center"/>
                      <w:rPr>
                        <w:sz w:val="18"/>
                        <w:lang w:eastAsia="lt-LT"/>
                      </w:rPr>
                    </w:pPr>
                    <w:r>
                      <w:rPr>
                        <w:sz w:val="18"/>
                        <w:lang w:eastAsia="lt-LT"/>
                      </w:rPr>
                      <w:t>Priedai, priemokos, premijos</w:t>
                    </w:r>
                  </w:p>
                </w:tc>
                <w:tc>
                  <w:tcPr>
                    <w:tcW w:w="1587" w:type="dxa"/>
                    <w:shd w:val="clear" w:color="auto" w:fill="auto"/>
                  </w:tcPr>
                  <w:p>
                    <w:pPr>
                      <w:tabs>
                        <w:tab w:val="left" w:pos="426"/>
                      </w:tabs>
                      <w:jc w:val="center"/>
                      <w:rPr>
                        <w:sz w:val="18"/>
                        <w:lang w:eastAsia="lt-LT"/>
                      </w:rPr>
                    </w:pPr>
                    <w:r>
                      <w:rPr>
                        <w:sz w:val="18"/>
                        <w:lang w:eastAsia="lt-LT"/>
                      </w:rPr>
                      <w:t>Kitos darbuotojo skatinimo priemonės ir darbuotojo išlaidų kompensavimas</w:t>
                    </w:r>
                  </w:p>
                </w:tc>
                <w:tc>
                  <w:tcPr>
                    <w:tcW w:w="1192" w:type="dxa"/>
                  </w:tcPr>
                  <w:p>
                    <w:pPr>
                      <w:tabs>
                        <w:tab w:val="left" w:pos="426"/>
                      </w:tabs>
                      <w:jc w:val="center"/>
                      <w:rPr>
                        <w:sz w:val="18"/>
                        <w:lang w:eastAsia="lt-LT"/>
                      </w:rPr>
                    </w:pPr>
                    <w:r>
                      <w:rPr>
                        <w:sz w:val="18"/>
                        <w:lang w:eastAsia="lt-LT"/>
                      </w:rPr>
                      <w:t>Išmokos diplomatams ir jų šeimų nariams</w:t>
                    </w:r>
                  </w:p>
                </w:tc>
                <w:tc>
                  <w:tcPr>
                    <w:tcW w:w="661" w:type="dxa"/>
                  </w:tcPr>
                  <w:p>
                    <w:pPr>
                      <w:tabs>
                        <w:tab w:val="left" w:pos="426"/>
                      </w:tabs>
                      <w:jc w:val="center"/>
                      <w:rPr>
                        <w:sz w:val="18"/>
                        <w:lang w:eastAsia="lt-LT"/>
                      </w:rPr>
                    </w:pPr>
                    <w:r>
                      <w:rPr>
                        <w:sz w:val="18"/>
                        <w:lang w:eastAsia="lt-LT"/>
                      </w:rPr>
                      <w:t>Kita</w:t>
                    </w:r>
                  </w:p>
                </w:tc>
              </w:tr>
              <w:tr>
                <w:trPr>
                  <w:trHeight w:val="189"/>
                  <w:tblHeader/>
                </w:trPr>
                <w:tc>
                  <w:tcPr>
                    <w:tcW w:w="541" w:type="dxa"/>
                    <w:vAlign w:val="center"/>
                  </w:tcPr>
                  <w:p>
                    <w:pPr>
                      <w:tabs>
                        <w:tab w:val="left" w:pos="426"/>
                      </w:tabs>
                      <w:jc w:val="center"/>
                      <w:rPr>
                        <w:b/>
                        <w:sz w:val="18"/>
                        <w:szCs w:val="22"/>
                        <w:lang w:eastAsia="lt-LT"/>
                      </w:rPr>
                    </w:pPr>
                  </w:p>
                </w:tc>
                <w:tc>
                  <w:tcPr>
                    <w:tcW w:w="1575" w:type="dxa"/>
                    <w:shd w:val="clear" w:color="auto" w:fill="auto"/>
                    <w:vAlign w:val="center"/>
                  </w:tcPr>
                  <w:p>
                    <w:pPr>
                      <w:tabs>
                        <w:tab w:val="left" w:pos="426"/>
                      </w:tabs>
                      <w:jc w:val="center"/>
                      <w:rPr>
                        <w:sz w:val="18"/>
                        <w:szCs w:val="18"/>
                        <w:lang w:eastAsia="lt-LT"/>
                      </w:rPr>
                    </w:pPr>
                    <w:r>
                      <w:rPr>
                        <w:sz w:val="18"/>
                        <w:szCs w:val="18"/>
                        <w:lang w:eastAsia="lt-LT"/>
                      </w:rPr>
                      <w:t>1</w:t>
                    </w:r>
                  </w:p>
                </w:tc>
                <w:tc>
                  <w:tcPr>
                    <w:tcW w:w="1190" w:type="dxa"/>
                    <w:shd w:val="clear" w:color="auto" w:fill="auto"/>
                    <w:vAlign w:val="center"/>
                  </w:tcPr>
                  <w:p>
                    <w:pPr>
                      <w:tabs>
                        <w:tab w:val="left" w:pos="426"/>
                      </w:tabs>
                      <w:jc w:val="center"/>
                      <w:rPr>
                        <w:sz w:val="18"/>
                        <w:szCs w:val="18"/>
                        <w:lang w:eastAsia="lt-LT"/>
                      </w:rPr>
                    </w:pPr>
                    <w:r>
                      <w:rPr>
                        <w:sz w:val="18"/>
                        <w:szCs w:val="18"/>
                        <w:lang w:eastAsia="lt-LT"/>
                      </w:rPr>
                      <w:t>2</w:t>
                    </w:r>
                  </w:p>
                </w:tc>
                <w:tc>
                  <w:tcPr>
                    <w:tcW w:w="926" w:type="dxa"/>
                    <w:shd w:val="clear" w:color="auto" w:fill="auto"/>
                    <w:vAlign w:val="center"/>
                  </w:tcPr>
                  <w:p>
                    <w:pPr>
                      <w:tabs>
                        <w:tab w:val="left" w:pos="426"/>
                      </w:tabs>
                      <w:jc w:val="center"/>
                      <w:rPr>
                        <w:sz w:val="18"/>
                        <w:szCs w:val="18"/>
                        <w:lang w:eastAsia="lt-LT"/>
                      </w:rPr>
                    </w:pPr>
                    <w:r>
                      <w:rPr>
                        <w:sz w:val="18"/>
                        <w:szCs w:val="18"/>
                        <w:lang w:eastAsia="lt-LT"/>
                      </w:rPr>
                      <w:t>3</w:t>
                    </w:r>
                  </w:p>
                </w:tc>
                <w:tc>
                  <w:tcPr>
                    <w:tcW w:w="1057" w:type="dxa"/>
                  </w:tcPr>
                  <w:p>
                    <w:pPr>
                      <w:tabs>
                        <w:tab w:val="left" w:pos="426"/>
                      </w:tabs>
                      <w:jc w:val="center"/>
                      <w:rPr>
                        <w:sz w:val="18"/>
                        <w:szCs w:val="18"/>
                        <w:lang w:eastAsia="lt-LT"/>
                      </w:rPr>
                    </w:pPr>
                    <w:r>
                      <w:rPr>
                        <w:sz w:val="18"/>
                        <w:szCs w:val="18"/>
                        <w:lang w:eastAsia="lt-LT"/>
                      </w:rPr>
                      <w:t>4</w:t>
                    </w:r>
                  </w:p>
                </w:tc>
                <w:tc>
                  <w:tcPr>
                    <w:tcW w:w="1587" w:type="dxa"/>
                    <w:shd w:val="clear" w:color="auto" w:fill="auto"/>
                    <w:vAlign w:val="center"/>
                  </w:tcPr>
                  <w:p>
                    <w:pPr>
                      <w:tabs>
                        <w:tab w:val="left" w:pos="426"/>
                      </w:tabs>
                      <w:jc w:val="center"/>
                      <w:rPr>
                        <w:sz w:val="18"/>
                        <w:szCs w:val="18"/>
                        <w:lang w:eastAsia="lt-LT"/>
                      </w:rPr>
                    </w:pPr>
                    <w:r>
                      <w:rPr>
                        <w:sz w:val="18"/>
                        <w:szCs w:val="18"/>
                        <w:lang w:eastAsia="lt-LT"/>
                      </w:rPr>
                      <w:t>5</w:t>
                    </w:r>
                  </w:p>
                </w:tc>
                <w:tc>
                  <w:tcPr>
                    <w:tcW w:w="1190" w:type="dxa"/>
                  </w:tcPr>
                  <w:p>
                    <w:pPr>
                      <w:tabs>
                        <w:tab w:val="left" w:pos="426"/>
                      </w:tabs>
                      <w:jc w:val="center"/>
                      <w:rPr>
                        <w:sz w:val="18"/>
                        <w:szCs w:val="18"/>
                        <w:lang w:eastAsia="lt-LT"/>
                      </w:rPr>
                    </w:pPr>
                    <w:r>
                      <w:rPr>
                        <w:sz w:val="18"/>
                        <w:szCs w:val="18"/>
                        <w:lang w:eastAsia="lt-LT"/>
                      </w:rPr>
                      <w:t>6</w:t>
                    </w:r>
                  </w:p>
                </w:tc>
                <w:tc>
                  <w:tcPr>
                    <w:tcW w:w="529" w:type="dxa"/>
                  </w:tcPr>
                  <w:p>
                    <w:pPr>
                      <w:tabs>
                        <w:tab w:val="left" w:pos="426"/>
                      </w:tabs>
                      <w:jc w:val="center"/>
                      <w:rPr>
                        <w:sz w:val="18"/>
                        <w:szCs w:val="18"/>
                        <w:lang w:eastAsia="lt-LT"/>
                      </w:rPr>
                    </w:pPr>
                    <w:r>
                      <w:rPr>
                        <w:sz w:val="18"/>
                        <w:szCs w:val="18"/>
                        <w:lang w:eastAsia="lt-LT"/>
                      </w:rPr>
                      <w:t>7</w:t>
                    </w:r>
                  </w:p>
                </w:tc>
                <w:tc>
                  <w:tcPr>
                    <w:tcW w:w="1190" w:type="dxa"/>
                    <w:shd w:val="clear" w:color="auto" w:fill="auto"/>
                    <w:vAlign w:val="center"/>
                  </w:tcPr>
                  <w:p>
                    <w:pPr>
                      <w:tabs>
                        <w:tab w:val="left" w:pos="426"/>
                      </w:tabs>
                      <w:jc w:val="center"/>
                      <w:rPr>
                        <w:sz w:val="18"/>
                        <w:szCs w:val="18"/>
                        <w:lang w:eastAsia="lt-LT"/>
                      </w:rPr>
                    </w:pPr>
                    <w:r>
                      <w:rPr>
                        <w:sz w:val="18"/>
                        <w:szCs w:val="18"/>
                        <w:lang w:eastAsia="lt-LT"/>
                      </w:rPr>
                      <w:t>8</w:t>
                    </w:r>
                  </w:p>
                </w:tc>
                <w:tc>
                  <w:tcPr>
                    <w:tcW w:w="926" w:type="dxa"/>
                    <w:shd w:val="clear" w:color="auto" w:fill="auto"/>
                    <w:vAlign w:val="center"/>
                  </w:tcPr>
                  <w:p>
                    <w:pPr>
                      <w:tabs>
                        <w:tab w:val="left" w:pos="426"/>
                      </w:tabs>
                      <w:jc w:val="center"/>
                      <w:rPr>
                        <w:sz w:val="18"/>
                        <w:szCs w:val="18"/>
                        <w:lang w:eastAsia="lt-LT"/>
                      </w:rPr>
                    </w:pPr>
                    <w:r>
                      <w:rPr>
                        <w:sz w:val="18"/>
                        <w:szCs w:val="18"/>
                        <w:lang w:eastAsia="lt-LT"/>
                      </w:rPr>
                      <w:t>9</w:t>
                    </w:r>
                  </w:p>
                </w:tc>
                <w:tc>
                  <w:tcPr>
                    <w:tcW w:w="1057" w:type="dxa"/>
                  </w:tcPr>
                  <w:p>
                    <w:pPr>
                      <w:tabs>
                        <w:tab w:val="left" w:pos="426"/>
                      </w:tabs>
                      <w:jc w:val="center"/>
                      <w:rPr>
                        <w:sz w:val="18"/>
                        <w:szCs w:val="18"/>
                        <w:lang w:eastAsia="lt-LT"/>
                      </w:rPr>
                    </w:pPr>
                    <w:r>
                      <w:rPr>
                        <w:sz w:val="18"/>
                        <w:szCs w:val="18"/>
                        <w:lang w:eastAsia="lt-LT"/>
                      </w:rPr>
                      <w:t>10</w:t>
                    </w:r>
                  </w:p>
                </w:tc>
                <w:tc>
                  <w:tcPr>
                    <w:tcW w:w="1587" w:type="dxa"/>
                    <w:shd w:val="clear" w:color="auto" w:fill="auto"/>
                    <w:vAlign w:val="center"/>
                  </w:tcPr>
                  <w:p>
                    <w:pPr>
                      <w:tabs>
                        <w:tab w:val="left" w:pos="426"/>
                      </w:tabs>
                      <w:jc w:val="center"/>
                      <w:rPr>
                        <w:sz w:val="18"/>
                        <w:szCs w:val="18"/>
                        <w:lang w:eastAsia="lt-LT"/>
                      </w:rPr>
                    </w:pPr>
                    <w:r>
                      <w:rPr>
                        <w:sz w:val="18"/>
                        <w:szCs w:val="18"/>
                        <w:lang w:eastAsia="lt-LT"/>
                      </w:rPr>
                      <w:t>11</w:t>
                    </w:r>
                  </w:p>
                </w:tc>
                <w:tc>
                  <w:tcPr>
                    <w:tcW w:w="1192" w:type="dxa"/>
                  </w:tcPr>
                  <w:p>
                    <w:pPr>
                      <w:tabs>
                        <w:tab w:val="left" w:pos="426"/>
                      </w:tabs>
                      <w:jc w:val="center"/>
                      <w:rPr>
                        <w:sz w:val="18"/>
                        <w:szCs w:val="18"/>
                        <w:lang w:eastAsia="lt-LT"/>
                      </w:rPr>
                    </w:pPr>
                    <w:r>
                      <w:rPr>
                        <w:sz w:val="18"/>
                        <w:szCs w:val="18"/>
                        <w:lang w:eastAsia="lt-LT"/>
                      </w:rPr>
                      <w:t>12</w:t>
                    </w:r>
                  </w:p>
                </w:tc>
                <w:tc>
                  <w:tcPr>
                    <w:tcW w:w="661" w:type="dxa"/>
                  </w:tcPr>
                  <w:p>
                    <w:pPr>
                      <w:tabs>
                        <w:tab w:val="left" w:pos="426"/>
                      </w:tabs>
                      <w:jc w:val="center"/>
                      <w:rPr>
                        <w:sz w:val="18"/>
                        <w:szCs w:val="18"/>
                        <w:lang w:eastAsia="lt-LT"/>
                      </w:rPr>
                    </w:pPr>
                    <w:r>
                      <w:rPr>
                        <w:sz w:val="18"/>
                        <w:szCs w:val="18"/>
                        <w:lang w:eastAsia="lt-LT"/>
                      </w:rPr>
                      <w:t>13</w:t>
                    </w:r>
                  </w:p>
                </w:tc>
              </w:tr>
              <w:tr>
                <w:trPr>
                  <w:trHeight w:val="420"/>
                </w:trPr>
                <w:tc>
                  <w:tcPr>
                    <w:tcW w:w="541" w:type="dxa"/>
                    <w:vAlign w:val="center"/>
                  </w:tcPr>
                  <w:p>
                    <w:pPr>
                      <w:tabs>
                        <w:tab w:val="left" w:pos="426"/>
                      </w:tabs>
                      <w:jc w:val="center"/>
                      <w:rPr>
                        <w:b/>
                        <w:sz w:val="18"/>
                        <w:szCs w:val="22"/>
                        <w:lang w:eastAsia="lt-LT"/>
                      </w:rPr>
                    </w:pPr>
                    <w:r>
                      <w:rPr>
                        <w:b/>
                        <w:sz w:val="18"/>
                        <w:szCs w:val="22"/>
                        <w:lang w:eastAsia="lt-LT"/>
                      </w:rPr>
                      <w:t>1.</w:t>
                    </w:r>
                  </w:p>
                </w:tc>
                <w:tc>
                  <w:tcPr>
                    <w:tcW w:w="1575" w:type="dxa"/>
                    <w:shd w:val="clear" w:color="auto" w:fill="auto"/>
                    <w:vAlign w:val="center"/>
                  </w:tcPr>
                  <w:p>
                    <w:pPr>
                      <w:rPr>
                        <w:b/>
                        <w:sz w:val="18"/>
                        <w:szCs w:val="22"/>
                        <w:lang w:eastAsia="lt-LT"/>
                      </w:rPr>
                    </w:pPr>
                    <w:r>
                      <w:rPr>
                        <w:b/>
                        <w:sz w:val="18"/>
                        <w:szCs w:val="22"/>
                        <w:lang w:eastAsia="lt-LT"/>
                      </w:rPr>
                      <w:t>Valstybės politikai ir valstybės pareigūnai</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395"/>
                </w:trPr>
                <w:tc>
                  <w:tcPr>
                    <w:tcW w:w="541" w:type="dxa"/>
                    <w:vAlign w:val="center"/>
                  </w:tcPr>
                  <w:p>
                    <w:pPr>
                      <w:tabs>
                        <w:tab w:val="left" w:pos="426"/>
                      </w:tabs>
                      <w:jc w:val="center"/>
                      <w:rPr>
                        <w:b/>
                        <w:sz w:val="18"/>
                        <w:szCs w:val="22"/>
                        <w:lang w:eastAsia="lt-LT"/>
                      </w:rPr>
                    </w:pPr>
                    <w:r>
                      <w:rPr>
                        <w:b/>
                        <w:sz w:val="18"/>
                        <w:szCs w:val="22"/>
                        <w:lang w:eastAsia="lt-LT"/>
                      </w:rPr>
                      <w:t>2.</w:t>
                    </w:r>
                  </w:p>
                </w:tc>
                <w:tc>
                  <w:tcPr>
                    <w:tcW w:w="1575" w:type="dxa"/>
                    <w:shd w:val="clear" w:color="auto" w:fill="auto"/>
                    <w:vAlign w:val="center"/>
                  </w:tcPr>
                  <w:p>
                    <w:pPr>
                      <w:rPr>
                        <w:b/>
                        <w:sz w:val="18"/>
                        <w:szCs w:val="22"/>
                        <w:lang w:eastAsia="lt-LT"/>
                      </w:rPr>
                    </w:pPr>
                    <w:r>
                      <w:rPr>
                        <w:b/>
                        <w:sz w:val="18"/>
                        <w:szCs w:val="22"/>
                        <w:lang w:eastAsia="lt-LT"/>
                      </w:rPr>
                      <w:t>Teisėjai</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b/>
                        <w:sz w:val="18"/>
                        <w:szCs w:val="22"/>
                        <w:lang w:eastAsia="lt-LT"/>
                      </w:rPr>
                    </w:pPr>
                    <w:r>
                      <w:rPr>
                        <w:b/>
                        <w:sz w:val="18"/>
                        <w:szCs w:val="22"/>
                        <w:lang w:eastAsia="lt-LT"/>
                      </w:rPr>
                      <w:t>3.</w:t>
                    </w:r>
                  </w:p>
                </w:tc>
                <w:tc>
                  <w:tcPr>
                    <w:tcW w:w="1575" w:type="dxa"/>
                    <w:shd w:val="clear" w:color="auto" w:fill="auto"/>
                    <w:vAlign w:val="center"/>
                  </w:tcPr>
                  <w:p>
                    <w:pPr>
                      <w:rPr>
                        <w:b/>
                        <w:sz w:val="18"/>
                        <w:szCs w:val="22"/>
                        <w:lang w:eastAsia="lt-LT"/>
                      </w:rPr>
                    </w:pPr>
                    <w:r>
                      <w:rPr>
                        <w:b/>
                        <w:sz w:val="18"/>
                        <w:szCs w:val="22"/>
                        <w:lang w:eastAsia="lt-LT"/>
                      </w:rPr>
                      <w:t>Valstybės tarnautojai</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sz w:val="18"/>
                        <w:szCs w:val="22"/>
                        <w:lang w:eastAsia="lt-LT"/>
                      </w:rPr>
                    </w:pPr>
                    <w:r>
                      <w:rPr>
                        <w:sz w:val="18"/>
                        <w:szCs w:val="22"/>
                        <w:lang w:eastAsia="lt-LT"/>
                      </w:rPr>
                      <w:t>3.1.</w:t>
                    </w:r>
                  </w:p>
                </w:tc>
                <w:tc>
                  <w:tcPr>
                    <w:tcW w:w="1575" w:type="dxa"/>
                    <w:shd w:val="clear" w:color="auto" w:fill="auto"/>
                    <w:vAlign w:val="center"/>
                  </w:tcPr>
                  <w:p>
                    <w:pPr>
                      <w:ind w:left="202"/>
                      <w:rPr>
                        <w:sz w:val="18"/>
                        <w:szCs w:val="22"/>
                        <w:lang w:eastAsia="lt-LT"/>
                      </w:rPr>
                    </w:pPr>
                    <w:r>
                      <w:rPr>
                        <w:sz w:val="18"/>
                        <w:szCs w:val="22"/>
                        <w:lang w:eastAsia="lt-LT"/>
                      </w:rPr>
                      <w:t>einantys vadovaujamas pareigas</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sz w:val="18"/>
                        <w:szCs w:val="22"/>
                        <w:lang w:eastAsia="lt-LT"/>
                      </w:rPr>
                    </w:pPr>
                    <w:r>
                      <w:rPr>
                        <w:sz w:val="18"/>
                        <w:szCs w:val="22"/>
                        <w:lang w:eastAsia="lt-LT"/>
                      </w:rPr>
                      <w:t>3.2.</w:t>
                    </w:r>
                  </w:p>
                </w:tc>
                <w:tc>
                  <w:tcPr>
                    <w:tcW w:w="1575" w:type="dxa"/>
                    <w:shd w:val="clear" w:color="auto" w:fill="auto"/>
                    <w:vAlign w:val="center"/>
                  </w:tcPr>
                  <w:p>
                    <w:pPr>
                      <w:ind w:left="202"/>
                      <w:rPr>
                        <w:sz w:val="18"/>
                        <w:szCs w:val="22"/>
                        <w:lang w:eastAsia="lt-LT"/>
                      </w:rPr>
                    </w:pPr>
                    <w:r>
                      <w:rPr>
                        <w:sz w:val="18"/>
                        <w:szCs w:val="22"/>
                        <w:lang w:eastAsia="lt-LT"/>
                      </w:rPr>
                      <w:t>patarėjai</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sz w:val="18"/>
                        <w:szCs w:val="22"/>
                        <w:lang w:eastAsia="lt-LT"/>
                      </w:rPr>
                    </w:pPr>
                    <w:r>
                      <w:rPr>
                        <w:sz w:val="18"/>
                        <w:szCs w:val="22"/>
                        <w:lang w:eastAsia="lt-LT"/>
                      </w:rPr>
                      <w:t>3.3.</w:t>
                    </w:r>
                  </w:p>
                </w:tc>
                <w:tc>
                  <w:tcPr>
                    <w:tcW w:w="1575" w:type="dxa"/>
                    <w:shd w:val="clear" w:color="auto" w:fill="auto"/>
                    <w:vAlign w:val="center"/>
                  </w:tcPr>
                  <w:p>
                    <w:pPr>
                      <w:ind w:left="202"/>
                      <w:rPr>
                        <w:sz w:val="18"/>
                        <w:szCs w:val="22"/>
                        <w:lang w:eastAsia="lt-LT"/>
                      </w:rPr>
                    </w:pPr>
                    <w:r>
                      <w:rPr>
                        <w:sz w:val="18"/>
                        <w:szCs w:val="22"/>
                        <w:lang w:eastAsia="lt-LT"/>
                      </w:rPr>
                      <w:t>specialistai</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b/>
                        <w:sz w:val="18"/>
                        <w:szCs w:val="22"/>
                        <w:lang w:eastAsia="lt-LT"/>
                      </w:rPr>
                    </w:pPr>
                    <w:r>
                      <w:rPr>
                        <w:b/>
                        <w:sz w:val="18"/>
                        <w:szCs w:val="22"/>
                        <w:lang w:eastAsia="lt-LT"/>
                      </w:rPr>
                      <w:t>4.</w:t>
                    </w:r>
                  </w:p>
                </w:tc>
                <w:tc>
                  <w:tcPr>
                    <w:tcW w:w="1575" w:type="dxa"/>
                    <w:shd w:val="clear" w:color="auto" w:fill="auto"/>
                    <w:vAlign w:val="center"/>
                  </w:tcPr>
                  <w:p>
                    <w:pPr>
                      <w:rPr>
                        <w:b/>
                        <w:sz w:val="18"/>
                        <w:szCs w:val="22"/>
                        <w:lang w:eastAsia="lt-LT"/>
                      </w:rPr>
                    </w:pPr>
                    <w:r>
                      <w:rPr>
                        <w:b/>
                        <w:sz w:val="18"/>
                        <w:szCs w:val="22"/>
                        <w:lang w:eastAsia="lt-LT"/>
                      </w:rPr>
                      <w:t>Kariai</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b/>
                        <w:sz w:val="18"/>
                        <w:szCs w:val="22"/>
                        <w:lang w:eastAsia="lt-LT"/>
                      </w:rPr>
                    </w:pPr>
                    <w:r>
                      <w:rPr>
                        <w:b/>
                        <w:sz w:val="18"/>
                        <w:szCs w:val="22"/>
                        <w:lang w:eastAsia="lt-LT"/>
                      </w:rPr>
                      <w:t>5.</w:t>
                    </w:r>
                  </w:p>
                </w:tc>
                <w:tc>
                  <w:tcPr>
                    <w:tcW w:w="1575" w:type="dxa"/>
                    <w:shd w:val="clear" w:color="auto" w:fill="auto"/>
                    <w:vAlign w:val="center"/>
                  </w:tcPr>
                  <w:p>
                    <w:pPr>
                      <w:rPr>
                        <w:b/>
                        <w:sz w:val="18"/>
                        <w:szCs w:val="22"/>
                        <w:lang w:val="en-US" w:eastAsia="lt-LT"/>
                      </w:rPr>
                    </w:pPr>
                    <w:r>
                      <w:rPr>
                        <w:b/>
                        <w:sz w:val="18"/>
                        <w:szCs w:val="22"/>
                        <w:lang w:eastAsia="lt-LT"/>
                      </w:rPr>
                      <w:t>Darbuotojai, dirbantys pagal neterminuotas darbo sutartis</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sz w:val="18"/>
                        <w:szCs w:val="22"/>
                        <w:lang w:eastAsia="lt-LT"/>
                      </w:rPr>
                    </w:pPr>
                    <w:r>
                      <w:rPr>
                        <w:sz w:val="18"/>
                        <w:szCs w:val="22"/>
                        <w:lang w:eastAsia="lt-LT"/>
                      </w:rPr>
                      <w:t>5.1.</w:t>
                    </w:r>
                  </w:p>
                </w:tc>
                <w:tc>
                  <w:tcPr>
                    <w:tcW w:w="1575" w:type="dxa"/>
                    <w:shd w:val="clear" w:color="auto" w:fill="auto"/>
                    <w:vAlign w:val="center"/>
                  </w:tcPr>
                  <w:p>
                    <w:pPr>
                      <w:ind w:left="202"/>
                      <w:rPr>
                        <w:sz w:val="18"/>
                        <w:szCs w:val="22"/>
                        <w:lang w:eastAsia="lt-LT"/>
                      </w:rPr>
                    </w:pPr>
                    <w:r>
                      <w:rPr>
                        <w:sz w:val="18"/>
                        <w:szCs w:val="22"/>
                        <w:lang w:eastAsia="lt-LT"/>
                      </w:rPr>
                      <w:t>einantys vadovaujamas pareigas</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sz w:val="18"/>
                        <w:szCs w:val="22"/>
                        <w:lang w:eastAsia="lt-LT"/>
                      </w:rPr>
                    </w:pPr>
                    <w:r>
                      <w:rPr>
                        <w:sz w:val="18"/>
                        <w:szCs w:val="22"/>
                        <w:lang w:eastAsia="lt-LT"/>
                      </w:rPr>
                      <w:t>5.2.</w:t>
                    </w:r>
                  </w:p>
                </w:tc>
                <w:tc>
                  <w:tcPr>
                    <w:tcW w:w="1575" w:type="dxa"/>
                    <w:shd w:val="clear" w:color="auto" w:fill="auto"/>
                    <w:vAlign w:val="center"/>
                  </w:tcPr>
                  <w:p>
                    <w:pPr>
                      <w:ind w:left="202"/>
                      <w:rPr>
                        <w:sz w:val="18"/>
                        <w:szCs w:val="22"/>
                        <w:lang w:eastAsia="lt-LT"/>
                      </w:rPr>
                    </w:pPr>
                    <w:r>
                      <w:rPr>
                        <w:sz w:val="18"/>
                        <w:szCs w:val="22"/>
                        <w:lang w:eastAsia="lt-LT"/>
                      </w:rPr>
                      <w:t>kiti darbuotojai</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b/>
                        <w:sz w:val="18"/>
                        <w:szCs w:val="22"/>
                        <w:lang w:eastAsia="lt-LT"/>
                      </w:rPr>
                    </w:pPr>
                    <w:r>
                      <w:rPr>
                        <w:b/>
                        <w:sz w:val="18"/>
                        <w:szCs w:val="22"/>
                        <w:lang w:eastAsia="lt-LT"/>
                      </w:rPr>
                      <w:t>6.</w:t>
                    </w:r>
                  </w:p>
                </w:tc>
                <w:tc>
                  <w:tcPr>
                    <w:tcW w:w="1575" w:type="dxa"/>
                    <w:shd w:val="clear" w:color="auto" w:fill="auto"/>
                    <w:vAlign w:val="center"/>
                  </w:tcPr>
                  <w:p>
                    <w:pPr>
                      <w:rPr>
                        <w:b/>
                        <w:sz w:val="18"/>
                        <w:szCs w:val="22"/>
                        <w:lang w:eastAsia="lt-LT"/>
                      </w:rPr>
                    </w:pPr>
                    <w:r>
                      <w:rPr>
                        <w:b/>
                        <w:sz w:val="18"/>
                        <w:szCs w:val="22"/>
                        <w:lang w:eastAsia="lt-LT"/>
                      </w:rPr>
                      <w:t>Kiti</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b/>
                        <w:sz w:val="18"/>
                        <w:szCs w:val="22"/>
                        <w:lang w:eastAsia="lt-LT"/>
                      </w:rPr>
                    </w:pPr>
                    <w:r>
                      <w:rPr>
                        <w:b/>
                        <w:sz w:val="18"/>
                        <w:szCs w:val="22"/>
                        <w:lang w:eastAsia="lt-LT"/>
                      </w:rPr>
                      <w:t>7.</w:t>
                    </w:r>
                  </w:p>
                </w:tc>
                <w:tc>
                  <w:tcPr>
                    <w:tcW w:w="1575" w:type="dxa"/>
                    <w:shd w:val="clear" w:color="auto" w:fill="auto"/>
                    <w:vAlign w:val="center"/>
                  </w:tcPr>
                  <w:p>
                    <w:pPr>
                      <w:rPr>
                        <w:b/>
                        <w:sz w:val="18"/>
                        <w:szCs w:val="22"/>
                        <w:lang w:eastAsia="lt-LT"/>
                      </w:rPr>
                    </w:pPr>
                    <w:r>
                      <w:rPr>
                        <w:b/>
                        <w:sz w:val="18"/>
                        <w:szCs w:val="22"/>
                        <w:lang w:eastAsia="lt-LT"/>
                      </w:rPr>
                      <w:t>Iš viso:</w:t>
                    </w: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both"/>
                      <w:rPr>
                        <w:sz w:val="18"/>
                        <w:szCs w:val="22"/>
                        <w:lang w:eastAsia="lt-LT"/>
                      </w:rPr>
                    </w:pP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r>
                <w:trPr>
                  <w:trHeight w:val="420"/>
                </w:trPr>
                <w:tc>
                  <w:tcPr>
                    <w:tcW w:w="541" w:type="dxa"/>
                    <w:vAlign w:val="center"/>
                  </w:tcPr>
                  <w:p>
                    <w:pPr>
                      <w:tabs>
                        <w:tab w:val="left" w:pos="426"/>
                      </w:tabs>
                      <w:jc w:val="center"/>
                      <w:rPr>
                        <w:b/>
                        <w:sz w:val="18"/>
                        <w:szCs w:val="22"/>
                        <w:lang w:eastAsia="lt-LT"/>
                      </w:rPr>
                    </w:pPr>
                    <w:r>
                      <w:rPr>
                        <w:b/>
                        <w:sz w:val="18"/>
                        <w:szCs w:val="22"/>
                        <w:lang w:eastAsia="lt-LT"/>
                      </w:rPr>
                      <w:t>8.</w:t>
                    </w:r>
                  </w:p>
                </w:tc>
                <w:tc>
                  <w:tcPr>
                    <w:tcW w:w="1575" w:type="dxa"/>
                    <w:shd w:val="clear" w:color="auto" w:fill="auto"/>
                    <w:vAlign w:val="center"/>
                  </w:tcPr>
                  <w:p>
                    <w:pPr>
                      <w:rPr>
                        <w:b/>
                        <w:sz w:val="18"/>
                        <w:szCs w:val="22"/>
                        <w:lang w:eastAsia="lt-LT"/>
                      </w:rPr>
                    </w:pPr>
                    <w:r>
                      <w:rPr>
                        <w:b/>
                        <w:sz w:val="18"/>
                        <w:szCs w:val="22"/>
                        <w:lang w:eastAsia="lt-LT"/>
                      </w:rPr>
                      <w:t>Iš jų socialinio draudimo sąnaudos</w:t>
                    </w:r>
                  </w:p>
                </w:tc>
                <w:tc>
                  <w:tcPr>
                    <w:tcW w:w="1190" w:type="dxa"/>
                    <w:shd w:val="clear" w:color="auto" w:fill="auto"/>
                  </w:tcPr>
                  <w:p>
                    <w:pPr>
                      <w:tabs>
                        <w:tab w:val="left" w:pos="426"/>
                      </w:tabs>
                      <w:jc w:val="center"/>
                      <w:rPr>
                        <w:sz w:val="18"/>
                        <w:szCs w:val="22"/>
                        <w:lang w:eastAsia="lt-LT"/>
                      </w:rPr>
                    </w:pPr>
                    <w:r>
                      <w:rPr>
                        <w:sz w:val="18"/>
                        <w:szCs w:val="22"/>
                        <w:lang w:eastAsia="lt-LT"/>
                      </w:rPr>
                      <w:t>X</w:t>
                    </w: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0" w:type="dxa"/>
                  </w:tcPr>
                  <w:p>
                    <w:pPr>
                      <w:tabs>
                        <w:tab w:val="left" w:pos="426"/>
                      </w:tabs>
                      <w:jc w:val="both"/>
                      <w:rPr>
                        <w:sz w:val="18"/>
                        <w:szCs w:val="22"/>
                        <w:lang w:eastAsia="lt-LT"/>
                      </w:rPr>
                    </w:pPr>
                  </w:p>
                </w:tc>
                <w:tc>
                  <w:tcPr>
                    <w:tcW w:w="529" w:type="dxa"/>
                  </w:tcPr>
                  <w:p>
                    <w:pPr>
                      <w:tabs>
                        <w:tab w:val="left" w:pos="426"/>
                      </w:tabs>
                      <w:jc w:val="both"/>
                      <w:rPr>
                        <w:sz w:val="18"/>
                        <w:szCs w:val="22"/>
                        <w:lang w:eastAsia="lt-LT"/>
                      </w:rPr>
                    </w:pPr>
                  </w:p>
                </w:tc>
                <w:tc>
                  <w:tcPr>
                    <w:tcW w:w="1190" w:type="dxa"/>
                    <w:shd w:val="clear" w:color="auto" w:fill="auto"/>
                  </w:tcPr>
                  <w:p>
                    <w:pPr>
                      <w:tabs>
                        <w:tab w:val="left" w:pos="426"/>
                      </w:tabs>
                      <w:jc w:val="center"/>
                      <w:rPr>
                        <w:sz w:val="18"/>
                        <w:szCs w:val="22"/>
                        <w:lang w:eastAsia="lt-LT"/>
                      </w:rPr>
                    </w:pPr>
                    <w:r>
                      <w:rPr>
                        <w:sz w:val="18"/>
                        <w:szCs w:val="22"/>
                        <w:lang w:eastAsia="lt-LT"/>
                      </w:rPr>
                      <w:t>X</w:t>
                    </w:r>
                  </w:p>
                </w:tc>
                <w:tc>
                  <w:tcPr>
                    <w:tcW w:w="926" w:type="dxa"/>
                    <w:shd w:val="clear" w:color="auto" w:fill="auto"/>
                  </w:tcPr>
                  <w:p>
                    <w:pPr>
                      <w:tabs>
                        <w:tab w:val="left" w:pos="426"/>
                      </w:tabs>
                      <w:jc w:val="both"/>
                      <w:rPr>
                        <w:sz w:val="18"/>
                        <w:szCs w:val="22"/>
                        <w:lang w:eastAsia="lt-LT"/>
                      </w:rPr>
                    </w:pPr>
                  </w:p>
                </w:tc>
                <w:tc>
                  <w:tcPr>
                    <w:tcW w:w="1057" w:type="dxa"/>
                  </w:tcPr>
                  <w:p>
                    <w:pPr>
                      <w:tabs>
                        <w:tab w:val="left" w:pos="426"/>
                      </w:tabs>
                      <w:jc w:val="both"/>
                      <w:rPr>
                        <w:sz w:val="18"/>
                        <w:szCs w:val="22"/>
                        <w:lang w:eastAsia="lt-LT"/>
                      </w:rPr>
                    </w:pPr>
                  </w:p>
                </w:tc>
                <w:tc>
                  <w:tcPr>
                    <w:tcW w:w="1587" w:type="dxa"/>
                    <w:shd w:val="clear" w:color="auto" w:fill="auto"/>
                  </w:tcPr>
                  <w:p>
                    <w:pPr>
                      <w:tabs>
                        <w:tab w:val="left" w:pos="426"/>
                      </w:tabs>
                      <w:jc w:val="both"/>
                      <w:rPr>
                        <w:sz w:val="18"/>
                        <w:szCs w:val="22"/>
                        <w:lang w:eastAsia="lt-LT"/>
                      </w:rPr>
                    </w:pPr>
                  </w:p>
                </w:tc>
                <w:tc>
                  <w:tcPr>
                    <w:tcW w:w="1192" w:type="dxa"/>
                  </w:tcPr>
                  <w:p>
                    <w:pPr>
                      <w:tabs>
                        <w:tab w:val="left" w:pos="426"/>
                      </w:tabs>
                      <w:jc w:val="both"/>
                      <w:rPr>
                        <w:sz w:val="18"/>
                        <w:szCs w:val="22"/>
                        <w:lang w:eastAsia="lt-LT"/>
                      </w:rPr>
                    </w:pPr>
                  </w:p>
                </w:tc>
                <w:tc>
                  <w:tcPr>
                    <w:tcW w:w="661" w:type="dxa"/>
                  </w:tcPr>
                  <w:p>
                    <w:pPr>
                      <w:tabs>
                        <w:tab w:val="left" w:pos="426"/>
                      </w:tabs>
                      <w:jc w:val="both"/>
                      <w:rPr>
                        <w:sz w:val="18"/>
                        <w:szCs w:val="22"/>
                        <w:lang w:eastAsia="lt-LT"/>
                      </w:rPr>
                    </w:pPr>
                  </w:p>
                </w:tc>
              </w:tr>
            </w:tbl>
            <w:p>
              <w:pPr>
                <w:jc w:val="both"/>
              </w:pPr>
            </w:p>
          </w:sdtContent>
        </w:sdt>
        <w:sdt>
          <w:sdtPr>
            <w:alias w:val="pastraipa"/>
            <w:tag w:val="part_38af4d30bc43477a9a0cebb397fd6c05"/>
            <w:lock w:val="sdtLocked"/>
            <w:richText/>
          </w:sdtPr>
          <w:sdtContent>
            <w:p>
              <w:pPr>
                <w:jc w:val="both"/>
                <w:rPr>
                  <w:sz w:val="20"/>
                </w:rPr>
              </w:pPr>
              <w:r>
                <w:rPr>
                  <w:b/>
                  <w:bCs/>
                  <w:sz w:val="20"/>
                </w:rPr>
                <w:t>Pastabos</w:t>
              </w:r>
              <w:r>
                <w:rPr>
                  <w:sz w:val="20"/>
                </w:rPr>
                <w:t>:</w:t>
              </w:r>
            </w:p>
          </w:sdtContent>
        </w:sdt>
        <w:sdt>
          <w:sdtPr>
            <w:alias w:val="pr. 1 p."/>
            <w:tag w:val="part_75a9b3a2a846423699cebc44e05d39f6"/>
            <w:lock w:val="sdtLocked"/>
            <w:richText/>
          </w:sdtPr>
          <w:sdtContent>
            <w:p>
              <w:pPr>
                <w:tabs>
                  <w:tab w:val="left" w:pos="426"/>
                </w:tabs>
                <w:jc w:val="both"/>
                <w:rPr>
                  <w:sz w:val="20"/>
                </w:rPr>
              </w:pPr>
              <w:sdt>
                <w:sdtPr>
                  <w:alias w:val="Numeris"/>
                  <w:tag w:val="nr_75a9b3a2a846423699cebc44e05d39f6"/>
                  <w:lock w:val="sdtLocked"/>
                  <w:richText/>
                </w:sdtPr>
                <w:sdtContent>
                  <w:r>
                    <w:rPr>
                      <w:sz w:val="20"/>
                    </w:rPr>
                    <w:t>1</w:t>
                  </w:r>
                </w:sdtContent>
              </w:sdt>
              <w:r>
                <w:rPr>
                  <w:sz w:val="20"/>
                </w:rPr>
                <w:t>.</w:t>
                <w:tab/>
              </w:r>
              <w:r>
                <w:rPr>
                  <w:sz w:val="20"/>
                  <w:lang w:eastAsia="lt-LT"/>
                </w:rPr>
                <w:t xml:space="preserve">Apskaičiuojant vidutinį darbuotojų skaičių rekomenduojama taikyti Vidutinio metinio darbuotojų skaičiaus apskaičiavimo taisykles, patvirtintas Lietuvos Respublikos finansų ministro 2002 m. gegužės 15 d. įsakymu Nr. 134 „Dėl Vidutinio metinio darbuotojų skaičiaus apskaičiavimo taisyklių patvirtinimo“. </w:t>
              </w:r>
            </w:p>
          </w:sdtContent>
        </w:sdt>
        <w:sdt>
          <w:sdtPr>
            <w:alias w:val="pr. 2 p."/>
            <w:tag w:val="part_70229d00e2294caca904c878bf5b0d1b"/>
            <w:lock w:val="sdtLocked"/>
            <w:richText/>
          </w:sdtPr>
          <w:sdtContent>
            <w:p>
              <w:pPr>
                <w:tabs>
                  <w:tab w:val="left" w:pos="426"/>
                </w:tabs>
                <w:jc w:val="both"/>
                <w:rPr>
                  <w:sz w:val="20"/>
                </w:rPr>
              </w:pPr>
              <w:sdt>
                <w:sdtPr>
                  <w:alias w:val="Numeris"/>
                  <w:tag w:val="nr_70229d00e2294caca904c878bf5b0d1b"/>
                  <w:lock w:val="sdtLocked"/>
                  <w:richText/>
                </w:sdtPr>
                <w:sdtContent>
                  <w:r>
                    <w:rPr>
                      <w:sz w:val="20"/>
                    </w:rPr>
                    <w:t>2</w:t>
                  </w:r>
                </w:sdtContent>
              </w:sdt>
              <w:r>
                <w:rPr>
                  <w:sz w:val="20"/>
                </w:rPr>
                <w:t>.</w:t>
                <w:tab/>
                <w:t>Lentelės 3 skiltyje „Pareiginė alga“ nurodomos sąnaudos: pareiginė alga; kintamoji atlyginimo dalis, kai atlyginimo apskaičiavimas nustatytas teisės aktais; mokėjimas už darbą poilsio dienomis; mokėjimas už darbą naktį; mokėjimas už darbą švenčių dienomis; mokėjimas už viršvalandžius; atostoginiai, išskyrus atostoginių kaupinius; mokėjimas už neatvykimą į darbą (pvz., vykstant į sveikatos priežiūros įstaigą ir pan.), mokėjimas už prastovas.</w:t>
              </w:r>
            </w:p>
          </w:sdtContent>
        </w:sdt>
        <w:sdt>
          <w:sdtPr>
            <w:alias w:val="pr. 3 p."/>
            <w:tag w:val="part_f95419fff2e5464699bf0794779c4757"/>
            <w:lock w:val="sdtLocked"/>
            <w:richText/>
          </w:sdtPr>
          <w:sdtContent>
            <w:p>
              <w:pPr>
                <w:tabs>
                  <w:tab w:val="left" w:pos="426"/>
                </w:tabs>
                <w:jc w:val="both"/>
                <w:rPr>
                  <w:sz w:val="20"/>
                </w:rPr>
              </w:pPr>
              <w:sdt>
                <w:sdtPr>
                  <w:alias w:val="Numeris"/>
                  <w:tag w:val="nr_f95419fff2e5464699bf0794779c4757"/>
                  <w:lock w:val="sdtLocked"/>
                  <w:richText/>
                </w:sdtPr>
                <w:sdtContent>
                  <w:r>
                    <w:rPr>
                      <w:sz w:val="20"/>
                    </w:rPr>
                    <w:t>3</w:t>
                  </w:r>
                </w:sdtContent>
              </w:sdt>
              <w:r>
                <w:rPr>
                  <w:sz w:val="20"/>
                </w:rPr>
                <w:t>.</w:t>
                <w:tab/>
                <w:t>Lentelės 4 skiltyje „Priedai, priemokos, premijos“ nurodomos sąnaudos: priedai, priemokos, premijos.</w:t>
              </w:r>
            </w:p>
          </w:sdtContent>
        </w:sdt>
        <w:sdt>
          <w:sdtPr>
            <w:alias w:val="pr. 4 p."/>
            <w:tag w:val="part_83563ddb2a8745ed9171304a33b48325"/>
            <w:lock w:val="sdtLocked"/>
            <w:richText/>
          </w:sdtPr>
          <w:sdtContent>
            <w:p>
              <w:pPr>
                <w:tabs>
                  <w:tab w:val="left" w:pos="426"/>
                </w:tabs>
                <w:jc w:val="both"/>
                <w:rPr>
                  <w:sz w:val="20"/>
                </w:rPr>
              </w:pPr>
              <w:sdt>
                <w:sdtPr>
                  <w:alias w:val="Numeris"/>
                  <w:tag w:val="nr_83563ddb2a8745ed9171304a33b48325"/>
                  <w:lock w:val="sdtLocked"/>
                  <w:richText/>
                </w:sdtPr>
                <w:sdtContent>
                  <w:r>
                    <w:rPr>
                      <w:sz w:val="20"/>
                    </w:rPr>
                    <w:t>4</w:t>
                  </w:r>
                </w:sdtContent>
              </w:sdt>
              <w:r>
                <w:rPr>
                  <w:sz w:val="20"/>
                </w:rPr>
                <w:t>.</w:t>
                <w:tab/>
                <w:t>Lentelės 5 skiltyje „Kitos darbuotojo skatinimo priemonės ir darbuotojo išlaidų kompensavimas“ nurodomos šiuo įsakymu patvirtinto 24-ojo viešojo sektoriaus apskaitos ir finansinės atskaitomybės standarto (toliau – Standartas) 22.1.4 papunktyje nurodytos išmokos.</w:t>
              </w:r>
            </w:p>
          </w:sdtContent>
        </w:sdt>
        <w:sdt>
          <w:sdtPr>
            <w:alias w:val="pr. 5 p."/>
            <w:tag w:val="part_45a6f671ebfd4a0a82ee186377f25139"/>
            <w:lock w:val="sdtLocked"/>
            <w:richText/>
          </w:sdtPr>
          <w:sdtContent>
            <w:p>
              <w:pPr>
                <w:tabs>
                  <w:tab w:val="left" w:pos="426"/>
                </w:tabs>
                <w:jc w:val="both"/>
                <w:rPr>
                  <w:sz w:val="20"/>
                </w:rPr>
              </w:pPr>
              <w:sdt>
                <w:sdtPr>
                  <w:alias w:val="Numeris"/>
                  <w:tag w:val="nr_45a6f671ebfd4a0a82ee186377f25139"/>
                  <w:lock w:val="sdtLocked"/>
                  <w:richText/>
                </w:sdtPr>
                <w:sdtContent>
                  <w:r>
                    <w:rPr>
                      <w:sz w:val="20"/>
                    </w:rPr>
                    <w:t>5</w:t>
                  </w:r>
                </w:sdtContent>
              </w:sdt>
              <w:r>
                <w:rPr>
                  <w:sz w:val="20"/>
                </w:rPr>
                <w:t>.</w:t>
                <w:tab/>
                <w:t>Lentelės 6 skiltyje „Išmokos diplomatams ir jų šeimų nariams“ nurodomos Standarto 22.1.5 papunktyje nurodytos išmokos.</w:t>
              </w:r>
            </w:p>
          </w:sdtContent>
        </w:sdt>
        <w:sdt>
          <w:sdtPr>
            <w:alias w:val="pr. 6 p."/>
            <w:tag w:val="part_9f369d54ec654402b23684757ee33e61"/>
            <w:lock w:val="sdtLocked"/>
            <w:richText/>
          </w:sdtPr>
          <w:sdtContent>
            <w:p>
              <w:pPr>
                <w:tabs>
                  <w:tab w:val="left" w:pos="426"/>
                </w:tabs>
                <w:jc w:val="both"/>
                <w:rPr>
                  <w:sz w:val="20"/>
                </w:rPr>
              </w:pPr>
              <w:sdt>
                <w:sdtPr>
                  <w:alias w:val="Numeris"/>
                  <w:tag w:val="nr_9f369d54ec654402b23684757ee33e61"/>
                  <w:lock w:val="sdtLocked"/>
                  <w:richText/>
                </w:sdtPr>
                <w:sdtContent>
                  <w:r>
                    <w:rPr>
                      <w:sz w:val="20"/>
                    </w:rPr>
                    <w:t>6</w:t>
                  </w:r>
                </w:sdtContent>
              </w:sdt>
              <w:r>
                <w:rPr>
                  <w:sz w:val="20"/>
                </w:rPr>
                <w:t>.</w:t>
                <w:tab/>
                <w:t>Lentelės 7 skiltyje „Kita“ nurodomos kitos darbo užmokesčio sąnaudos: mokėjimas už dvi pirmas nedarbingumo dienas, kompensacijos už nepanaudotas atostogas, išeitinės išmokos, atostoginių kaupiniai, atidėjiniai išeitinėms išmokoms, mokėjimas už dalyvavimą projektuose, mokėjimas už atostogas kvalifikacijai tobulinti, komisijų narių atlygis už darbą ir kitos, lentelės 3–6 ar 9–13 stulpeliuose nenurodytos, sąnaudos.</w:t>
              </w:r>
            </w:p>
          </w:sdtContent>
        </w:sdt>
        <w:sdt>
          <w:sdtPr>
            <w:alias w:val="pr. 7 p."/>
            <w:tag w:val="part_dff21e40cf8b4e0abdc9e6dda789ce79"/>
            <w:lock w:val="sdtLocked"/>
            <w:richText/>
          </w:sdtPr>
          <w:sdtContent>
            <w:p>
              <w:pPr>
                <w:tabs>
                  <w:tab w:val="left" w:pos="426"/>
                </w:tabs>
                <w:jc w:val="both"/>
                <w:rPr>
                  <w:sz w:val="20"/>
                </w:rPr>
              </w:pPr>
              <w:sdt>
                <w:sdtPr>
                  <w:alias w:val="Numeris"/>
                  <w:tag w:val="nr_dff21e40cf8b4e0abdc9e6dda789ce79"/>
                  <w:lock w:val="sdtLocked"/>
                  <w:richText/>
                </w:sdtPr>
                <w:sdtContent>
                  <w:r>
                    <w:rPr>
                      <w:sz w:val="20"/>
                    </w:rPr>
                    <w:t>7</w:t>
                  </w:r>
                </w:sdtContent>
              </w:sdt>
              <w:r>
                <w:rPr>
                  <w:sz w:val="20"/>
                </w:rPr>
                <w:t>.</w:t>
                <w:tab/>
                <w:t>Valstybės politikams ir valstybės pareigūnams priskiriami asmenys, nurodyti Lietuvos Respublikos valstybės pareigūnų darbo užmokesčio įstatyme, Lietuvos Respublikos valstybės politikų darbo užmokesčio įstatyme ir kituose valstybės pareigūnų ir valstybės politikų veiklą reglamentuojančiuose įstatymuose.</w:t>
              </w:r>
            </w:p>
          </w:sdtContent>
        </w:sdt>
        <w:sdt>
          <w:sdtPr>
            <w:alias w:val="pr. 8 p."/>
            <w:tag w:val="part_0829e5870a814ffcba9790f3b4c53c57"/>
            <w:lock w:val="sdtLocked"/>
            <w:richText/>
          </w:sdtPr>
          <w:sdtContent>
            <w:p>
              <w:pPr>
                <w:tabs>
                  <w:tab w:val="left" w:pos="426"/>
                </w:tabs>
                <w:jc w:val="both"/>
                <w:rPr>
                  <w:sz w:val="20"/>
                </w:rPr>
              </w:pPr>
              <w:sdt>
                <w:sdtPr>
                  <w:alias w:val="Numeris"/>
                  <w:tag w:val="nr_0829e5870a814ffcba9790f3b4c53c57"/>
                  <w:lock w:val="sdtLocked"/>
                  <w:richText/>
                </w:sdtPr>
                <w:sdtContent>
                  <w:r>
                    <w:rPr>
                      <w:sz w:val="20"/>
                    </w:rPr>
                    <w:t>8</w:t>
                  </w:r>
                </w:sdtContent>
              </w:sdt>
              <w:r>
                <w:rPr>
                  <w:sz w:val="20"/>
                </w:rPr>
                <w:t>.</w:t>
                <w:tab/>
                <w:t>Valstybės tarnautojams priskiriami asmenys, nurodyti Lietuvos Respublikos valstybės tarnybos įstatyme ir statutinių valstybės tarnautojų veiklą reglamentuojančiuose įstatymuose.</w:t>
              </w:r>
            </w:p>
          </w:sdtContent>
        </w:sdt>
        <w:sdt>
          <w:sdtPr>
            <w:alias w:val="pr. 9 p."/>
            <w:tag w:val="part_1600322ce377404088106465a7a3f148"/>
            <w:lock w:val="sdtLocked"/>
            <w:richText/>
          </w:sdtPr>
          <w:sdtContent>
            <w:p>
              <w:pPr>
                <w:tabs>
                  <w:tab w:val="left" w:pos="426"/>
                </w:tabs>
                <w:jc w:val="both"/>
                <w:rPr>
                  <w:sz w:val="20"/>
                </w:rPr>
              </w:pPr>
              <w:sdt>
                <w:sdtPr>
                  <w:alias w:val="Numeris"/>
                  <w:tag w:val="nr_1600322ce377404088106465a7a3f148"/>
                  <w:lock w:val="sdtLocked"/>
                  <w:richText/>
                </w:sdtPr>
                <w:sdtContent>
                  <w:r>
                    <w:rPr>
                      <w:sz w:val="20"/>
                    </w:rPr>
                    <w:t>9</w:t>
                  </w:r>
                </w:sdtContent>
              </w:sdt>
              <w:r>
                <w:rPr>
                  <w:sz w:val="20"/>
                </w:rPr>
                <w:t>.</w:t>
                <w:tab/>
                <w:t>Lentelės 1–7 punktuose, išskyrus lentelės 2 ir 8 skiltis, nurodomos darbo užmokesčio sąnaudos, įskaitant darbdavio mokamas socialinio draudimo įmokas (socialinio draudimo sąnaudas).</w:t>
              </w:r>
            </w:p>
          </w:sdtContent>
        </w:sdt>
        <w:sdt>
          <w:sdtPr>
            <w:alias w:val="pr. 10 p."/>
            <w:tag w:val="part_f530128e028f4553bf23f32c88aa47a1"/>
            <w:lock w:val="sdtLocked"/>
            <w:richText/>
          </w:sdtPr>
          <w:sdtContent>
            <w:p>
              <w:pPr>
                <w:tabs>
                  <w:tab w:val="left" w:pos="426"/>
                </w:tabs>
                <w:jc w:val="both"/>
                <w:rPr>
                  <w:sz w:val="20"/>
                </w:rPr>
              </w:pPr>
              <w:sdt>
                <w:sdtPr>
                  <w:alias w:val="Numeris"/>
                  <w:tag w:val="nr_f530128e028f4553bf23f32c88aa47a1"/>
                  <w:lock w:val="sdtLocked"/>
                  <w:richText/>
                </w:sdtPr>
                <w:sdtContent>
                  <w:r>
                    <w:rPr>
                      <w:sz w:val="20"/>
                    </w:rPr>
                    <w:t>10</w:t>
                  </w:r>
                </w:sdtContent>
              </w:sdt>
              <w:r>
                <w:rPr>
                  <w:sz w:val="20"/>
                </w:rPr>
                <w:t>.</w:t>
                <w:tab/>
                <w:t>Lentelės 8 punkte nurodomos tik socialinio draudimo sąnaudos.</w:t>
              </w:r>
            </w:p>
          </w:sdtContent>
        </w:sdt>
        <w:sdt>
          <w:sdtPr>
            <w:alias w:val="pr. 11 p."/>
            <w:tag w:val="part_64f7954a26ff4057b9e0894984993b00"/>
            <w:lock w:val="sdtLocked"/>
            <w:richText/>
          </w:sdtPr>
          <w:sdtContent>
            <w:p>
              <w:pPr>
                <w:tabs>
                  <w:tab w:val="left" w:pos="426"/>
                </w:tabs>
                <w:jc w:val="both"/>
                <w:rPr>
                  <w:sz w:val="20"/>
                </w:rPr>
              </w:pPr>
              <w:sdt>
                <w:sdtPr>
                  <w:alias w:val="Numeris"/>
                  <w:tag w:val="nr_64f7954a26ff4057b9e0894984993b00"/>
                  <w:lock w:val="sdtLocked"/>
                  <w:richText/>
                </w:sdtPr>
                <w:sdtContent>
                  <w:r>
                    <w:rPr>
                      <w:sz w:val="20"/>
                    </w:rPr>
                    <w:t>11</w:t>
                  </w:r>
                </w:sdtContent>
              </w:sdt>
              <w:r>
                <w:rPr>
                  <w:sz w:val="20"/>
                </w:rPr>
                <w:t>.</w:t>
                <w:tab/>
                <w:t>Sudarant atskiro viešojo sektoriaus subjekto finansinių ataskaitų rinkinį, atsižvelgiant į asmens duomenų apsaugą reglamentuojančių teisės aktų reikalavimus, jeigu įstaigoje dirba darbuotojas, kuris vienintelis eina atitinkamas pareigas, (pvz., vienas vadovaujantis valstybės tarnautojas ar darbuotojas arba vienas nevadovaujantis valstybės tarnautojas ar darbuotojas, arba vienas dirbantis pagal terminuotą darbo sutartį darbuotojas ir pan.), detali informacija apie šio darbuotojo sąnaudas pateikiama tik teikiant informaciją į Viešojo sektoriaus apskaitos ir ataskaitų konsolidavimo sistemą (toliau – VSAKIS), o šioje lentelėje tokia informacija neišskiriama – ji parodoma bendra suma tame lentelės punkte, kuriame nurodyta daugiausia darbuotojų, ir aiškinamajame rašte paaiškinamos tokio pateikimo priežastys. Jeigu visuose lentelės punktuose turėtų būti nurodoma po vieną darbuotoją (pvz., vienas vadovaujantis asmuo ir vienas darbuotojas), detali informacija apie šių darbuotojų sąnaudas pateikiama tik teikiant informaciją į VSAKIS, o šioje lentelėje bendros sąnaudų sumos rodomos ne prie vadovaujančiųjų asmenų ir aiškinamajame rašte paaiškinamos tokio pateikimo priežastys.</w:t>
              </w:r>
            </w:p>
          </w:sdtContent>
        </w:sdt>
        <w:sdt>
          <w:sdtPr>
            <w:alias w:val="pr. 12 p."/>
            <w:tag w:val="part_4ee6461d713f4d5495295d4aac9462f1"/>
            <w:lock w:val="sdtLocked"/>
            <w:richText/>
          </w:sdtPr>
          <w:sdtContent>
            <w:p>
              <w:pPr>
                <w:tabs>
                  <w:tab w:val="left" w:pos="426"/>
                </w:tabs>
                <w:jc w:val="both"/>
                <w:rPr>
                  <w:sz w:val="20"/>
                </w:rPr>
              </w:pPr>
              <w:sdt>
                <w:sdtPr>
                  <w:alias w:val="Numeris"/>
                  <w:tag w:val="nr_4ee6461d713f4d5495295d4aac9462f1"/>
                  <w:lock w:val="sdtLocked"/>
                  <w:richText/>
                </w:sdtPr>
                <w:sdtContent>
                  <w:r>
                    <w:rPr>
                      <w:sz w:val="20"/>
                    </w:rPr>
                    <w:t>12</w:t>
                  </w:r>
                </w:sdtContent>
              </w:sdt>
              <w:r>
                <w:rPr>
                  <w:sz w:val="20"/>
                </w:rPr>
                <w:t>.</w:t>
                <w:tab/>
                <w:t>X pažymėtos skiltys nepildomos.</w:t>
              </w:r>
            </w:p>
            <w:p>
              <w:pPr>
                <w:tabs>
                  <w:tab w:val="left" w:pos="142"/>
                  <w:tab w:val="left" w:pos="426"/>
                </w:tabs>
                <w:ind w:left="-142"/>
                <w:jc w:val="both"/>
                <w:rPr>
                  <w:sz w:val="20"/>
                  <w:lang w:eastAsia="lt-LT"/>
                </w:rPr>
              </w:pPr>
            </w:p>
            <w:p>
              <w:pPr>
                <w:widowControl w:val="0"/>
                <w:tabs>
                  <w:tab w:val="left" w:pos="1134"/>
                </w:tabs>
                <w:suppressAutoHyphens/>
                <w:spacing w:line="276" w:lineRule="auto"/>
                <w:jc w:val="center"/>
                <w:rPr>
                  <w:rFonts w:eastAsia="Calibri"/>
                  <w:color w:val="000000"/>
                  <w:szCs w:val="24"/>
                </w:rPr>
              </w:pPr>
              <w:r>
                <w:rPr>
                  <w:rFonts w:eastAsia="Calibri"/>
                  <w:color w:val="000000"/>
                  <w:szCs w:val="24"/>
                </w:rPr>
                <w:t>___________</w:t>
              </w:r>
            </w:p>
          </w:sdtContent>
        </w:sdt>
      </w:sdtContent>
    </w:sdt>
    <w:sectPr>
      <w:pgSz w:w="16840" w:h="11907" w:orient="landscape" w:code="9"/>
      <w:pgMar w:top="1701" w:right="1134" w:bottom="1134" w:left="1134" w:header="567" w:footer="28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5</w:t>
    </w:r>
    <w:r>
      <w:rPr>
        <w:szCs w:val="24"/>
        <w:lang w:val="en-US"/>
      </w:rPr>
      <w:fldChar w:fldCharType="end"/>
    </w:r>
  </w:p>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84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2AB4C2-0C6A-4DFC-945B-D04BB972AEC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5572056">
      <w:bodyDiv w:val="1"/>
      <w:marLeft w:val="0"/>
      <w:marRight w:val="0"/>
      <w:marTop w:val="0"/>
      <w:marBottom w:val="0"/>
      <w:divBdr>
        <w:top w:val="none" w:sz="0" w:space="0" w:color="auto"/>
        <w:left w:val="none" w:sz="0" w:space="0" w:color="auto"/>
        <w:bottom w:val="none" w:sz="0" w:space="0" w:color="auto"/>
        <w:right w:val="none" w:sz="0" w:space="0" w:color="auto"/>
      </w:divBdr>
    </w:div>
    <w:div w:id="430855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667b4affa7948a6a369d903172fa237" PartId="a50d2ac1b3d34844b442a85fc9494dbc">
    <Part Type="punktas" Nr="1" Abbr="1 p." DocPartId="27bf2a7f30fd4c90929788f776cbb98f" PartId="200062bfe42f46ddb92840a61ce711a2">
      <Part Type="citata" DocPartId="75c01808208543b98386c6a05235f431" PartId="9abceeef6aca4ccf8f56693de7d77ef8">
        <Part Type="pagrindine" DocPartId="defcab4d3569425cbe3ca384117c54c8" PartId="eecba88fcbe640bbb3fa5df42512b3a5">
          <Part Type="preambule" DocPartId="771a981c47d84a01a6b6a261fc647bf9" PartId="494008f17ce340ae9db634e262689d0c"/>
          <Part Type="pastraipa" DocPartId="c2351a55afa44b09a82d6075cd39aef1" PartId="9c1df6146ffa4a82a5de2c7069fdeb7a"/>
        </Part>
      </Part>
    </Part>
    <Part Type="punktas" Nr="2" Abbr="2 p." DocPartId="491c3d0980404c1db8ab6d8f08b49451" PartId="f631bf9c02144fa59c040d6ec25e2cba"/>
    <Part Type="signatura" DocPartId="eaadca39979b4ff48efbd5c485dbafe5" PartId="b997e177d84f4cb5961d4b834670893d"/>
  </Part>
  <Part Type="patvirtinta" Title="24-ASIS VIEŠOJO SEKTORIAUS APSKAITOS IR FINANSINĖS ATSKAITOMYBĖS STANDARTAS „SU DARBO SANTYKIAIS SUSIJUSIOS IŠMOKOS“" DocPartId="221adea358534ff38749e312a8b84d30" PartId="c530b2786c874d8fb761c6e0f1f5be69">
    <Part Type="skyrius" Nr="1" Title="BENDROSIOS NUOSTATOS" DocPartId="2331869fbef84fd4a10b5f6fc00901d8" PartId="210a3c9d92524076b8a83082dfccac1b">
      <Part Type="punktas" Nr="1" Abbr="1 p." DocPartId="ef6472c4095640b484e1adf5e4532892" PartId="483865b98dba438dbbb124a3494b20a8"/>
      <Part Type="punktas" Nr="2" Abbr="2 p." DocPartId="6c3b9eb7a1834ebdbf079de43df25b3b" PartId="de1cc33bf11847e78e1db4f676954637"/>
      <Part Type="punktas" Nr="3" Abbr="3 p." DocPartId="4688bc47d2ef41ba96af31fbb97cb2df" PartId="ea990c44e75941119476175c9385af50">
        <Part Type="papunktis" Nr="3.1" Abbr="3.1 pp." DocPartId="21dfad6729144491a1ca63ec61c7a9f8" PartId="e529a21265a040f1afafdaf61b6f85ed"/>
        <Part Type="papunktis" Nr="3.2" Abbr="3.2 pp." DocPartId="ed4e239de54b4b4fb4c88409110bd7a4" PartId="c9f1d2c32c4243f7b83552a5ae1d2301"/>
        <Part Type="papunktis" Nr="3.3" Abbr="3.3 pp." DocPartId="d0036754aaf54b0c8b489dd579c56043" PartId="45311c75bf9c4a5eaf62e1602c101bc0"/>
        <Part Type="papunktis" Nr="3.4" Abbr="3.4 pp." DocPartId="eaa07d93cf9046228136523bb03d8fb0" PartId="9fa95e09e1b649259c1017e90bfe1ce4"/>
        <Part Type="papunktis" Nr="3.5" Abbr="3.5 pp." DocPartId="a8f9eba1eb244f8088535d6f483f364d" PartId="2c0fd2c592224f8fbc267dfa5c111e0d"/>
      </Part>
      <Part Type="punktas" Nr="4" Abbr="4 p." DocPartId="996e8484c2364033849a9b24c57042b7" PartId="b06edaa518fd489ea192013efd24de3e">
        <Part Type="papunktis" Nr="4.1" Abbr="4.1 pp." DocPartId="5e87175dc34f45889fbec7ef8a15ad05" PartId="25db58c66f724154bd76fa09762a98cb"/>
        <Part Type="papunktis" Nr="4.2" Abbr="4.2 pp." DocPartId="e67391d0c40240eea4fa8de56e488399" PartId="a494883b52e34a0683e83cdea605d5ef"/>
      </Part>
      <Part Type="punktas" Nr="5" Abbr="5 p." DocPartId="9af0e7c4ed7a41bea0d6c49a4180c26f" PartId="4723b7571fd14d799bf1e8cad35c5a6b"/>
    </Part>
    <Part Type="skyrius" Nr="2" Title="SU DARBO SANTYKIAIS SUSIJUSIŲ IŠMOKŲ GRUPAVIMAS" DocPartId="fa9c658488954d29adc9a14fd38ad24b" PartId="53b53a64568243bb9398bf4fcee2c283">
      <Part Type="skirsnis" Nr="1" Title="SU DARBO SANTYKIAIS SUSIJUSIŲ IŠMOKŲ RŪŠYS PAGAL NUMATOMĄ ĮSIPAREIGOJIMŲ ĮVYKDYMĄ" DocPartId="dfd6f496250940f488ea8d59d432a985" PartId="2c7e3a31e1684e9cb0a4c712a0a9e3ed">
        <Part Type="punktas" Nr="6" Abbr="6 p." DocPartId="95b55dcc174042679275f269cd1844ea" PartId="155e715d057f420aa96868dbbd3964f7"/>
        <Part Type="punktas" Nr="7" Abbr="7 p." DocPartId="6c395dbcc2e845dab6baad7f3d74cf4c" PartId="642ad34f694c4782bcd89c82a37cffc1">
          <Part Type="papunktis" Nr="7.1" Abbr="7.1 pp." DocPartId="ed16dfd6b88f4e6e9dfa7b1eda212de3" PartId="ccaf6ec11b8c4f4b8a415cf5205b2536"/>
          <Part Type="papunktis" Nr="7.2" Abbr="7.2 pp." DocPartId="a4aa197b7b834a93944fab6d1df5acc8" PartId="22f9cb33f08c46adbcbb8eb4a78acc2c"/>
        </Part>
      </Part>
      <Part Type="skirsnis" Nr="2" Title="TRUMPALAIKĖS IŠMOKOS" DocPartId="63c4f652dcb943e88585db3b0df0275f" PartId="ac88de4cf2524552a40f12f7b8bae4d7">
        <Part Type="punktas" Nr="8" Abbr="8 p." DocPartId="34c02966e00741df997c47bd94e5db6a" PartId="2212e1eaec714e1799cf71517ef2f012"/>
        <Part Type="punktas" Nr="9" Abbr="9 p." DocPartId="652e36833be2495c81cd24a5721df1d4" PartId="99bf552102cb423badd467b0d2decf7c"/>
        <Part Type="punktas" Nr="10" Abbr="10 p." DocPartId="b5a0bc6ee3864baa9672fe35bf33faed" PartId="f18373bc316a4463b81940d6e7608962">
          <Part Type="papunktis" Nr="10.1" Abbr="10.1 pp." DocPartId="8b206ae927f3472892f26ada3d974e1d" PartId="f66a6872abb04ba9b491fc7383d393dc"/>
          <Part Type="papunktis" Nr="10.2" Abbr="10.2 pp." DocPartId="7791718179a54cfa9116f8caff8a7948" PartId="c9e08bc81b5d4f01bd0459e71e92552a"/>
        </Part>
        <Part Type="punktas" Nr="11" Abbr="11 p." DocPartId="4ce7c3a9e31f4d518271cebe1af7a363" PartId="ef704c33d3fa4992a564ca968469f6f7">
          <Part Type="papunktis" Nr="11.1" Abbr="11.1 pp." DocPartId="cc444d9cc23f4b21aea32ba44a998647" PartId="09c897f1093b4a688e75cfc093cda408"/>
          <Part Type="papunktis" Nr="11.2" Abbr="11.2 pp." DocPartId="5ca5e18b8cf84fc3a921ecc8df117f62" PartId="bb96aa26eefc4a2eb6da3753833e39be"/>
        </Part>
        <Part Type="punktas" Nr="12" Abbr="12 p." DocPartId="0dc4e62e1d2f42899ef4d71c90ed77e5" PartId="e4b67c7bfc67466d904e6ce0e8f1574d"/>
        <Part Type="punktas" Nr="13" Abbr="13 p." DocPartId="e58e9bfc723e49d886126dc354f0a3e2" PartId="b6c3ca50627e4c5d9b1bbf0d1e6db731"/>
        <Part Type="punktas" Nr="14" Abbr="14 p." DocPartId="ac403d547fb2436fa29cba423c15159e" PartId="382cae1fb9c44d67b9d5cc0411528b11"/>
        <Part Type="punktas" Nr="15" Abbr="15 p." DocPartId="3b3a98a588f04c098f9d20fa198861c8" PartId="c8077ba390a84ee580cf6212d6f6598d">
          <Part Type="papunktis" Nr="15.1" Abbr="15.1 pp." DocPartId="0e3c805274da47de89d33543f9e5c9ec" PartId="4f7121804be643fb95bbd6f0c31e205d"/>
          <Part Type="papunktis" Nr="15.2" Abbr="15.2 pp." DocPartId="fe913899d15646319ce0c7258c624e35" PartId="5d42c17f36e74f348613008733458607"/>
        </Part>
        <Part Type="punktas" Nr="16" Abbr="16 p." DocPartId="110ad7bc974b4ea7b96b8e11848a6fa8" PartId="ee57a51fa2e042ee89cb5996d88682ea">
          <Part Type="papunktis" Nr="16.1" Abbr="16.1 pp." DocPartId="07f677257c4e4053992a5f6b4e71ca9a" PartId="de222493dad143219b225d48a2214c72"/>
          <Part Type="papunktis" Nr="16.2" Abbr="16.2 pp." DocPartId="8a9d76fbe79a4a1fa0fc3909c0d2b56c" PartId="88712d2f7a6044c89fb27d54c9456d81"/>
          <Part Type="papunktis" Nr="16.3" Abbr="16.3 pp." DocPartId="5ad415f982794aab96feb615eec9c97f" PartId="d685cae9ca30465eaefe28a24b19c4b2"/>
        </Part>
      </Part>
      <Part Type="skirsnis" Nr="3" Title="ILGALAIKĖS IŠMOKOS" DocPartId="4ec4cb6b2da3495ca825b9ee972bd878" PartId="c84fcbb4ed9f43319aad5e077de94a92">
        <Part Type="punktas" Nr="17" Abbr="17 p." DocPartId="b37a021fcd1f45bea6fad08dab14a821" PartId="f3b9052cb03d452385f4a118b50b3c21"/>
        <Part Type="punktas" Nr="18" Abbr="18 p." DocPartId="79edad82d6d94feeb583b41aeb3f6306" PartId="3d65503679554e36ae5ed0e0f5b0119c"/>
      </Part>
      <Part Type="skirsnis" Nr="4" Title="IŠEITINĖS IŠMOKOS" DocPartId="985df83d7b654aaaabb212b334e9d32e" PartId="e320bc013cda4645898af3f9b78bf52d">
        <Part Type="punktas" Nr="19" Abbr="19 p." DocPartId="bb1cb2fc5ab24641b92526bd59c1fb8a" PartId="5f130fc15ca04a11a9467539953e9d5d"/>
        <Part Type="punktas" Nr="20" Abbr="20 p." DocPartId="f9874493c14f4241b8b5919275248f27" PartId="1ef49b4802f24e8381bd39d9fa1ff356"/>
        <Part Type="punktas" Nr="21" Abbr="21 p." DocPartId="0d233e974c404d54a98a9cce53f4197d" PartId="64b98d8eba9f4b229d739bae482931bd"/>
      </Part>
    </Part>
    <Part Type="skyrius" Nr="3" Title="SU DARBO SANTYKIAIS SUSIJUSIŲ IŠMOKŲ PRISKYRIMAS PRIE SĄNAUDŲ STRAIPSNIŲ" DocPartId="51da0f1679544ca8816d7a79717e6201" PartId="a5df5f5e32cd4e8891dc0b681a9e5326">
      <Part Type="punktas" Nr="22" Abbr="22 p." DocPartId="53d80f59a0ad41fa99605c2afaa4e560" PartId="5d074bc1fd2c419fb37fe55b72c65ab0">
        <Part Type="papunktis" Nr="22.1" Abbr="22.1 pp." DocPartId="1581c5f9ecc7465aa65093a5899dd8eb" PartId="f114bf3e09524b9aaec0ab3b2958044f">
          <Part Type="papunktis" Nr="22.1.1" Abbr="22.1.1 pp." DocPartId="eeb0915fed984ea5a0d0abcdf2406c15" PartId="4f05c9687478443396da38b98a83deb7"/>
          <Part Type="papunktis" Nr="22.1.2" Abbr="22.1.2 pp." DocPartId="d07a4bee29de425b9505cf385b244ba7" PartId="e824b468268141998dc445e6db3b62e5"/>
          <Part Type="papunktis" Nr="22.1.3" Abbr="22.1.3 pp." DocPartId="d3fc28e219d2466babaef70e3ff1f2cc" PartId="e169b4c78cad4fb9ba488f6b5426b36e"/>
          <Part Type="papunktis" Nr="22.1.4" Abbr="22.1.4 pp." DocPartId="df7e548fca064b4bb5edb8be814ee189" PartId="fd80f9f0a6814e52b5eb8a9a18aa6101"/>
          <Part Type="papunktis" Nr="22.1.5" Abbr="22.1.5 pp." DocPartId="fe4a27e322f24a1f8fb87b6a851a042b" PartId="b97d53fe89294a8da131f47926efb500"/>
        </Part>
        <Part Type="papunktis" Nr="22.2" Abbr="22.2 pp." DocPartId="1178eab0ef894359900fd52ed5d53ab0" PartId="ae0699844bbf498dbb641d67a42deedc">
          <Part Type="papunktis" Nr="22.2.1" Abbr="22.2.1 pp." DocPartId="032abc27c3ec43c7a4bfc626b31e69d6" PartId="92e55935ceda4883b047275c45d62fce"/>
          <Part Type="papunktis" Nr="22.2.2" Abbr="22.2.2 pp." DocPartId="0a42cc2dd6f2489f8cb04fef6849a01d" PartId="284df385164149a3a60507ba126d6861"/>
          <Part Type="papunktis" Nr="22.2.3" Abbr="22.2.3 pp." DocPartId="14553672449545bfbe55b3bb15d0a966" PartId="e7fd074a6a49491f805873b7314d76b8"/>
        </Part>
        <Part Type="papunktis" Nr="22.3" Abbr="22.3 pp." DocPartId="299aff89322241aeb0c63489f5bf47d8" PartId="9e0ea113687c4490b75670e07e9a8732"/>
      </Part>
    </Part>
    <Part Type="skyrius" Nr="4" Title="INFORMACIJOS PATEIKIMAS FINANSINIŲ ATASKAITŲ AIŠKINAMAJAME RAŠTE" DocPartId="29ecf5c97c1b42df8c6f950b74e94a52" PartId="cbcbcf305bdf4bbba322ef42fb3bbf20">
      <Part Type="punktas" Nr="23" Abbr="23 p." DocPartId="2417284ade174b0ab4fe6e8a0b42f5db" PartId="b274246736fc4473a03736dc27986952">
        <Part Type="papunktis" Nr="23.1" Abbr="23.1 pp." DocPartId="548fb0f6a4d4479ba11f4d410c3771dd" PartId="3154d5ff69a54b36b8bcb62c1b376b29"/>
        <Part Type="papunktis" Nr="23.2" Abbr="23.2 pp." DocPartId="98f25ebd4ccd4f4faf9d71ea1989fd74" PartId="e4e916edb6e349809c5e1fdb93eefab4"/>
      </Part>
      <Part Type="punktas" Nr="24" Abbr="24 p." DocPartId="afcbbb2a6e034aeb8d402ef9c2728172" PartId="eff6f0edfd6544379f1c697d90b8d42d"/>
    </Part>
    <Part Type="skyrius" Nr="5" Title="BAIGIAMOSIOS NUOSTATOS" DocPartId="d990a2e7a2c1407d9aa61f3bdec53835" PartId="03ff5dda1b2f497abbd06727d4211fc5">
      <Part Type="punktas" Nr="25" Abbr="25 p." DocPartId="3d9ad78117f240218a52544eae7664b1" PartId="0e5906c81e7e48c79882f9817e83ab85"/>
    </Part>
  </Part>
  <Part Type="priedas" Abbr="pr." Title="(Informacijos apie darbo užmokesčio ir socialinio draudimo sąnaudas forma)" DocPartId="2d7c47831e1445b3afe6a222262ea280" PartId="747842aca4124d2286c2f12b7a3166be">
    <Part Type="lentele" Title="INFORMACIJA APIE DARBO UŽMOKESČIO IR SOCIALINIO DRAUDIMO SĄNAUDAS" DocPartId="72651787ca6a4ec4b56b76f9ccd48e1a" PartId="f53029d4343f41a7a23465c948c3ba4e"/>
    <Part Type="pastraipa" DocPartId="8a37b7079b98407bbf20f94282a86dd5" PartId="38af4d30bc43477a9a0cebb397fd6c05"/>
    <Part Type="punktas" Nr="1" Abbr="pr. 1 p." DocPartId="b2cffa2a4221400fb9312b352c49925d" PartId="75a9b3a2a846423699cebc44e05d39f6"/>
    <Part Type="punktas" Nr="2" Abbr="pr. 2 p." DocPartId="a174bc96aa7747b08845594840e9ffc7" PartId="70229d00e2294caca904c878bf5b0d1b"/>
    <Part Type="punktas" Nr="3" Abbr="pr. 3 p." DocPartId="1913ee09bcc34222b624c12f57baa154" PartId="f95419fff2e5464699bf0794779c4757"/>
    <Part Type="punktas" Nr="4" Abbr="pr. 4 p." DocPartId="71a43e36760446f3bbaa06a1feeb7efe" PartId="83563ddb2a8745ed9171304a33b48325"/>
    <Part Type="punktas" Nr="5" Abbr="pr. 5 p." DocPartId="712bdc33a557486c8938964432aa70ec" PartId="45a6f671ebfd4a0a82ee186377f25139"/>
    <Part Type="punktas" Nr="6" Abbr="pr. 6 p." DocPartId="1361896a8abb4a1091f78b3adf4709ab" PartId="9f369d54ec654402b23684757ee33e61"/>
    <Part Type="punktas" Nr="7" Abbr="pr. 7 p." DocPartId="18b786d07ef34338a46bc2110cf40799" PartId="dff21e40cf8b4e0abdc9e6dda789ce79"/>
    <Part Type="punktas" Nr="8" Abbr="pr. 8 p." DocPartId="4ed63b6191bf4a6e95d39e2e474e53e1" PartId="0829e5870a814ffcba9790f3b4c53c57"/>
    <Part Type="punktas" Nr="9" Abbr="pr. 9 p." DocPartId="f9d5942f11964d9181c5d456cfcecfa6" PartId="1600322ce377404088106465a7a3f148"/>
    <Part Type="punktas" Nr="10" Abbr="pr. 10 p." DocPartId="11026d63b62342faaa4618c1177fcf2f" PartId="f530128e028f4553bf23f32c88aa47a1"/>
    <Part Type="punktas" Nr="11" Abbr="pr. 11 p." DocPartId="380fca4836174d9b91b1abbd3c600f2e" PartId="64f7954a26ff4057b9e0894984993b00"/>
    <Part Type="punktas" Nr="12" Abbr="pr. 12 p." DocPartId="ee60311233c54a719da1e6b7a52737f9" PartId="4ee6461d713f4d5495295d4aac9462f1"/>
  </Part>
</Parts>
</file>

<file path=customXml/itemProps1.xml><?xml version="1.0" encoding="utf-8"?>
<ds:datastoreItem xmlns:ds="http://schemas.openxmlformats.org/officeDocument/2006/customXml" ds:itemID="{039B9592-CDB2-4A4C-A1FF-A35D43D8A72B}">
  <ds:schemaRefs>
    <ds:schemaRef ds:uri="http://schemas.openxmlformats.org/officeDocument/2006/bibliography"/>
  </ds:schemaRefs>
</ds:datastoreItem>
</file>

<file path=customXml/itemProps2.xml><?xml version="1.0" encoding="utf-8"?>
<ds:datastoreItem xmlns:ds="http://schemas.openxmlformats.org/officeDocument/2006/customXml" ds:itemID="{618184F7-1F2F-4628-BA86-21F4C0689A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2585</Words>
  <Characters>18541</Characters>
  <Application>Microsoft Office Word</Application>
  <DocSecurity>4</DocSecurity>
  <Lines>579</Lines>
  <Paragraphs>197</Paragraphs>
  <ScaleCrop>false</ScaleCrop>
  <HeadingPairs>
    <vt:vector size="2" baseType="variant">
      <vt:variant>
        <vt:lpstr>Pavadinimas</vt:lpstr>
      </vt:variant>
      <vt:variant>
        <vt:i4>1</vt:i4>
      </vt:variant>
    </vt:vector>
  </HeadingPairs>
  <TitlesOfParts>
    <vt:vector size="1" baseType="lpstr">
      <vt:lpstr>LIETUVOS RESPUBLIKOS FINANSŲ MINISTRO Į S A K Y M A S</vt:lpstr>
    </vt:vector>
  </TitlesOfParts>
  <Company/>
  <LinksUpToDate>false</LinksUpToDate>
  <CharactersWithSpaces>20929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2024-11-28T06:46:00Z</dcterms:created>
  <dc:creator>Rima</dc:creator>
  <lastModifiedBy>adlibuser</lastModifiedBy>
  <dcterms:modified xsi:type="dcterms:W3CDTF">2024-11-28T06:46:00Z</dcterms:modified>
  <revision>2</revision>
  <dc:title>LIETUVOS RESPUBLIKOS FINANSŲ MINISTRO Į S A K Y M A S</dc:title>
</coreProperties>
</file>