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footnotes.xml" ContentType="application/vnd.openxmlformats-officedocument.wordprocessingml.footnotes+xml"/>
  <Override PartName="/word/header1.xml" ContentType="application/vnd.openxmlformats-officedocument.wordprocessingml.header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  <Override PartName="/word/webSettings.xml" ContentType="application/vnd.openxmlformats-officedocument.wordprocessingml.webSettings+xml"/>
</Types>
</file>

<file path=_rels/.rels><?xml version="1.0" encoding="UTF-8"?>

<Relationships xmlns="http://schemas.openxmlformats.org/package/2006/relationships">
  <Relationship Id="rId1" Type="http://schemas.openxmlformats.org/officeDocument/2006/relationships/officeDocument" Target="word/document.xml"/>
  <Relationship Id="rId3" Type="http://schemas.openxmlformats.org/officeDocument/2006/relationships/extended-properties" Target="docProps/app.xml"/>
  <Relationship Id="rId4" Type="http://schemas.openxmlformats.org/package/2006/relationships/metadata/core-properties" Target="docProps/core.xml"/>
</Relationships>

</file>

<file path=word/document.xml><?xml version="1.0" encoding="utf-8"?>
<w:document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taisx="http://lrs.lt/TAIS/DocPartXmlMarks" mc:Ignorable="w14 w15 w16se wp14">
  <w:body>
    <w:sdt>
      <w:sdtPr>
        <w:alias w:val="pagrindine"/>
        <w:tag w:val="part_66ad47f40ff44a9c9c5fb8d15a6decc8"/>
        <w:lock w:val="sdtLocked"/>
        <w:richText/>
      </w:sdtPr>
      <w:sdtContent>
        <w:p>
          <w:pPr>
            <w:ind w:left="7776"/>
            <w:rPr>
              <w:szCs w:val="24"/>
            </w:rPr>
          </w:pPr>
          <w:r>
            <w:rPr>
              <w:b/>
              <w:bCs/>
              <w:szCs w:val="24"/>
            </w:rPr>
            <w:t>Projektas</w:t>
            <w:br/>
          </w:r>
          <w:r>
            <w:rPr>
              <w:szCs w:val="24"/>
            </w:rPr>
            <w:t>Nr. TSP</w:t>
          </w:r>
        </w:p>
        <w:p>
          <w:pPr>
            <w:jc w:val="center"/>
            <w:rPr>
              <w:b/>
              <w:bCs/>
              <w:szCs w:val="24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RADVILIŠKIO RAJONO SAVIVALDYBĖS TARYBA</w:t>
          </w:r>
        </w:p>
        <w:p>
          <w:pPr>
            <w:tabs>
              <w:tab w:val="left" w:pos="2010"/>
            </w:tabs>
            <w:ind w:firstLine="2010"/>
            <w:rPr>
              <w:b/>
              <w:bCs/>
              <w:sz w:val="16"/>
              <w:szCs w:val="16"/>
            </w:rPr>
          </w:pPr>
        </w:p>
        <w:p>
          <w:pPr>
            <w:jc w:val="center"/>
            <w:rPr>
              <w:b/>
              <w:bCs/>
              <w:szCs w:val="24"/>
            </w:rPr>
          </w:pPr>
          <w:r>
            <w:rPr>
              <w:b/>
              <w:bCs/>
              <w:szCs w:val="24"/>
            </w:rPr>
            <w:t>SPRENDIMAS</w:t>
          </w:r>
        </w:p>
        <w:p>
          <w:pPr>
            <w:jc w:val="center"/>
            <w:rPr>
              <w:b/>
              <w:szCs w:val="24"/>
            </w:rPr>
          </w:pPr>
          <w:r>
            <w:rPr>
              <w:b/>
              <w:szCs w:val="24"/>
            </w:rPr>
            <w:t xml:space="preserve">DĖL RADVILIŠKIO RAJONO SAVIVALDYBĖS APLINKOS APSAUGOS RĖMIMO SPECIALIOSIOS PROGRAMOS 2025 METŲ PRIEMONIŲ VYKDYMO SĄMATOS PATVIRTINIMO </w:t>
          </w:r>
        </w:p>
        <w:p>
          <w:pPr>
            <w:jc w:val="center"/>
            <w:rPr>
              <w:b/>
              <w:szCs w:val="24"/>
            </w:rPr>
          </w:pP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 xml:space="preserve">2025 m.                      d. Nr. T-</w:t>
          </w:r>
        </w:p>
        <w:p>
          <w:pPr>
            <w:jc w:val="center"/>
            <w:rPr>
              <w:szCs w:val="24"/>
            </w:rPr>
          </w:pPr>
          <w:r>
            <w:rPr>
              <w:szCs w:val="24"/>
            </w:rPr>
            <w:t>Radviliškis</w:t>
          </w:r>
        </w:p>
        <w:p>
          <w:pPr>
            <w:tabs>
              <w:tab w:val="left" w:pos="7680"/>
            </w:tabs>
            <w:jc w:val="both"/>
            <w:rPr>
              <w:sz w:val="22"/>
              <w:szCs w:val="24"/>
            </w:rPr>
          </w:pPr>
        </w:p>
        <w:sdt>
          <w:sdtPr>
            <w:alias w:val="preambule"/>
            <w:tag w:val="part_118cac2d2e434f8a818ac1bd25b98ba6"/>
            <w:lock w:val="sdtLocked"/>
            <w:richText/>
          </w:sdtPr>
          <w:sdtContent>
            <w:p>
              <w:pPr>
                <w:tabs>
                  <w:tab w:val="left" w:pos="8222"/>
                  <w:tab w:val="left" w:pos="8505"/>
                  <w:tab w:val="left" w:pos="9639"/>
                </w:tabs>
                <w:spacing w:line="276" w:lineRule="auto"/>
                <w:ind w:firstLine="851"/>
                <w:jc w:val="both"/>
                <w:rPr>
                  <w:lang w:bidi="he-IL"/>
                </w:rPr>
              </w:pPr>
              <w:r>
                <w:rPr>
                  <w:lang w:bidi="he-IL"/>
                </w:rPr>
                <w:t>Vadovaudamasi Lietuvos Respublikos vietos savivaldos įstatymo 15 straipsnio 4 dalimi ir Lietuvos Respublikos savivaldybių aplinkos apsaugos rėmimo specialiosios programos įstatymo 2 straipsnio 3 dalimi,</w:t>
              </w:r>
              <w:r>
                <w:rPr>
                  <w:szCs w:val="24"/>
                </w:rPr>
                <w:t xml:space="preserve"> </w:t>
              </w:r>
              <w:r>
                <w:rPr>
                  <w:szCs w:val="24"/>
                  <w:lang w:eastAsia="lt-LT"/>
                </w:rPr>
                <w:t xml:space="preserve">Radviliškio rajono savivaldybės taryba </w:t>
              </w:r>
              <w:r>
                <w:rPr>
                  <w:spacing w:val="50"/>
                  <w:szCs w:val="24"/>
                  <w:lang w:eastAsia="lt-LT"/>
                </w:rPr>
                <w:t>nusprendži</w:t>
              </w:r>
              <w:r>
                <w:rPr>
                  <w:szCs w:val="24"/>
                  <w:lang w:eastAsia="lt-LT"/>
                </w:rPr>
                <w:t>a</w:t>
              </w:r>
              <w:r>
                <w:rPr>
                  <w:lang w:bidi="he-IL"/>
                </w:rPr>
                <w:t xml:space="preserve">: </w:t>
              </w:r>
            </w:p>
          </w:sdtContent>
        </w:sdt>
        <w:sdt>
          <w:sdtPr>
            <w:alias w:val="pastraipa"/>
            <w:tag w:val="part_500d1cecdad9449e97864c471d3a8bfb"/>
            <w:lock w:val="sdtLocked"/>
            <w:richText/>
          </w:sdtPr>
          <w:sdtContent>
            <w:p>
              <w:pPr>
                <w:tabs>
                  <w:tab w:val="left" w:pos="969"/>
                  <w:tab w:val="left" w:pos="1482"/>
                </w:tabs>
                <w:spacing w:line="276" w:lineRule="auto"/>
                <w:ind w:right="5" w:firstLine="851"/>
                <w:jc w:val="both"/>
                <w:rPr>
                  <w:szCs w:val="24"/>
                  <w:lang w:eastAsia="lt-LT"/>
                </w:rPr>
              </w:pPr>
              <w:r>
                <w:rPr>
                  <w:szCs w:val="24"/>
                  <w:lang w:eastAsia="lt-LT"/>
                </w:rPr>
                <w:t>Patvirtinti</w:t>
              </w:r>
              <w:r>
                <w:rPr>
                  <w:spacing w:val="42"/>
                  <w:szCs w:val="24"/>
                  <w:lang w:eastAsia="lt-LT"/>
                </w:rPr>
                <w:t xml:space="preserve"> </w:t>
              </w:r>
              <w:r>
                <w:rPr>
                  <w:szCs w:val="24"/>
                  <w:lang w:eastAsia="lt-LT"/>
                </w:rPr>
                <w:t>Radviliškio rajono savivaldybės aplinkos apsaugos rėmimo specialiosios programos 2025 metų priemonių vykdymo sąmatą (pridedama).</w:t>
              </w:r>
            </w:p>
            <w:p>
              <w:pPr>
                <w:suppressAutoHyphens/>
                <w:spacing w:line="276" w:lineRule="auto"/>
                <w:ind w:firstLine="851"/>
                <w:jc w:val="both"/>
                <w:textAlignment w:val="baseline"/>
                <w:rPr>
                  <w:szCs w:val="24"/>
                </w:rPr>
              </w:pPr>
            </w:p>
            <w:p>
              <w:pPr>
                <w:suppressAutoHyphens/>
                <w:ind w:firstLine="709"/>
                <w:jc w:val="both"/>
                <w:textAlignment w:val="baseline"/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</w:sdtContent>
        </w:sdt>
        <w:sdt>
          <w:sdtPr>
            <w:alias w:val="signatura"/>
            <w:tag w:val="part_3a2aefc5396644169617a79c4eb3fbb1"/>
            <w:lock w:val="sdtLocked"/>
            <w:richText/>
          </w:sdtPr>
          <w:sdtContent>
            <w:p>
              <w:pPr>
                <w:rPr>
                  <w:szCs w:val="24"/>
                </w:rPr>
              </w:pPr>
              <w:r>
                <w:rPr>
                  <w:szCs w:val="24"/>
                </w:rPr>
                <w:t xml:space="preserve">Savivaldybės meras                                                                                 </w:t>
              </w: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rPr>
                  <w:szCs w:val="24"/>
                </w:rPr>
              </w:pPr>
            </w:p>
            <w:p>
              <w:pPr>
                <w:tabs>
                  <w:tab w:val="left" w:pos="1304"/>
                  <w:tab w:val="left" w:pos="1457"/>
                  <w:tab w:val="left" w:pos="1604"/>
                  <w:tab w:val="left" w:pos="1757"/>
                </w:tabs>
                <w:rPr>
                  <w:szCs w:val="24"/>
                </w:rPr>
              </w:pPr>
            </w:p>
          </w:sdtContent>
        </w:sdt>
      </w:sdtContent>
    </w:sdt>
    <w:sdt>
      <w:sdtPr>
        <w:alias w:val="patvirtinta"/>
        <w:tag w:val="part_6d1659091ac64b5086ef81bca268512a"/>
        <w:lock w:val="sdtLocked"/>
        <w:richText/>
      </w:sdtPr>
      <w:sdtContent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firstLine="3600"/>
            <w:rPr>
              <w:szCs w:val="24"/>
            </w:rPr>
          </w:pPr>
          <w:r>
            <w:rPr>
              <w:szCs w:val="24"/>
            </w:rPr>
            <w:t>PATVIRTINTA</w:t>
          </w:r>
        </w:p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firstLine="3600"/>
            <w:rPr>
              <w:szCs w:val="24"/>
            </w:rPr>
          </w:pPr>
          <w:r>
            <w:rPr>
              <w:szCs w:val="24"/>
            </w:rPr>
            <w:t xml:space="preserve">Radviliškio rajono savivaldybės tarybos </w:t>
          </w:r>
        </w:p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firstLine="3600"/>
            <w:rPr>
              <w:szCs w:val="24"/>
            </w:rPr>
          </w:pPr>
          <w:r>
            <w:rPr>
              <w:szCs w:val="24"/>
            </w:rPr>
            <w:t xml:space="preserve">2025 m.                  d. sprendimu Nr. </w:t>
          </w:r>
          <w:r>
            <w:rPr>
              <w:szCs w:val="24"/>
              <w:lang w:val="en-US"/>
            </w:rPr>
            <w:t xml:space="preserve">T-    </w:t>
          </w:r>
        </w:p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firstLine="124"/>
            <w:rPr>
              <w:szCs w:val="24"/>
            </w:rPr>
          </w:pPr>
        </w:p>
        <w:p>
          <w:pPr>
            <w:widowControl w:val="0"/>
            <w:suppressAutoHyphens/>
            <w:jc w:val="center"/>
            <w:rPr>
              <w:szCs w:val="24"/>
            </w:rPr>
          </w:pPr>
          <w:sdt>
            <w:sdtPr>
              <w:alias w:val="Pavadinimas"/>
              <w:tag w:val="title_6d1659091ac64b5086ef81bca268512a"/>
              <w:lock w:val="sdtLocked"/>
              <w:richText/>
            </w:sdtPr>
            <w:sdtContent>
              <w:r>
                <w:rPr>
                  <w:b/>
                  <w:szCs w:val="24"/>
                </w:rPr>
                <w:t>RADVILIŠKIO RAJONO SAVIVALDYBĖS ADMINISTRACIJA</w:t>
              </w:r>
            </w:sdtContent>
          </w:sdt>
        </w:p>
        <w:p>
          <w:pPr>
            <w:widowControl w:val="0"/>
            <w:suppressAutoHyphens/>
            <w:rPr>
              <w:szCs w:val="24"/>
            </w:rPr>
          </w:pPr>
        </w:p>
        <w:sdt>
          <w:sdtPr>
            <w:alias w:val="skirsnis"/>
            <w:tag w:val="part_99558485512949fa85725cbf9f4c95d6"/>
            <w:lock w:val="sdtLocked"/>
            <w:richText/>
          </w:sdtPr>
          <w:sdtContent>
            <w:p>
              <w:pPr>
                <w:widowControl w:val="0"/>
                <w:suppressAutoHyphens/>
                <w:jc w:val="center"/>
                <w:rPr>
                  <w:b/>
                  <w:szCs w:val="24"/>
                </w:rPr>
              </w:pPr>
              <w:sdt>
                <w:sdtPr>
                  <w:alias w:val="Pavadinimas"/>
                  <w:tag w:val="title_99558485512949fa85725cbf9f4c95d6"/>
                  <w:lock w:val="sdtLocked"/>
                  <w:richText/>
                </w:sdtPr>
                <w:sdtContent>
                  <w:r>
                    <w:rPr>
                      <w:b/>
                      <w:szCs w:val="24"/>
                    </w:rPr>
                    <w:t>RADVILIŠKIO RAJONO SAVIVALDYBĖS APLINKOS APSAUGOS RĖMIMO SPECIALIOSIOS PROGRAMOS 2025 METŲ SĄMATA</w:t>
                  </w:r>
                </w:sdtContent>
              </w:sdt>
            </w:p>
            <w:p>
              <w:pPr>
                <w:jc w:val="both"/>
                <w:rPr>
                  <w:b/>
                  <w:szCs w:val="24"/>
                </w:rPr>
              </w:pPr>
            </w:p>
            <w:sdt>
              <w:sdtPr>
                <w:alias w:val="1 p."/>
                <w:tag w:val="part_663fe92e65f24ae6bfb3f833cbb9f60f"/>
                <w:lock w:val="sdtLocked"/>
                <w:richText/>
              </w:sdtPr>
              <w:sdtContent>
                <w:p>
                  <w:pPr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663fe92e65f24ae6bfb3f833cbb9f60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1</w:t>
                      </w:r>
                    </w:sdtContent>
                  </w:sdt>
                  <w:r>
                    <w:rPr>
                      <w:b/>
                      <w:szCs w:val="24"/>
                    </w:rPr>
                    <w:t>. Informacija apie Savivaldybių aplinkos apsaugos rėmimo specialiosios programos (toliau – Programa) lėšas</w:t>
                  </w:r>
                </w:p>
                <w:p>
                  <w:pPr>
                    <w:ind w:firstLine="312"/>
                    <w:jc w:val="both"/>
                    <w:rPr>
                      <w:b/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809"/>
                    <w:gridCol w:w="7450"/>
                    <w:gridCol w:w="1369"/>
                  </w:tblGrid>
                  <w:tr>
                    <w:tc>
                      <w:tcPr>
                        <w:tcW w:w="817" w:type="dxa"/>
                      </w:tcPr>
                      <w:p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ind w:firstLine="312"/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(1) Programos finansavimo šaltiniai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Lėšos, Eur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Mokesčiai už teršalų išmetimą į aplinką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100 000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1.2.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Mokesčiai už valstybinius gamtos išteklius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60 000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1.3.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Lėšos, gautos kaip želdinių atkuriamosios vertės kompensacija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1 000 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1.4.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Savanoriškos juridinių ir fizinių asmenų įmokos ir kitos teisėtai gautos lėšos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9 000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1.5.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Iš viso (1.1 + 1.2 + 1.3 + 1.4):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170 000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1.6.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Mokesčiai, sumokėti už medžiojamųjų gyvūnų išteklių naudojimą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50 000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1.7.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Ankstesnio ataskaitinio laikotarpio ataskaitos atitinkamų lėšų likutis 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47 095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1.8.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Iš viso (1.6 + 1.7):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97 095</w:t>
                        </w:r>
                      </w:p>
                    </w:tc>
                  </w:tr>
                  <w:tr>
                    <w:tc>
                      <w:tcPr>
                        <w:tcW w:w="81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1.9.</w:t>
                        </w:r>
                      </w:p>
                    </w:tc>
                    <w:tc>
                      <w:tcPr>
                        <w:tcW w:w="7655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Faktinės ataskaitinio laikotarpio Programos lėšos (1.5 + 1.8)</w:t>
                        </w:r>
                      </w:p>
                    </w:tc>
                    <w:tc>
                      <w:tcPr>
                        <w:tcW w:w="1382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267 095</w:t>
                        </w:r>
                      </w:p>
                    </w:tc>
                  </w:tr>
                </w:tbl>
                <w:p>
                  <w:pPr>
                    <w:jc w:val="both"/>
                    <w:rPr>
                      <w:b/>
                      <w:szCs w:val="24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696"/>
                    <w:gridCol w:w="7568"/>
                    <w:gridCol w:w="1364"/>
                  </w:tblGrid>
                  <w:tr>
                    <w:tc>
                      <w:tcPr>
                        <w:tcW w:w="696" w:type="dxa"/>
                      </w:tcPr>
                      <w:p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ind w:firstLine="312"/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(2) Savivaldybės visuomenės sveikatos rėmimo specialiajai programai skirtinos lėšos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Lėšos, Eur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1.10.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20 procentų Savivaldybių aplinkos apsaugos rėmimo specialiosios programos lėšų, neįskaitant įplaukų už medžioklės plotų naudotojų mokesčius, mokamus įstatymų nustatytomis proporcijomis ir tvarka už medžiojamųjų gyvūnų išteklių naudojimą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34 000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1.11.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Ankstesnio ataskaitinio laikotarpio ataskaitos atitinkamų lėšų likutis 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11 321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1.12.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Iš viso (1.10 + 1.11):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  <w:lang w:val="en-US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45 321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ind w:firstLine="312"/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(3) Kitoms Programos priemonėms skirtinos lėšos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jc w:val="center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Lėšos, Eur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1.13.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80 procentų Savivaldybių aplinkos apsaugos rėmimo specialiosios programos lėšų, neįskaitant įplaukų už medžioklės plotų naudotojų mokesčius, mokamus įstatymų nustatytomis proporcijomis ir tvarka už medžiojamųjų gyvūnų išteklių naudojimą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  <w:lang w:val="en-US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136 000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1.14.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Ankstesnio ataskaitinio laikotarpio ataskaitos atitinkamų lėšų likutis 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43 906</w:t>
                        </w:r>
                      </w:p>
                    </w:tc>
                  </w:tr>
                  <w:tr>
                    <w:tc>
                      <w:tcPr>
                        <w:tcW w:w="69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1.15.</w:t>
                        </w:r>
                      </w:p>
                    </w:tc>
                    <w:tc>
                      <w:tcPr>
                        <w:tcW w:w="75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Iš viso (1.13 + 1.14):</w:t>
                        </w:r>
                      </w:p>
                    </w:tc>
                    <w:tc>
                      <w:tcPr>
                        <w:tcW w:w="1364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179 906</w:t>
                        </w:r>
                      </w:p>
                    </w:tc>
                  </w:tr>
                </w:tbl>
                <w:p>
                  <w:pPr>
                    <w:widowControl w:val="0"/>
                    <w:suppressAutoHyphens/>
                    <w:rPr>
                      <w:rFonts w:ascii="Thorndale" w:hAnsi="Thorndale" w:cs="Tahoma"/>
                      <w:b/>
                      <w:szCs w:val="24"/>
                    </w:rPr>
                  </w:pPr>
                </w:p>
                <w:p>
                  <w:pPr>
                    <w:rPr>
                      <w:sz w:val="10"/>
                      <w:szCs w:val="10"/>
                    </w:rPr>
                  </w:pPr>
                </w:p>
              </w:sdtContent>
            </w:sdt>
            <w:sdt>
              <w:sdtPr>
                <w:alias w:val="2 p."/>
                <w:tag w:val="part_6e3e5fbc8b194312a1d611feabd415b7"/>
                <w:lock w:val="sdtLocked"/>
                <w:richText/>
              </w:sdtPr>
              <w:sdtContent>
                <w:p>
                  <w:pPr>
                    <w:widowControl w:val="0"/>
                    <w:suppressAutoHyphens/>
                    <w:jc w:val="both"/>
                    <w:rPr>
                      <w:rFonts w:cs="Tahoma"/>
                      <w:b/>
                      <w:szCs w:val="24"/>
                    </w:rPr>
                  </w:pPr>
                  <w:sdt>
                    <w:sdtPr>
                      <w:alias w:val="Numeris"/>
                      <w:tag w:val="nr_6e3e5fbc8b194312a1d611feabd415b7"/>
                      <w:lock w:val="sdtLocked"/>
                      <w:richText/>
                    </w:sdtPr>
                    <w:sdtContent>
                      <w:r>
                        <w:rPr>
                          <w:rFonts w:ascii="Thorndale" w:hAnsi="Thorndale" w:cs="Tahoma"/>
                          <w:b/>
                          <w:szCs w:val="24"/>
                        </w:rPr>
                        <w:t>2</w:t>
                      </w:r>
                    </w:sdtContent>
                  </w:sdt>
                  <w:r>
                    <w:rPr>
                      <w:rFonts w:ascii="Thorndale" w:hAnsi="Thorndale" w:cs="Tahoma"/>
                      <w:b/>
                      <w:szCs w:val="24"/>
                    </w:rPr>
                    <w:t xml:space="preserve">. </w:t>
                  </w:r>
                  <w:r>
                    <w:rPr>
                      <w:rFonts w:cs="Tahoma"/>
                      <w:b/>
                      <w:szCs w:val="24"/>
                    </w:rPr>
                    <w:t>Priemonės, kurioms finansuoti naudojamos lėšos, surinktos už medžiojamųjų gyvūnų išteklių naudojimą</w:t>
                  </w:r>
                </w:p>
                <w:p>
                  <w:pPr>
                    <w:rPr>
                      <w:sz w:val="10"/>
                      <w:szCs w:val="10"/>
                    </w:rPr>
                  </w:pP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756"/>
                    <w:gridCol w:w="2783"/>
                    <w:gridCol w:w="4721"/>
                    <w:gridCol w:w="1368"/>
                  </w:tblGrid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2783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Priemonės pavadinimas</w:t>
                        </w:r>
                      </w:p>
                    </w:tc>
                    <w:tc>
                      <w:tcPr>
                        <w:tcW w:w="4721" w:type="dxa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Detalus priemonės vykdymo aprašymas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Pagal sąmatą lėšų poreikis, Eur</w:t>
                        </w: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2.1.</w:t>
                        </w:r>
                      </w:p>
                    </w:tc>
                    <w:tc>
                      <w:tcPr>
                        <w:tcW w:w="7504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Miško sklypų, kuriuose medžioklė nėra uždrausta, savininkų, valdytojų ir naudotojų, įgyvendinamos žalos prevencijos priemonės, kuriomis jie siekia išvengti medžiojamųjų gyvūnų daromos žalos miškui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2.1.1.</w:t>
                        </w:r>
                      </w:p>
                    </w:tc>
                    <w:tc>
                      <w:tcPr>
                        <w:tcW w:w="2783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Miškų valdytojų ir savininkų repelentų įsigijimas, miške esančių želdinių ir žėlinių apdorojimo repelentais darbai, miškų aptvėrimo tvoromis darbai ir šiems darbams atlikti reikalingų medžiagų įsigijimas  </w:t>
                        </w:r>
                      </w:p>
                    </w:tc>
                    <w:tc>
                      <w:tcPr>
                        <w:tcW w:w="472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VĮ Valstybinių miškų urėdija Radviliškio regioninis padalinys. Vykdymo pradžia – 2025 m. I ketv., pabaiga – 2025 m. IV ketv.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60 000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2.1.2.</w:t>
                        </w:r>
                      </w:p>
                    </w:tc>
                    <w:tc>
                      <w:tcPr>
                        <w:tcW w:w="2783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Miškų valdytojų ir savininkų,</w:t>
                        </w:r>
                        <w:r>
                          <w:rPr>
                            <w:kern w:val="2"/>
                            <w:sz w:val="28"/>
                            <w:szCs w:val="28"/>
                            <w14:ligatures w14:val="standardContextual"/>
                          </w:rPr>
                          <w:t xml:space="preserve"> ž</w:t>
                        </w:r>
                        <w:r>
                          <w:rPr>
                            <w:szCs w:val="24"/>
                          </w:rPr>
                          <w:t xml:space="preserve">emės sklypų, kuriuose neuždrausta medžioklė, savininkų, valdytojų ir naudotojų įgyvendinamos priemonės, repelentų įsigijimas, želdinių ir žėlinių apdorojimo repelentais darbai, aptvėrimo tvoromis darbai ir šiems darbams atlikti reikalingų medžiagų įsigijimas; medelių individualių apsaugos priemonių pirkimas ir jų įrengimas  </w:t>
                        </w:r>
                      </w:p>
                    </w:tc>
                    <w:tc>
                      <w:tcPr>
                        <w:tcW w:w="472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.................... Vykdymo pradžia 2025 m. I ketv., pabaiga – 2025 m. IV ketv. (vykdoma esant poreikiui, pateikus paraišką).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27 095</w:t>
                        </w: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2.2.</w:t>
                        </w:r>
                      </w:p>
                    </w:tc>
                    <w:tc>
                      <w:tcPr>
                        <w:tcW w:w="7504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Kartografinės ir kitos medžiagos, reikalingos pagal Medžioklės įstatymo reikalavimus rengiamiems medžioklės plotų vienetų sudarymo ar jų ribų pakeitimo projektų, parengimo priemonės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2.2.1.</w:t>
                        </w:r>
                      </w:p>
                    </w:tc>
                    <w:tc>
                      <w:tcPr>
                        <w:tcW w:w="2783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Kartografinės ir kitos medžiagos, reikalingos pagal Medžioklės įstatymo reikalavimus rengiamiems medžioklės plotų vienetų sudarymo ar jų ribų pakeitimo projektams parengti, pirkimas</w:t>
                        </w:r>
                      </w:p>
                    </w:tc>
                    <w:tc>
                      <w:tcPr>
                        <w:tcW w:w="472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............... Vykdymo pradžia – 2025 m. I ketv., pabaiga – 2025 m. IV ketv. (vykdoma esant poreikiui, pateikus paraišką).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10 000</w:t>
                        </w: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...</w:t>
                        </w:r>
                      </w:p>
                    </w:tc>
                    <w:tc>
                      <w:tcPr>
                        <w:tcW w:w="2783" w:type="dxa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721" w:type="dxa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75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7504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Iš viso: </w:t>
                        </w:r>
                      </w:p>
                    </w:tc>
                    <w:tc>
                      <w:tcPr>
                        <w:tcW w:w="13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97 095</w:t>
                        </w:r>
                      </w:p>
                    </w:tc>
                  </w:tr>
                </w:tbl>
                <w:p/>
              </w:sdtContent>
            </w:sdt>
            <w:sdt>
              <w:sdtPr>
                <w:alias w:val="3 p."/>
                <w:tag w:val="part_a7f286334f4a4b3688f22b1e8d75d7a4"/>
                <w:lock w:val="sdtLocked"/>
                <w:richText/>
              </w:sdtPr>
              <w:sdtContent>
                <w:p>
                  <w:pPr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a7f286334f4a4b3688f22b1e8d75d7a4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3</w:t>
                      </w:r>
                    </w:sdtContent>
                  </w:sdt>
                  <w:r>
                    <w:rPr>
                      <w:b/>
                      <w:szCs w:val="24"/>
                    </w:rPr>
                    <w:t>. Programos lėšos, skirtos Savivaldybės visuomenės sveikatos rėmimo specialiajai programai</w:t>
                  </w:r>
                </w:p>
                <w:tbl>
                  <w:tblPr>
                    <w:tblW w:w="9889" w:type="dxa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7621"/>
                    <w:gridCol w:w="2268"/>
                  </w:tblGrid>
                  <w:tr>
                    <w:tc>
                      <w:tcPr>
                        <w:tcW w:w="762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Programos pavadinimas</w:t>
                        </w:r>
                      </w:p>
                    </w:tc>
                    <w:tc>
                      <w:tcPr>
                        <w:tcW w:w="2268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Pagal sąmatą lėšų poreikis, Eur</w:t>
                        </w:r>
                      </w:p>
                    </w:tc>
                  </w:tr>
                  <w:tr>
                    <w:trPr>
                      <w:trHeight w:val="312"/>
                    </w:trPr>
                    <w:tc>
                      <w:tcPr>
                        <w:tcW w:w="762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Savivaldybės visuomenės sveikatos rėmimo specialioji programa</w:t>
                        </w:r>
                      </w:p>
                    </w:tc>
                    <w:tc>
                      <w:tcPr>
                        <w:tcW w:w="2268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45 321</w:t>
                        </w:r>
                      </w:p>
                    </w:tc>
                  </w:tr>
                </w:tbl>
                <w:p>
                  <w:pPr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4 p."/>
                <w:tag w:val="part_bbcac32c8aac4fc0b8e107d50a9ec0ef"/>
                <w:lock w:val="sdtLocked"/>
                <w:richText/>
              </w:sdtPr>
              <w:sdtContent>
                <w:p>
                  <w:pPr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bbcac32c8aac4fc0b8e107d50a9ec0ef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4</w:t>
                      </w:r>
                    </w:sdtContent>
                  </w:sdt>
                  <w:r>
                    <w:rPr>
                      <w:b/>
                      <w:szCs w:val="24"/>
                    </w:rPr>
                    <w:t>. Kitos aplinkosaugos priemonės, kurioms įgyvendinti panaudotos Programos lėšos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869"/>
                    <w:gridCol w:w="2592"/>
                    <w:gridCol w:w="4801"/>
                    <w:gridCol w:w="6"/>
                    <w:gridCol w:w="1360"/>
                  </w:tblGrid>
                  <w:tr>
                    <w:trPr>
                      <w:tblHeader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Priemonės pavadinimas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312"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Detalus priemonės vykdymo aprašymas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Pagal sąmatą lėšų poreikis, Eur</w:t>
                        </w: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</w:t>
                        </w: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Aplinkos kokybės gerinimo ir apsaugos priemonės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4.1.1.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Teršalų, išmetamų į atmosferą, vandenį, žemės paviršių ir gilesnius jo sluoksnius, mažinimo įrenginių (pvz., nuotekų ir lietaus surinkimo, valymo, vandens tiekimo sistemos ir jų elementai) įsigijimo, projektavimo, statybos, remonto, rekonstravimo darbų finansavimas </w:t>
                        </w:r>
                        <w:r>
                          <w:rPr>
                            <w:b/>
                            <w:i/>
                            <w:szCs w:val="24"/>
                          </w:rPr>
                          <w:t>(B</w:t>
                        </w:r>
                        <w:r>
                          <w:rPr>
                            <w:b/>
                            <w:bCs/>
                            <w:i/>
                            <w:szCs w:val="24"/>
                          </w:rPr>
                          <w:t>aisogalos</w:t>
                        </w:r>
                        <w:r>
                          <w:rPr>
                            <w:b/>
                            <w:i/>
                            <w:szCs w:val="24"/>
                          </w:rPr>
                          <w:t xml:space="preserve"> – paviršinių vandens nuotekų tinklų atskyrimas nuo buitinių nuotekų tinklų)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Investicijų ir turto skyrius. Vykdytojas – Investicijų ir turto skyrius. Vykdymo pradžia – 2025 m. I ketv., pabaiga – 2025 m. IV ketv. (dotacija UAB „Radviliškio vanduo“).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30 000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4.1.2.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Teršalų, išmetamų į atmosferą, vandenį, žemės paviršių ir gilesnius jo sluoksnius, mažinimo įrenginių (pvz., nuotekų ir lietaus surinkimo, valymo, vandens tiekimo sistemos ir jų elementai) įsigijimo, projektavimo, statybos, remonto, rekonstravimo darbų finansavimas </w:t>
                        </w:r>
                        <w:r>
                          <w:rPr>
                            <w:b/>
                            <w:szCs w:val="24"/>
                          </w:rPr>
                          <w:t>(</w:t>
                        </w:r>
                        <w:r>
                          <w:rPr>
                            <w:b/>
                            <w:i/>
                            <w:szCs w:val="24"/>
                          </w:rPr>
                          <w:t xml:space="preserve">Radviliškio rajono savivaldybės teritorijoje –  nuotekų surinkimo, valymo ir vandens tiekimo sistemos ir jų elementai, naujų tinklų tiesimas – prisidėjimas prie socialinių būstų</w:t>
                        </w:r>
                        <w:r>
                          <w:rPr>
                            <w:b/>
                            <w:szCs w:val="24"/>
                          </w:rPr>
                          <w:t>)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Investicijų ir turto skyrius. Vykdytojas – Investicijų ir turto skyrius. Vykdymo pradžia – 2025 m. I ketv., pabaiga – 2025 m. IV ketv. (dotacija UAB „Radviliškio vanduo“).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ind w:firstLine="62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513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4.1.3.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Teršalų, išmetamų į atmosferą, vandenį, žemės paviršių ir gilesnius jo sluoksnius, mažinimo įrenginių (pvz., nuotekų ir lietaus surinkimo, valymo, vandens tiekimo sistemos ir jų elementai) įsigijimo, projektavimo, statybos, remonto, rekonstravimo darbų finansavimas </w:t>
                        </w:r>
                        <w:r>
                          <w:rPr>
                            <w:b/>
                            <w:i/>
                            <w:szCs w:val="24"/>
                          </w:rPr>
                          <w:t>(Polekėlės k. – buitinių nuotekų tinklų rekonstrukcija ir nuotekų siurblinės įrengimas)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Investicijų ir turto skyrius. Vykdytojas – Investicijų ir turto skyrius. Vykdymo pradžia – 2025 m. I ketv., pabaiga – 2025 m. IV ketv. (dotacija UAB „Radviliškio vanduo“).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15 000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513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4.1.4.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Smėlio, druskos ir purvo mišinio, kuris didina kietųjų dalelių koncentraciją aplinkos ore, surinkimo iš miestų gatvių ir šalinimo darbų, atliekamų tik pavasario laikotarpiu, finansavimas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Radviliškio miesto seniūnija. Vykdytojas – Radviliškio miesto seniūnija. Vykdymo pradžia – 2025 m. I ketv., pabaiga – 2025 m. II ketv.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1 500</w:t>
                        </w:r>
                      </w:p>
                      <w:p>
                        <w:pPr>
                          <w:widowControl w:val="0"/>
                          <w:suppressAutoHyphens/>
                          <w:ind w:firstLine="62"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027"/>
                    </w:trPr>
                    <w:tc>
                      <w:tcPr>
                        <w:tcW w:w="869" w:type="dxa"/>
                        <w:vMerge w:val="restart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4.1.5.</w:t>
                        </w:r>
                      </w:p>
                    </w:tc>
                    <w:tc>
                      <w:tcPr>
                        <w:tcW w:w="2592" w:type="dxa"/>
                        <w:vMerge w:val="restart"/>
                      </w:tcPr>
                      <w:p>
                        <w:pPr>
                          <w:snapToGrid w:val="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Teritorijoje esančių valstybės saugomų teritorijų apsaugos ir tvarkymo darbai (šienavimas, menkaverčių krūmų iškirtimas)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Šaukoto seniūnija. Vykdytojas – Šaukoto seniūnija. Vykdymo pradžia – 2025 m. I ketv., pabaiga – 2025 m. IV ketv.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027"/>
                    </w:trPr>
                    <w:tc>
                      <w:tcPr>
                        <w:tcW w:w="869" w:type="dxa"/>
                        <w:vMerge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</w:tcPr>
                      <w:p>
                        <w:pPr>
                          <w:snapToGrid w:val="0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Šiaulėnų seniūnija. Vykdytojas – Šiaulėnų seniūnija. Vykdymo pradžia – 2025 m. I ketv., pabaiga – 2025 m. IV ketv.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500</w:t>
                        </w:r>
                      </w:p>
                    </w:tc>
                  </w:tr>
                  <w:tr>
                    <w:trPr>
                      <w:trHeight w:val="443"/>
                    </w:trPr>
                    <w:tc>
                      <w:tcPr>
                        <w:tcW w:w="869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4.1.6.</w:t>
                        </w:r>
                      </w:p>
                    </w:tc>
                    <w:tc>
                      <w:tcPr>
                        <w:tcW w:w="2592" w:type="dxa"/>
                        <w:vMerge w:val="restart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Invazinių Lietuvoje rūšių sąraše esančių rūšių</w:t>
                        </w:r>
                        <w:r>
                          <w:rPr>
                            <w:szCs w:val="24"/>
                            <w:lang w:val="en-US"/>
                          </w:rPr>
                          <w:t xml:space="preserve"> </w:t>
                        </w:r>
                        <w:r>
                          <w:rPr>
                            <w:szCs w:val="24"/>
                          </w:rPr>
                          <w:t>gausos reguliavimo ir naikinimo darbai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Radviliškio miesto seniūnija. Vykdytojas – Radviliškio miesto seniūnija. Vykdymo pradžia – 2025 m. I ketv., pabaiga – 2025 m. IV ketv.</w:t>
                        </w:r>
                      </w:p>
                    </w:tc>
                    <w:tc>
                      <w:tcPr>
                        <w:tcW w:w="1360" w:type="dxa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2 000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780"/>
                    </w:trPr>
                    <w:tc>
                      <w:tcPr>
                        <w:tcW w:w="869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7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Skėmių seniūnija. Vykdytojas – Skėmių seniūnija. Vykdymo pradžia – 2025 m. I ketv., pabaiga – 2025 m. IV ketv.</w:t>
                        </w:r>
                      </w:p>
                    </w:tc>
                    <w:tc>
                      <w:tcPr>
                        <w:tcW w:w="1360" w:type="dxa"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1 000</w:t>
                        </w:r>
                      </w:p>
                    </w:tc>
                  </w:tr>
                  <w:tr>
                    <w:trPr>
                      <w:trHeight w:val="780"/>
                    </w:trPr>
                    <w:tc>
                      <w:tcPr>
                        <w:tcW w:w="869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7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Grinkiškio seniūnija. Vykdytojas – Grinkiškio seniūnija. Vykdymo pradžia – 2025 m. I ketv., pabaiga – 2025 m. IV ketv.</w:t>
                        </w:r>
                      </w:p>
                    </w:tc>
                    <w:tc>
                      <w:tcPr>
                        <w:tcW w:w="1360" w:type="dxa"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2 000</w:t>
                        </w:r>
                      </w:p>
                    </w:tc>
                  </w:tr>
                  <w:tr>
                    <w:trPr>
                      <w:trHeight w:val="278"/>
                    </w:trPr>
                    <w:tc>
                      <w:tcPr>
                        <w:tcW w:w="869" w:type="dxa"/>
                        <w:vMerge w:val="restart"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4.1.7.</w:t>
                        </w:r>
                      </w:p>
                    </w:tc>
                    <w:tc>
                      <w:tcPr>
                        <w:tcW w:w="2592" w:type="dxa"/>
                        <w:vMerge w:val="restart"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Varninių paukščių  gausos reguliavimas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Radviliškio rajono savivaldybės administracija, atsakingas – Radviliškio miesto seniūnija. Vykdytojas – Radviliškio miesto seniūnija. Vykdymo pradžia – 2025 m. I ketv. (iki kovo 1 d.), pabaiga – 2025 m. IV ketv. (nuo liepos 1 d.). </w:t>
                        </w:r>
                      </w:p>
                    </w:tc>
                    <w:tc>
                      <w:tcPr>
                        <w:tcW w:w="1360" w:type="dxa"/>
                        <w:tcBorders>
                          <w:left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1 500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77"/>
                    </w:trPr>
                    <w:tc>
                      <w:tcPr>
                        <w:tcW w:w="869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7" w:type="dxa"/>
                        <w:gridSpan w:val="2"/>
                        <w:tcBorders>
                          <w:top w:val="single" w:sz="4" w:space="0" w:color="auto"/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Radviliškio rajono savivaldybės administracija, atsakingas – Šeduvos miesto seniūnija. Vykdytojas – Šeduvos miesto seniūnija. Vykdymo pradžia – 2025 m. I ketv. (iki kovo 1 d.), pabaiga – 2025 m. IV ketv. (nuo liepos 1 d.). </w:t>
                        </w:r>
                      </w:p>
                    </w:tc>
                    <w:tc>
                      <w:tcPr>
                        <w:tcW w:w="1360" w:type="dxa"/>
                        <w:tcBorders>
                          <w:left w:val="single" w:sz="4" w:space="0" w:color="auto"/>
                          <w:bottom w:val="single" w:sz="4" w:space="0" w:color="auto"/>
                          <w:right w:val="single" w:sz="4" w:space="0" w:color="auto"/>
                        </w:tcBorders>
                      </w:tcPr>
                      <w:p>
                        <w:pPr>
                          <w:widowControl w:val="0"/>
                          <w:suppressAutoHyphens/>
                          <w:ind w:firstLine="62"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1 500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4.2.</w:t>
                        </w: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Atliekų tvarkymo infrastruktūros plėtros priemonės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508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4.2.1.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rPr>
                            <w:rFonts w:ascii="Thorndale" w:hAnsi="Thorndale" w:cs="Tahoma"/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Atliekų surinkimo iš viešųjų teritorijų priemonių (šiukšlių dėžės) įsigijimas ir įrengimas;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Radviliškio rajono savivaldybės administracija, atsakingas – </w:t>
                        </w:r>
                        <w:r>
                          <w:rPr>
                            <w:szCs w:val="24"/>
                            <w:lang w:eastAsia="lt-LT"/>
                          </w:rPr>
                          <w:t>Radviliškio seniūnija</w:t>
                        </w:r>
                        <w:r>
                          <w:rPr>
                            <w:szCs w:val="24"/>
                          </w:rPr>
                          <w:t xml:space="preserve">. Vykdytojas – </w:t>
                        </w:r>
                        <w:r>
                          <w:rPr>
                            <w:szCs w:val="24"/>
                            <w:lang w:eastAsia="lt-LT"/>
                          </w:rPr>
                          <w:t>Radviliškio seniūnija</w:t>
                        </w:r>
                        <w:r>
                          <w:rPr>
                            <w:szCs w:val="24"/>
                          </w:rPr>
                          <w:t>. Vykdymo pradžia – 2025 m. I ketv., pabaiga – 2025 m. IV ketv.</w:t>
                          <w:tab/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ind w:firstLine="62"/>
                          <w:jc w:val="center"/>
                          <w:rPr>
                            <w:rFonts w:cs="Tahoma"/>
                            <w:szCs w:val="24"/>
                          </w:rPr>
                        </w:pPr>
                        <w:r>
                          <w:rPr>
                            <w:rFonts w:cs="Tahoma"/>
                            <w:szCs w:val="24"/>
                          </w:rPr>
                          <w:t>200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783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4.3.</w:t>
                        </w: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Atliekų, kurių turėtojo nustatyti neįmanoma arba kuris nebeegzistuoja, tvarkymo priemonės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1660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4.3.1.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ind w:firstLine="62"/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Surinkimo, transportavimo, perdirbimo, kitokio naudojimo ar šalinimo darbai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Radviliškio rajono savivaldybės administracija, atsakingas – Žemės ūkio skyrius. Vykdytojas –              . Vykdymo pradžia – 2025 m. I ketv., pabaiga – 2025 m. IV ketv. (vykdoma esant užterštai teritorijai, pateikus paraišką). 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  <w:lang w:val="en-US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500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1756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4.3.2.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rPr>
                            <w:sz w:val="8"/>
                            <w:szCs w:val="8"/>
                          </w:rPr>
                        </w:pPr>
                      </w:p>
                      <w:p>
                        <w:pPr>
                          <w:jc w:val="both"/>
                          <w:rPr>
                            <w:szCs w:val="24"/>
                            <w:lang w:eastAsia="lt-LT"/>
                          </w:rPr>
                        </w:pPr>
                        <w:r>
                          <w:rPr>
                            <w:szCs w:val="24"/>
                            <w:lang w:eastAsia="lt-LT"/>
                          </w:rPr>
                          <w:t>Atliekomis užterštos teritorijos išvalymo ir sutvarkymo darbai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.............................. Vykdymo pradžia – 2025 m. I ketv., pabaiga – 2025 m. IV ketv. (vykdoma esant užterštai teritorijai, pateikus paraišką).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  <w:lang w:val="en-US"/>
                          </w:rPr>
                        </w:pPr>
                        <w:r>
                          <w:rPr>
                            <w:szCs w:val="24"/>
                            <w:lang w:val="en-US"/>
                          </w:rPr>
                          <w:t>500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4.4.</w:t>
                        </w: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Aplinkos monitoringo, prevencinės, aplinkos atkūrimo priemonės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690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4.4.1.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Radviliškio rajono savivaldybės aplinkos monitoringo programos parengtos pagal Bendruosius savivaldybių aplinkos monitoringo nuostatus įgyvendinimas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VDU (atrinktas per viešąjį pirkimą). Vykdymo pradžia – 2024 m. I ketv., pabaiga – 2026 m. IV ketv.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35 000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4.4.2.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Sorbentų ir kitų priemonių, reikalingų avarijų padariniams likviduoti, įsigijimas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ŠAPGV Radviliškio priešgaisrinė gelbėjimo tarnyba. Vykdymo pradžia 2025 m. I ketv., pabaiga – 2025 m. IV ketv.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4.4.3.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Ekstremalių ekologinių situacijų, avarijų, įvykių padarinių likvidavimo darbai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rajono savivaldybės administracija, atsakingas – Žemės ūkio skyrius. Vykdytojas – .......................... Vykdymo pradžia 2025 m. I ketv., pabaiga – 2025 m. IV ketv. (Vykdoma tik įvykus ekstremaliom situacijom).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1 627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4.5.</w:t>
                        </w: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Visuomenės švietimo ir mokymo aplinkosaugos klausimais priemonės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4.5.1.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Tikslinių grupių (švietimo įstaigos, neformalaus ugdymo įstaigos, nevyriausybinės organizacijos, bendruomenės ir kt.) vykdomos aplinkosauginės veiklos, aplinkosauginių programų, projektų įgyvendinimo darbų finansavimas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švietimo įstaigos, neformalaus ugdymo įstaigos, nevyriausybinės organizacijos, bendruomenės ir kt. Vykdymo pradžia – 2025 m. I ketv., pabaiga – 2025 m. IV ketv.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7 584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4.5.2.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Spaudinių (laikraščių,  žurnalų, knygų) aplinkosaugine tema įsigijimas </w:t>
                        </w:r>
                      </w:p>
                    </w:tc>
                    <w:tc>
                      <w:tcPr>
                        <w:tcW w:w="4807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Žemės ūkio skyrius. Vykdymo pradžia – 2025 m. kovo mėn., pabaiga – 2025 m. gruodžio mėn.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1 000</w:t>
                        </w: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</w:t>
                        </w: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Želdynų ir želdinių apsaugos, tvarkymo, būklės stebėsenos, želdynų kūrimo, želdinių veisimo ir inventorizavimo priemonės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4.6.1.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Naujų želdinių įsigijimas, pavojų keliančių medžių šalinimo darbai, medžių ir krūmų genėjimo darbai</w:t>
                        </w: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skyrius, Radviliškio rajono savivaldybės administracijos seniūnijos. Vykdytojas – Radviliškio rajono savivaldybės administracijos seniūnijos. Vykdymo pradžia – 2025 m. I ketv., pabaiga – 2025 m. IV ketv. (pagal pridedamą sąrašą)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31 900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2208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4.6.2.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Seminarai, konferencijos, parodos, komandiruotės; darbuotojų, susijusių su želdynų ir želdinių apsauga, priežiūra ir tvarkymu, mokymo ir kvalifikacijos kėlimas</w:t>
                        </w: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ind w:firstLine="13"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Žemės ūkio skyrius. Vykdymo pradžia – 2025 m. I ketv., pabaiga – 2025 m. IV ketv.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1 210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1102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4.6.3.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Želdynų kūrimas, tvarkymas, pertvarkymas, inventorizavimas </w:t>
                        </w:r>
                      </w:p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Žemės ūkio skyrius. Vykdymo pradžia – 2025 m. I ketv., pabaiga – 2025 m. IV ketv.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18 150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825"/>
                    </w:trPr>
                    <w:tc>
                      <w:tcPr>
                        <w:tcW w:w="869" w:type="dxa"/>
                        <w:vMerge w:val="restart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4.6.4.</w:t>
                        </w:r>
                      </w:p>
                    </w:tc>
                    <w:tc>
                      <w:tcPr>
                        <w:tcW w:w="2592" w:type="dxa"/>
                        <w:vMerge w:val="restart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Medžių ir krūmų genėjimo, medžių gyvybingumo palaikymo darbai</w:t>
                        </w: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</w:t>
                        </w:r>
                        <w:r>
                          <w:rPr>
                            <w:rFonts w:cs="Tahoma"/>
                            <w:szCs w:val="24"/>
                          </w:rPr>
                          <w:t>Radviliškio rajono savivaldybės administracija</w:t>
                        </w:r>
                        <w:r>
                          <w:rPr>
                            <w:szCs w:val="24"/>
                          </w:rPr>
                          <w:t>, atsakingas – Radviliškio miesto seniūnija. Vykdytojas – Radviliškio miesto seniūnija. Vykdymo pradžia – 2025 m. I ketv., pabaiga – 2025 m. IV ketv. (darbus atliks arboristai).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3 000</w:t>
                        </w:r>
                      </w:p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825"/>
                    </w:trPr>
                    <w:tc>
                      <w:tcPr>
                        <w:tcW w:w="869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rFonts w:cs="Tahoma"/>
                            <w:szCs w:val="24"/>
                          </w:rPr>
                          <w:t xml:space="preserve">Asignavimų valdytojas – Radviliškio rajono savivaldybės administracija, atsakingas – Šeduvos miesto seniūnija. Vykdytojas – Šeduvos miesto seniūnija. Vykdymo pradžia – 2025 m. I ketv. </w:t>
                        </w:r>
                        <w:r>
                          <w:rPr>
                            <w:szCs w:val="24"/>
                          </w:rPr>
                          <w:t>(darbus atliks arboristai).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2 000</w:t>
                        </w:r>
                      </w:p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825"/>
                    </w:trPr>
                    <w:tc>
                      <w:tcPr>
                        <w:tcW w:w="869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</w:t>
                        </w:r>
                        <w:r>
                          <w:rPr>
                            <w:rFonts w:cs="Tahoma"/>
                            <w:szCs w:val="24"/>
                          </w:rPr>
                          <w:t>Radviliškio rajono savivaldybės administracija</w:t>
                        </w:r>
                        <w:r>
                          <w:rPr>
                            <w:szCs w:val="24"/>
                          </w:rPr>
                          <w:t>, atsakingas – Grinkiškio seniūnija. Vykdytojas – Grinkiškio seniūnija. Vykdymo pradžia 2025 m. I ketv., pabaiga – 2025 m. IV ketv. (Darbus atliks arboristai)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1 000</w:t>
                        </w:r>
                      </w:p>
                    </w:tc>
                  </w:tr>
                  <w:tr>
                    <w:trPr>
                      <w:trHeight w:val="690"/>
                    </w:trPr>
                    <w:tc>
                      <w:tcPr>
                        <w:tcW w:w="869" w:type="dxa"/>
                        <w:vMerge w:val="restart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4.6.5.</w:t>
                        </w:r>
                      </w:p>
                    </w:tc>
                    <w:tc>
                      <w:tcPr>
                        <w:tcW w:w="2592" w:type="dxa"/>
                        <w:vMerge w:val="restart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Želdynų tvarkymas, pertvarkymas, pagal želdinių tvarkymo projektus (aiškinamuosius raštus)</w:t>
                        </w: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</w:t>
                        </w:r>
                        <w:r>
                          <w:rPr>
                            <w:rFonts w:cs="Tahoma"/>
                            <w:szCs w:val="24"/>
                          </w:rPr>
                          <w:t>Radviliškio rajono savivaldybės administracija</w:t>
                        </w:r>
                        <w:r>
                          <w:rPr>
                            <w:szCs w:val="24"/>
                          </w:rPr>
                          <w:t>, atsakingas – Radviliškio miesto seniūnija. Vykdytojas – Radviliškio miesto seniūnija. Vykdymo pradžia – 2025 m. I ketv., pabaiga – 2025 m. IV ketv.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rFonts w:cs="Tahoma"/>
                            <w:szCs w:val="24"/>
                          </w:rPr>
                        </w:pPr>
                        <w:r>
                          <w:rPr>
                            <w:rFonts w:cs="Tahoma"/>
                            <w:szCs w:val="24"/>
                          </w:rPr>
                          <w:t>2 000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690"/>
                    </w:trPr>
                    <w:tc>
                      <w:tcPr>
                        <w:tcW w:w="869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</w:t>
                        </w:r>
                        <w:r>
                          <w:rPr>
                            <w:rFonts w:cs="Tahoma"/>
                            <w:szCs w:val="24"/>
                          </w:rPr>
                          <w:t>Radviliškio rajono savivaldybės administracija</w:t>
                        </w:r>
                        <w:r>
                          <w:rPr>
                            <w:szCs w:val="24"/>
                          </w:rPr>
                          <w:t>, atsakingas – Sidabravo seniūnija. Vykdytojas – Sidabravo seniūnija. Vykdymo pradžia – 2025 m. I ketv., pabaiga – 2025 m. IV ketv.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rFonts w:cs="Tahoma"/>
                            <w:szCs w:val="24"/>
                          </w:rPr>
                        </w:pPr>
                        <w:r>
                          <w:rPr>
                            <w:rFonts w:cs="Tahoma"/>
                            <w:szCs w:val="24"/>
                          </w:rPr>
                          <w:t>2 000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rFonts w:cs="Tahoma"/>
                            <w:szCs w:val="24"/>
                            <w:highlight w:val="yellow"/>
                          </w:rPr>
                        </w:pPr>
                      </w:p>
                    </w:tc>
                  </w:tr>
                  <w:tr>
                    <w:trPr>
                      <w:trHeight w:val="276"/>
                    </w:trPr>
                    <w:tc>
                      <w:tcPr>
                        <w:tcW w:w="869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2592" w:type="dxa"/>
                        <w:vMerge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Asignavimų valdytojas – </w:t>
                        </w:r>
                        <w:r>
                          <w:rPr>
                            <w:rFonts w:cs="Tahoma"/>
                            <w:szCs w:val="24"/>
                          </w:rPr>
                          <w:t>Radviliškio rajono savivaldybės administracija</w:t>
                        </w:r>
                        <w:r>
                          <w:rPr>
                            <w:szCs w:val="24"/>
                          </w:rPr>
                          <w:t xml:space="preserve">, atsakingas – </w:t>
                        </w:r>
                        <w:r>
                          <w:rPr>
                            <w:szCs w:val="24"/>
                            <w:lang w:eastAsia="lt-LT"/>
                          </w:rPr>
                          <w:t>Daugyvenės kultūros istorijos muziejus-draustinis</w:t>
                        </w:r>
                        <w:r>
                          <w:rPr>
                            <w:szCs w:val="24"/>
                          </w:rPr>
                          <w:t xml:space="preserve">. Vykdytojas – </w:t>
                        </w:r>
                        <w:r>
                          <w:rPr>
                            <w:szCs w:val="24"/>
                            <w:lang w:eastAsia="lt-LT"/>
                          </w:rPr>
                          <w:t>Daugyvenės kultūros istorijos muziejus-draustinis</w:t>
                        </w:r>
                        <w:r>
                          <w:rPr>
                            <w:szCs w:val="24"/>
                          </w:rPr>
                          <w:t>. Vykdymo pradžia – 2025 m. I ketv., pabaiga – 2025 m. IV ketv.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rFonts w:cs="Tahoma"/>
                            <w:szCs w:val="24"/>
                          </w:rPr>
                        </w:pPr>
                        <w:r>
                          <w:rPr>
                            <w:rFonts w:cs="Tahoma"/>
                            <w:szCs w:val="24"/>
                          </w:rPr>
                          <w:t>3 000</w:t>
                        </w:r>
                      </w:p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</w:p>
                    </w:tc>
                  </w:tr>
                  <w:tr>
                    <w:trPr>
                      <w:trHeight w:val="1102"/>
                    </w:trP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4.6.6.</w:t>
                        </w:r>
                      </w:p>
                    </w:tc>
                    <w:tc>
                      <w:tcPr>
                        <w:tcW w:w="2592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Želdynų ir želdinių būklės stebėsenos programos įgyvendinimas</w:t>
                        </w:r>
                      </w:p>
                    </w:tc>
                    <w:tc>
                      <w:tcPr>
                        <w:tcW w:w="4801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Asignavimų valdytojas – Radviliškio rajono savivaldybės administracija, atsakingas – Žemės ūkio skyrius. Vykdytojas – Žemės ūkio skyrius. Vykdymo pradžia – 2025 m. I ketv., pabaiga – 2025 m. IV ketv.</w:t>
                        </w:r>
                      </w:p>
                    </w:tc>
                    <w:tc>
                      <w:tcPr>
                        <w:tcW w:w="1366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rFonts w:cs="Tahoma"/>
                            <w:szCs w:val="24"/>
                          </w:rPr>
                          <w:t>4 235</w:t>
                        </w:r>
                      </w:p>
                    </w:tc>
                  </w:tr>
                  <w:tr>
                    <w:tc>
                      <w:tcPr>
                        <w:tcW w:w="8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</w:p>
                    </w:tc>
                    <w:tc>
                      <w:tcPr>
                        <w:tcW w:w="7399" w:type="dxa"/>
                        <w:gridSpan w:val="3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Iš viso: </w:t>
                        </w:r>
                      </w:p>
                    </w:tc>
                    <w:tc>
                      <w:tcPr>
                        <w:tcW w:w="1360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b/>
                            <w:bCs/>
                            <w:szCs w:val="24"/>
                          </w:rPr>
                        </w:pPr>
                        <w:r>
                          <w:rPr>
                            <w:b/>
                            <w:bCs/>
                            <w:szCs w:val="24"/>
                          </w:rPr>
                          <w:t>179 906</w:t>
                        </w:r>
                      </w:p>
                    </w:tc>
                  </w:tr>
                </w:tbl>
                <w:p>
                  <w:pPr>
                    <w:jc w:val="both"/>
                    <w:rPr>
                      <w:b/>
                      <w:szCs w:val="24"/>
                    </w:rPr>
                  </w:pPr>
                </w:p>
              </w:sdtContent>
            </w:sdt>
            <w:sdt>
              <w:sdtPr>
                <w:alias w:val="5 p."/>
                <w:tag w:val="part_76495fb299fb4f69ba2e852a335d98e9"/>
                <w:lock w:val="sdtLocked"/>
                <w:richText/>
              </w:sdtPr>
              <w:sdtContent>
                <w:p>
                  <w:pPr>
                    <w:jc w:val="both"/>
                    <w:rPr>
                      <w:b/>
                      <w:szCs w:val="24"/>
                    </w:rPr>
                  </w:pPr>
                  <w:sdt>
                    <w:sdtPr>
                      <w:alias w:val="Numeris"/>
                      <w:tag w:val="nr_76495fb299fb4f69ba2e852a335d98e9"/>
                      <w:lock w:val="sdtLocked"/>
                      <w:richText/>
                    </w:sdtPr>
                    <w:sdtContent>
                      <w:r>
                        <w:rPr>
                          <w:b/>
                          <w:szCs w:val="24"/>
                        </w:rPr>
                        <w:t>5</w:t>
                      </w:r>
                    </w:sdtContent>
                  </w:sdt>
                  <w:r>
                    <w:rPr>
                      <w:b/>
                      <w:szCs w:val="24"/>
                    </w:rPr>
                    <w:t>.</w:t>
                  </w:r>
                  <w:r>
                    <w:rPr>
                      <w:szCs w:val="24"/>
                    </w:rPr>
                    <w:t xml:space="preserve"> </w:t>
                  </w:r>
                  <w:r>
                    <w:rPr>
                      <w:b/>
                      <w:szCs w:val="24"/>
                    </w:rPr>
                    <w:t>Ataskaitinio laikotarpio Programos lėšų likučiai (nepanaudotos lėšos)</w:t>
                  </w:r>
                </w:p>
                <w:tbl>
                  <w:tblPr>
                    <w:tblW w:w="0" w:type="auto"/>
                    <w:tblBorders>
                      <w:top w:val="single" w:sz="4" w:space="0" w:color="auto"/>
                      <w:left w:val="single" w:sz="4" w:space="0" w:color="auto"/>
                      <w:bottom w:val="single" w:sz="4" w:space="0" w:color="auto"/>
                      <w:right w:val="single" w:sz="4" w:space="0" w:color="auto"/>
                      <w:insideH w:val="single" w:sz="4" w:space="0" w:color="auto"/>
                      <w:insideV w:val="single" w:sz="4" w:space="0" w:color="auto"/>
                    </w:tblBorders>
                    <w:tblLook w:val="01E0" w:firstRow="1" w:lastRow="1" w:firstColumn="1" w:lastColumn="1" w:noHBand="0" w:noVBand="0"/>
                  </w:tblPr>
                  <w:tblGrid>
                    <w:gridCol w:w="687"/>
                    <w:gridCol w:w="6"/>
                    <w:gridCol w:w="7569"/>
                    <w:gridCol w:w="1366"/>
                  </w:tblGrid>
                  <w:tr>
                    <w:trPr>
                      <w:trHeight w:val="512"/>
                    </w:trPr>
                    <w:tc>
                      <w:tcPr>
                        <w:tcW w:w="693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Eil. Nr.</w:t>
                        </w:r>
                      </w:p>
                    </w:tc>
                    <w:tc>
                      <w:tcPr>
                        <w:tcW w:w="75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Programos priemonių grupės pavadinimas</w:t>
                        </w:r>
                      </w:p>
                    </w:tc>
                    <w:tc>
                      <w:tcPr>
                        <w:tcW w:w="1366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b/>
                            <w:szCs w:val="24"/>
                          </w:rPr>
                        </w:pPr>
                        <w:r>
                          <w:rPr>
                            <w:b/>
                            <w:szCs w:val="24"/>
                          </w:rPr>
                          <w:t>Lėšų likutis, Eur</w:t>
                        </w:r>
                      </w:p>
                    </w:tc>
                  </w:tr>
                  <w:tr>
                    <w:trPr>
                      <w:trHeight w:val="499"/>
                    </w:trPr>
                    <w:tc>
                      <w:tcPr>
                        <w:tcW w:w="693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5.1.</w:t>
                        </w:r>
                      </w:p>
                    </w:tc>
                    <w:tc>
                      <w:tcPr>
                        <w:tcW w:w="7569" w:type="dxa"/>
                      </w:tcPr>
                      <w:p>
                        <w:pPr>
                          <w:widowControl w:val="0"/>
                          <w:suppressAutoHyphens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Programos priemonių grupė, kuriai naudojamos lėšos, surinktos už medžiojamųjų gyvūnų išteklių naudojimą (1.8–2)</w:t>
                        </w:r>
                      </w:p>
                    </w:tc>
                    <w:tc>
                      <w:tcPr>
                        <w:tcW w:w="1366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249"/>
                    </w:trPr>
                    <w:tc>
                      <w:tcPr>
                        <w:tcW w:w="693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5.2.</w:t>
                        </w:r>
                      </w:p>
                    </w:tc>
                    <w:tc>
                      <w:tcPr>
                        <w:tcW w:w="75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Savivaldybės visuomenės sveikatos rėmimo specialioji programa (1.12–3)</w:t>
                        </w:r>
                      </w:p>
                    </w:tc>
                    <w:tc>
                      <w:tcPr>
                        <w:tcW w:w="1366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263"/>
                    </w:trPr>
                    <w:tc>
                      <w:tcPr>
                        <w:tcW w:w="693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5.3.</w:t>
                        </w:r>
                      </w:p>
                    </w:tc>
                    <w:tc>
                      <w:tcPr>
                        <w:tcW w:w="7569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Kitų Programos aplinkosaugos priemonių grupė (1.15–4)</w:t>
                        </w:r>
                      </w:p>
                    </w:tc>
                    <w:tc>
                      <w:tcPr>
                        <w:tcW w:w="1366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</w:t>
                        </w:r>
                      </w:p>
                    </w:tc>
                  </w:tr>
                  <w:tr>
                    <w:trPr>
                      <w:trHeight w:val="249"/>
                    </w:trPr>
                    <w:tc>
                      <w:tcPr>
                        <w:tcW w:w="687" w:type="dxa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5.4.</w:t>
                        </w:r>
                      </w:p>
                    </w:tc>
                    <w:tc>
                      <w:tcPr>
                        <w:tcW w:w="7575" w:type="dxa"/>
                        <w:gridSpan w:val="2"/>
                      </w:tcPr>
                      <w:p>
                        <w:pPr>
                          <w:widowControl w:val="0"/>
                          <w:suppressAutoHyphens/>
                          <w:jc w:val="both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 xml:space="preserve">Iš viso: </w:t>
                        </w:r>
                      </w:p>
                    </w:tc>
                    <w:tc>
                      <w:tcPr>
                        <w:tcW w:w="1366" w:type="dxa"/>
                      </w:tcPr>
                      <w:p>
                        <w:pPr>
                          <w:widowControl w:val="0"/>
                          <w:suppressAutoHyphens/>
                          <w:jc w:val="center"/>
                          <w:rPr>
                            <w:szCs w:val="24"/>
                          </w:rPr>
                        </w:pPr>
                        <w:r>
                          <w:rPr>
                            <w:szCs w:val="24"/>
                          </w:rPr>
                          <w:t>0</w:t>
                        </w:r>
                      </w:p>
                    </w:tc>
                  </w:tr>
                </w:tbl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jc w:val="right"/>
                    <w:rPr>
                      <w:szCs w:val="24"/>
                      <w:lang w:eastAsia="lt-LT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  <w:p>
                  <w:pPr>
                    <w:tabs>
                      <w:tab w:val="left" w:pos="1304"/>
                      <w:tab w:val="left" w:pos="1457"/>
                      <w:tab w:val="left" w:pos="1604"/>
                      <w:tab w:val="left" w:pos="1757"/>
                    </w:tabs>
                    <w:ind w:left="5529"/>
                    <w:rPr>
                      <w:szCs w:val="24"/>
                    </w:rPr>
                  </w:pPr>
                </w:p>
              </w:sdtContent>
            </w:sdt>
          </w:sdtContent>
        </w:sdt>
      </w:sdtContent>
    </w:sdt>
    <w:sdt>
      <w:sdtPr>
        <w:alias w:val="patvirtinta"/>
        <w:tag w:val="part_7a4d2efb81d04c8182bdc1c6c6597370"/>
        <w:lock w:val="sdtLocked"/>
        <w:richText/>
      </w:sdtPr>
      <w:sdtContent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529"/>
            <w:rPr>
              <w:szCs w:val="24"/>
            </w:rPr>
          </w:pPr>
          <w:r>
            <w:rPr>
              <w:szCs w:val="24"/>
            </w:rPr>
            <w:t>PATVIRTINTA</w:t>
          </w:r>
        </w:p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529"/>
            <w:rPr>
              <w:szCs w:val="24"/>
            </w:rPr>
          </w:pPr>
          <w:r>
            <w:rPr>
              <w:szCs w:val="24"/>
            </w:rPr>
            <w:t>Radviliškio rajono savivaldybės</w:t>
          </w:r>
        </w:p>
        <w:p>
          <w:pPr>
            <w:tabs>
              <w:tab w:val="left" w:pos="1304"/>
              <w:tab w:val="left" w:pos="1457"/>
              <w:tab w:val="left" w:pos="1604"/>
              <w:tab w:val="left" w:pos="1757"/>
            </w:tabs>
            <w:ind w:left="5529"/>
            <w:rPr>
              <w:szCs w:val="24"/>
            </w:rPr>
          </w:pPr>
          <w:r>
            <w:rPr>
              <w:szCs w:val="24"/>
            </w:rPr>
            <w:t xml:space="preserve">tarybos 2025 m.          d. sprendimu Nr. </w:t>
          </w:r>
          <w:r>
            <w:rPr>
              <w:szCs w:val="24"/>
              <w:lang w:val="en-US"/>
            </w:rPr>
            <w:t xml:space="preserve">T-    </w:t>
          </w:r>
        </w:p>
        <w:p>
          <w:pPr>
            <w:ind w:firstLine="5704"/>
            <w:jc w:val="both"/>
            <w:rPr>
              <w:b/>
              <w:szCs w:val="24"/>
              <w:lang w:eastAsia="lt-LT"/>
            </w:rPr>
          </w:pPr>
          <w:sdt>
            <w:sdtPr>
              <w:alias w:val="Pavadinimas"/>
              <w:tag w:val="title_7a4d2efb81d04c8182bdc1c6c6597370"/>
              <w:lock w:val="sdtLocked"/>
              <w:richText/>
            </w:sdtPr>
            <w:sdtContent>
              <w:r>
                <w:rPr>
                  <w:b/>
                  <w:szCs w:val="24"/>
                  <w:lang w:eastAsia="lt-LT"/>
                </w:rPr>
                <w:t>(4.6.1. eilutės iššifravimas)</w:t>
              </w:r>
            </w:sdtContent>
          </w:sdt>
        </w:p>
        <w:p>
          <w:pPr>
            <w:jc w:val="right"/>
            <w:rPr>
              <w:b/>
              <w:szCs w:val="24"/>
              <w:lang w:eastAsia="lt-LT"/>
            </w:rPr>
          </w:pPr>
        </w:p>
        <w:p>
          <w:pPr>
            <w:ind w:firstLine="62"/>
            <w:jc w:val="center"/>
            <w:rPr>
              <w:b/>
              <w:szCs w:val="24"/>
              <w:lang w:eastAsia="lt-LT"/>
            </w:rPr>
          </w:pPr>
          <w:r>
            <w:rPr>
              <w:b/>
              <w:szCs w:val="24"/>
              <w:lang w:eastAsia="lt-LT"/>
            </w:rPr>
            <w:t>LĖŠŲ PASKIRSTYMAS SENIŪNIJOMS VISUOMENINĖS PASKIRTIES ŽELDINIŲ, SKVERŲ IR PARKŲ PRIEŽIŪRAI</w:t>
          </w:r>
          <w:r>
            <w:rPr>
              <w:szCs w:val="24"/>
              <w:lang w:eastAsia="lt-LT"/>
            </w:rPr>
            <w:t xml:space="preserve"> (</w:t>
          </w:r>
          <w:r>
            <w:rPr>
              <w:szCs w:val="24"/>
              <w:u w:val="single"/>
              <w:lang w:eastAsia="lt-LT"/>
            </w:rPr>
            <w:t>Naujų želdinių įsigijimas ir veisimas, pavojų keliančių ir sergančių medžių šalinimo darbai, medžių ir krūmų genėjimo darbai, želdynų tvarkymas</w:t>
          </w:r>
          <w:r>
            <w:rPr>
              <w:szCs w:val="24"/>
              <w:lang w:eastAsia="lt-LT"/>
            </w:rPr>
            <w:t>)</w:t>
          </w:r>
          <w:r>
            <w:rPr>
              <w:b/>
              <w:szCs w:val="24"/>
              <w:lang w:eastAsia="lt-LT"/>
            </w:rPr>
            <w:t xml:space="preserve"> 2025 M.</w:t>
          </w:r>
        </w:p>
        <w:p>
          <w:pPr>
            <w:jc w:val="center"/>
            <w:rPr>
              <w:b/>
              <w:szCs w:val="24"/>
              <w:lang w:eastAsia="lt-LT"/>
            </w:rPr>
          </w:pPr>
        </w:p>
        <w:tbl>
          <w:tblPr>
            <w:tblW w:w="0" w:type="auto"/>
            <w:tbl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  <w:insideH w:val="single" w:sz="4" w:space="0" w:color="auto"/>
              <w:insideV w:val="single" w:sz="4" w:space="0" w:color="auto"/>
            </w:tblBorders>
            <w:tblLook w:val="01E0" w:firstRow="1" w:lastRow="1" w:firstColumn="1" w:lastColumn="1" w:noHBand="0" w:noVBand="0"/>
          </w:tblPr>
          <w:tblGrid>
            <w:gridCol w:w="742"/>
            <w:gridCol w:w="3013"/>
            <w:gridCol w:w="1769"/>
            <w:gridCol w:w="4104"/>
          </w:tblGrid>
          <w:tr>
            <w:trPr>
              <w:trHeight w:val="654"/>
            </w:trP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Eil. Nr.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Seniūnijos pavadinimas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Skirta lėšų Eur.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Pastabos 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  <w:t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Aukštelkų seniūnija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2 400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15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 xml:space="preserve">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5</w:t>
                </w:r>
                <w:r>
                  <w:rPr>
                    <w:b/>
                    <w:bCs/>
                    <w:szCs w:val="24"/>
                    <w:lang w:eastAsia="lt-LT"/>
                  </w:rPr>
                  <w:t>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4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bCs/>
                    <w:szCs w:val="24"/>
                    <w:lang w:eastAsia="lt-LT"/>
                  </w:rPr>
                  <w:t>.</w:t>
                </w:r>
              </w:p>
            </w:tc>
          </w:tr>
          <w:t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Baisogalos seniūnija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3 000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200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szCs w:val="24"/>
                    <w:lang w:eastAsia="lt-LT"/>
                  </w:rPr>
                  <w:t xml:space="preserve">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5</w:t>
                </w:r>
                <w:r>
                  <w:rPr>
                    <w:b/>
                    <w:bCs/>
                    <w:szCs w:val="24"/>
                    <w:lang w:eastAsia="lt-LT"/>
                  </w:rPr>
                  <w:t>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50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bCs/>
                    <w:szCs w:val="24"/>
                    <w:lang w:eastAsia="lt-LT"/>
                  </w:rPr>
                  <w:t>.</w:t>
                </w:r>
              </w:p>
            </w:tc>
          </w:tr>
          <w:t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Grinkiškio seniūnija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1 500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szCs w:val="24"/>
                    <w:lang w:eastAsia="lt-LT"/>
                  </w:rPr>
                  <w:t>1000 €</w:t>
                </w:r>
                <w:r>
                  <w:rPr>
                    <w:bCs/>
                    <w:szCs w:val="24"/>
                    <w:lang w:eastAsia="lt-LT"/>
                  </w:rPr>
                  <w:t>;</w:t>
                </w:r>
                <w:r>
                  <w:rPr>
                    <w:b/>
                    <w:szCs w:val="24"/>
                    <w:lang w:eastAsia="lt-LT"/>
                  </w:rPr>
                  <w:t xml:space="preserve">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3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2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bCs/>
                    <w:szCs w:val="24"/>
                    <w:lang w:eastAsia="lt-LT"/>
                  </w:rPr>
                  <w:t>.</w:t>
                </w:r>
              </w:p>
            </w:tc>
          </w:tr>
          <w:t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4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Pakalniškių seniūnija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2 500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szCs w:val="24"/>
                    <w:lang w:eastAsia="lt-LT"/>
                  </w:rPr>
                  <w:t>1800 €</w:t>
                </w:r>
                <w:r>
                  <w:rPr>
                    <w:szCs w:val="24"/>
                    <w:lang w:eastAsia="lt-LT"/>
                  </w:rPr>
                  <w:t xml:space="preserve">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5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</w:t>
                </w:r>
                <w:r>
                  <w:rPr>
                    <w:b/>
                    <w:bCs/>
                    <w:szCs w:val="24"/>
                    <w:lang w:eastAsia="lt-LT"/>
                  </w:rPr>
                  <w:t>– 20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bCs/>
                    <w:szCs w:val="24"/>
                    <w:lang w:eastAsia="lt-LT"/>
                  </w:rPr>
                  <w:t>.</w:t>
                </w:r>
              </w:p>
            </w:tc>
          </w:tr>
          <w:t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5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miesto seniūnija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8 000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both"/>
                  <w:rPr>
                    <w:b/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5000 €</w:t>
                </w:r>
                <w:r>
                  <w:rPr>
                    <w:szCs w:val="24"/>
                    <w:lang w:eastAsia="lt-LT"/>
                  </w:rPr>
                  <w:t xml:space="preserve">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10</w:t>
                </w:r>
                <w:r>
                  <w:rPr>
                    <w:b/>
                    <w:bCs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1000 €</w:t>
                </w:r>
                <w:r>
                  <w:rPr>
                    <w:szCs w:val="24"/>
                    <w:lang w:eastAsia="lt-LT"/>
                  </w:rPr>
                  <w:t xml:space="preserve">; griovių šlaitų šienavimas ir tvarkymas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1000 €</w:t>
                </w:r>
                <w:r>
                  <w:rPr>
                    <w:szCs w:val="24"/>
                    <w:lang w:eastAsia="lt-LT"/>
                  </w:rPr>
                  <w:t>.</w:t>
                </w:r>
              </w:p>
            </w:tc>
          </w:tr>
          <w:t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6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Radviliškio seniūnija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2 500</w:t>
                </w:r>
              </w:p>
              <w:p>
                <w:pPr>
                  <w:jc w:val="center"/>
                  <w:rPr>
                    <w:szCs w:val="24"/>
                    <w:u w:val="single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18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bCs/>
                    <w:szCs w:val="24"/>
                    <w:lang w:eastAsia="lt-LT"/>
                  </w:rPr>
                  <w:t>;</w:t>
                </w:r>
                <w:r>
                  <w:rPr>
                    <w:rFonts w:cs="Tahoma"/>
                    <w:szCs w:val="24"/>
                  </w:rPr>
                  <w:t xml:space="preserve"> 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5</w:t>
                </w:r>
                <w:r>
                  <w:rPr>
                    <w:b/>
                    <w:bCs/>
                    <w:szCs w:val="24"/>
                    <w:lang w:eastAsia="lt-LT"/>
                  </w:rPr>
                  <w:t>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2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bCs/>
                    <w:szCs w:val="24"/>
                    <w:lang w:eastAsia="lt-LT"/>
                  </w:rPr>
                  <w:t>.</w:t>
                </w:r>
              </w:p>
            </w:tc>
          </w:tr>
          <w:t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7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Sidabravo seniūnija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2 500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szCs w:val="24"/>
                    <w:lang w:eastAsia="lt-LT"/>
                  </w:rPr>
                  <w:t>1500 €</w:t>
                </w:r>
                <w:r>
                  <w:rPr>
                    <w:szCs w:val="24"/>
                    <w:lang w:eastAsia="lt-LT"/>
                  </w:rPr>
                  <w:t xml:space="preserve">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b/>
                    <w:szCs w:val="24"/>
                    <w:lang w:eastAsia="lt-LT"/>
                  </w:rPr>
                  <w:t>500 €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szCs w:val="24"/>
                    <w:lang w:eastAsia="lt-LT"/>
                  </w:rPr>
                  <w:t>500 €</w:t>
                </w:r>
                <w:r>
                  <w:rPr>
                    <w:bCs/>
                    <w:szCs w:val="24"/>
                    <w:lang w:eastAsia="lt-LT"/>
                  </w:rPr>
                  <w:t>.</w:t>
                </w:r>
              </w:p>
            </w:tc>
          </w:tr>
          <w:t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8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Skėmių seniūnija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ind w:firstLine="62"/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7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 xml:space="preserve">; </w:t>
                </w:r>
                <w:r>
                  <w:rPr>
                    <w:rFonts w:cs="Tahoma"/>
                    <w:szCs w:val="24"/>
                  </w:rPr>
                  <w:t xml:space="preserve">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2</w:t>
                </w:r>
                <w:r>
                  <w:rPr>
                    <w:b/>
                    <w:bCs/>
                    <w:szCs w:val="24"/>
                    <w:lang w:eastAsia="lt-LT"/>
                  </w:rPr>
                  <w:t>00</w:t>
                </w:r>
                <w:r>
                  <w:rPr>
                    <w:b/>
                    <w:szCs w:val="24"/>
                    <w:lang w:eastAsia="lt-LT"/>
                  </w:rPr>
                  <w:t xml:space="preserve">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bCs/>
                    <w:szCs w:val="24"/>
                    <w:lang w:eastAsia="lt-LT"/>
                  </w:rPr>
                  <w:t>.</w:t>
                </w:r>
              </w:p>
            </w:tc>
          </w:tr>
          <w:t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9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Šaukoto seniūnija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1 000</w:t>
                </w:r>
              </w:p>
              <w:p>
                <w:pPr>
                  <w:ind w:firstLine="62"/>
                  <w:jc w:val="center"/>
                  <w:rPr>
                    <w:szCs w:val="24"/>
                    <w:lang w:eastAsia="lt-LT"/>
                  </w:rPr>
                </w:pP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7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>;</w:t>
                </w:r>
                <w:r>
                  <w:rPr>
                    <w:rFonts w:cs="Tahoma"/>
                    <w:szCs w:val="24"/>
                  </w:rPr>
                  <w:t xml:space="preserve"> 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2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10</w:t>
                </w:r>
                <w:r>
                  <w:rPr>
                    <w:b/>
                    <w:szCs w:val="24"/>
                    <w:lang w:eastAsia="lt-LT"/>
                  </w:rPr>
                  <w:t>0 €</w:t>
                </w:r>
                <w:r>
                  <w:rPr>
                    <w:bCs/>
                    <w:szCs w:val="24"/>
                    <w:lang w:eastAsia="lt-LT"/>
                  </w:rPr>
                  <w:t>.</w:t>
                </w:r>
              </w:p>
            </w:tc>
          </w:tr>
          <w:t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10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Šeduvos miesto seniūnija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rFonts w:cs="Tahoma"/>
                    <w:szCs w:val="24"/>
                  </w:rPr>
                </w:pPr>
                <w:r>
                  <w:rPr>
                    <w:rFonts w:cs="Tahoma"/>
                    <w:szCs w:val="24"/>
                  </w:rPr>
                  <w:t>4 000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30</w:t>
                </w:r>
                <w:r>
                  <w:rPr>
                    <w:b/>
                    <w:szCs w:val="24"/>
                    <w:lang w:eastAsia="lt-LT"/>
                  </w:rPr>
                  <w:t>00 €.</w:t>
                </w:r>
                <w:r>
                  <w:rPr>
                    <w:rFonts w:cs="Tahoma"/>
                    <w:szCs w:val="24"/>
                  </w:rPr>
                  <w:t xml:space="preserve"> 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5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szCs w:val="24"/>
                  </w:rPr>
                  <w:t>; n</w:t>
                </w:r>
                <w:r>
                  <w:rPr>
                    <w:szCs w:val="24"/>
                    <w:lang w:eastAsia="lt-LT"/>
                  </w:rPr>
                  <w:t xml:space="preserve">aujų želdinių įsigijimas – </w:t>
                </w:r>
                <w:r>
                  <w:rPr>
                    <w:b/>
                    <w:bCs/>
                    <w:szCs w:val="24"/>
                    <w:lang w:eastAsia="lt-LT"/>
                  </w:rPr>
                  <w:t>5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bCs/>
                    <w:szCs w:val="24"/>
                    <w:lang w:eastAsia="lt-LT"/>
                  </w:rPr>
                  <w:t>.</w:t>
                </w:r>
              </w:p>
            </w:tc>
          </w:tr>
          <w:t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11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Šiaulėnų seniūnija</w:t>
                </w:r>
              </w:p>
              <w:p>
                <w:pPr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1 500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12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>;</w:t>
                </w:r>
                <w:r>
                  <w:rPr>
                    <w:rFonts w:cs="Tahoma"/>
                    <w:szCs w:val="24"/>
                  </w:rPr>
                  <w:t xml:space="preserve"> 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3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bCs/>
                    <w:szCs w:val="24"/>
                  </w:rPr>
                  <w:t>.</w:t>
                </w:r>
              </w:p>
            </w:tc>
          </w:tr>
          <w:t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12</w:t>
                </w: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Tyrulių seniūnija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2 000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both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Pavojų keliančių ir sergančių medžių šalinimo darbai, medžių ir krūmų genėjimo darbams (ir elektros oro linijų apsaugos zonose) – </w:t>
                </w:r>
                <w:r>
                  <w:rPr>
                    <w:b/>
                    <w:bCs/>
                    <w:szCs w:val="24"/>
                    <w:lang w:eastAsia="lt-LT"/>
                  </w:rPr>
                  <w:t>16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szCs w:val="24"/>
                    <w:lang w:eastAsia="lt-LT"/>
                  </w:rPr>
                  <w:t>;</w:t>
                </w:r>
                <w:r>
                  <w:rPr>
                    <w:rFonts w:cs="Tahoma"/>
                    <w:szCs w:val="24"/>
                  </w:rPr>
                  <w:t xml:space="preserve"> kuras aplinkos, </w:t>
                </w:r>
                <w:r>
                  <w:rPr>
                    <w:szCs w:val="24"/>
                    <w:lang w:eastAsia="lt-LT"/>
                  </w:rPr>
                  <w:t>želdynų</w:t>
                </w:r>
                <w:r>
                  <w:rPr>
                    <w:rFonts w:cs="Tahoma"/>
                    <w:szCs w:val="24"/>
                  </w:rPr>
                  <w:t xml:space="preserve"> tvarkymui – </w:t>
                </w:r>
                <w:r>
                  <w:rPr>
                    <w:rFonts w:cs="Tahoma"/>
                    <w:b/>
                    <w:bCs/>
                    <w:szCs w:val="24"/>
                  </w:rPr>
                  <w:t>4</w:t>
                </w:r>
                <w:r>
                  <w:rPr>
                    <w:b/>
                    <w:szCs w:val="24"/>
                    <w:lang w:eastAsia="lt-LT"/>
                  </w:rPr>
                  <w:t>00 €</w:t>
                </w:r>
                <w:r>
                  <w:rPr>
                    <w:rFonts w:cs="Tahoma"/>
                    <w:bCs/>
                    <w:szCs w:val="24"/>
                  </w:rPr>
                  <w:t>.</w:t>
                </w:r>
              </w:p>
            </w:tc>
          </w:tr>
          <w:tr>
            <w:trPr>
              <w:trHeight w:val="237"/>
            </w:trPr>
            <w:tc>
              <w:tcPr>
                <w:tcW w:w="742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3013" w:type="dxa"/>
                <w:shd w:val="clear" w:color="auto" w:fill="auto"/>
              </w:tcPr>
              <w:p>
                <w:pPr>
                  <w:ind w:firstLine="124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 xml:space="preserve">Viso:                                                </w:t>
                </w:r>
              </w:p>
            </w:tc>
            <w:tc>
              <w:tcPr>
                <w:tcW w:w="1769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  <w:r>
                  <w:rPr>
                    <w:szCs w:val="24"/>
                    <w:lang w:eastAsia="lt-LT"/>
                  </w:rPr>
                  <w:t>31 900</w:t>
                </w:r>
              </w:p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  <w:tc>
              <w:tcPr>
                <w:tcW w:w="4104" w:type="dxa"/>
                <w:shd w:val="clear" w:color="auto" w:fill="auto"/>
              </w:tcPr>
              <w:p>
                <w:pPr>
                  <w:jc w:val="center"/>
                  <w:rPr>
                    <w:szCs w:val="24"/>
                    <w:lang w:eastAsia="lt-LT"/>
                  </w:rPr>
                </w:pPr>
              </w:p>
            </w:tc>
          </w:tr>
        </w:tbl>
        <w:p>
          <w:pPr>
            <w:jc w:val="center"/>
            <w:rPr>
              <w:b/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p>
          <w:pPr>
            <w:jc w:val="both"/>
            <w:rPr>
              <w:szCs w:val="24"/>
              <w:lang w:eastAsia="lt-LT"/>
            </w:rPr>
          </w:pPr>
        </w:p>
        <w:sdt>
          <w:sdtPr>
            <w:alias w:val="lentele"/>
            <w:tag w:val="part_6be41f4d20224043a24ae2867363ed7e"/>
            <w:lock w:val="sdtLocked"/>
            <w:richText/>
          </w:sdtPr>
          <w:sdtContent>
            <w:sdt>
              <w:sdtPr>
                <w:alias w:val="Pavadinimas"/>
                <w:tag w:val="title_6be41f4d20224043a24ae2867363ed7e"/>
                <w:lock w:val="sdtLocked"/>
                <w:richText/>
              </w:sdtPr>
              <w:sdtContent>
                <w:p>
                  <w:pPr>
                    <w:jc w:val="center"/>
                    <w:rPr>
                      <w:b/>
                      <w:szCs w:val="24"/>
                    </w:rPr>
                  </w:pPr>
                  <w:r>
                    <w:rPr>
                      <w:b/>
                      <w:szCs w:val="24"/>
                    </w:rPr>
                    <w:t xml:space="preserve">RADVILIŠKIO RAJONO SAVIVALDYBĖS TARYBOS SPRENDIMO PROJEKTO                                     „DĖL RADVILIŠKIO RAJONO SAVIVALDYBĖS APLINKOS APSAUGOS RĖMIMO SPECIALIOSIOS PROGRAMOS 2025 METŲ PRIEMONIŲ VYKDYMO SĄMATOS PATVIRTINIMO“ </w:t>
                  </w:r>
                </w:p>
                <w:p>
                  <w:pPr>
                    <w:keepNext/>
                    <w:jc w:val="center"/>
                    <w:outlineLvl w:val="1"/>
                    <w:rPr>
                      <w:b/>
                      <w:bCs/>
                      <w:caps/>
                      <w:szCs w:val="24"/>
                    </w:rPr>
                  </w:pPr>
                  <w:r>
                    <w:rPr>
                      <w:b/>
                      <w:bCs/>
                      <w:caps/>
                      <w:szCs w:val="24"/>
                    </w:rPr>
                    <w:t>AIŠKINAMASIS RAŠTAS</w:t>
                  </w:r>
                </w:p>
              </w:sdtContent>
            </w:sdt>
            <w:tbl>
              <w:tblPr>
                <w:tblW w:w="9793" w:type="dxa"/>
                <w:tblInd w:w="-12" w:type="dxa"/>
                <w:tblLayout w:type="fixed"/>
                <w:tblLook w:val="0000" w:firstRow="0" w:lastRow="0" w:firstColumn="0" w:lastColumn="0" w:noHBand="0" w:noVBand="0"/>
              </w:tblPr>
              <w:tblGrid>
                <w:gridCol w:w="12"/>
                <w:gridCol w:w="9781"/>
              </w:tblGrid>
              <w:tr>
                <w:tc>
                  <w:tcPr>
                    <w:tcW w:w="9793" w:type="dxa"/>
                    <w:gridSpan w:val="2"/>
                  </w:tcPr>
                  <w:p>
                    <w:pPr>
                      <w:widowControl w:val="0"/>
                      <w:tabs>
                        <w:tab w:val="left" w:pos="567"/>
                      </w:tabs>
                      <w:suppressAutoHyphens/>
                      <w:spacing w:line="360" w:lineRule="auto"/>
                      <w:jc w:val="center"/>
                      <w:rPr>
                        <w:szCs w:val="24"/>
                      </w:rPr>
                    </w:pPr>
                  </w:p>
                  <w:p>
                    <w:pPr>
                      <w:widowControl w:val="0"/>
                      <w:tabs>
                        <w:tab w:val="left" w:pos="567"/>
                      </w:tabs>
                      <w:suppressAutoHyphens/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2025 m. sausio 20 d.</w:t>
                    </w:r>
                  </w:p>
                  <w:p>
                    <w:pPr>
                      <w:widowControl w:val="0"/>
                      <w:tabs>
                        <w:tab w:val="left" w:pos="567"/>
                      </w:tabs>
                      <w:suppressAutoHyphens/>
                      <w:spacing w:line="360" w:lineRule="auto"/>
                      <w:jc w:val="center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>Radviliškis</w:t>
                    </w:r>
                  </w:p>
                  <w:p>
                    <w:pPr>
                      <w:tabs>
                        <w:tab w:val="left" w:pos="1134"/>
                      </w:tabs>
                      <w:spacing w:line="360" w:lineRule="auto"/>
                      <w:jc w:val="both"/>
                      <w:rPr>
                        <w:rFonts w:ascii="Thorndale" w:hAnsi="Thorndale" w:cs="Tahoma"/>
                        <w:szCs w:val="24"/>
                        <w:lang w:bidi="he-IL"/>
                      </w:rPr>
                    </w:pPr>
                  </w:p>
                  <w:p>
                    <w:pPr>
                      <w:widowControl w:val="0"/>
                      <w:tabs>
                        <w:tab w:val="left" w:pos="993"/>
                      </w:tabs>
                      <w:suppressAutoHyphens/>
                      <w:spacing w:line="360" w:lineRule="auto"/>
                      <w:ind w:firstLine="761"/>
                      <w:jc w:val="both"/>
                      <w:rPr>
                        <w:rFonts w:ascii="Thorndale" w:hAnsi="Thorndale" w:cs="Tahoma"/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1.</w:t>
                      <w:tab/>
                    </w:r>
                    <w:r>
                      <w:rPr>
                        <w:rFonts w:ascii="Thorndale" w:hAnsi="Thorndale" w:cs="Tahoma"/>
                        <w:b/>
                        <w:szCs w:val="24"/>
                        <w:lang w:bidi="he-IL"/>
                      </w:rPr>
                      <w:t>Projekto rengimą paskatinusios priežastys, parengto projekto tikslai, sprendimo projekto tikslai ir uždaviniai</w:t>
                    </w:r>
                    <w:r>
                      <w:rPr>
                        <w:rFonts w:ascii="Thorndale" w:hAnsi="Thorndale" w:cs="Tahoma"/>
                        <w:szCs w:val="24"/>
                        <w:lang w:bidi="he-IL"/>
                      </w:rPr>
                      <w:t>.</w:t>
                    </w:r>
                  </w:p>
                  <w:p>
                    <w:pPr>
                      <w:widowControl w:val="0"/>
                      <w:tabs>
                        <w:tab w:val="left" w:pos="993"/>
                      </w:tabs>
                      <w:suppressAutoHyphens/>
                      <w:spacing w:line="360" w:lineRule="auto"/>
                      <w:ind w:firstLine="761"/>
                      <w:jc w:val="both"/>
                      <w:rPr>
                        <w:rFonts w:ascii="Thorndale" w:hAnsi="Thorndale" w:cs="Tahoma"/>
                        <w:szCs w:val="24"/>
                      </w:rPr>
                    </w:pPr>
                    <w:r>
                      <w:rPr>
                        <w:rFonts w:ascii="Thorndale" w:hAnsi="Thorndale" w:cs="Tahoma"/>
                        <w:szCs w:val="24"/>
                      </w:rPr>
                      <w:t>Parengti ir patvirtinti Radviliškio rajono savivaldybės 2025 m. aplinkos apsaugos rėmimo specialiosios programos priemonių vykdymo sąmatą.</w:t>
                    </w:r>
                  </w:p>
                  <w:p>
                    <w:pPr>
                      <w:widowControl w:val="0"/>
                      <w:tabs>
                        <w:tab w:val="left" w:pos="993"/>
                      </w:tabs>
                      <w:suppressAutoHyphens/>
                      <w:spacing w:line="360" w:lineRule="auto"/>
                      <w:ind w:left="1656" w:hanging="895"/>
                      <w:jc w:val="both"/>
                      <w:rPr>
                        <w:rFonts w:ascii="Thorndale" w:hAnsi="Thorndale" w:cs="Tahoma"/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2.</w:t>
                      <w:tab/>
                    </w:r>
                    <w:r>
                      <w:rPr>
                        <w:rFonts w:ascii="Thorndale" w:hAnsi="Thorndale" w:cs="Tahoma"/>
                        <w:b/>
                        <w:bCs/>
                        <w:szCs w:val="24"/>
                      </w:rPr>
                      <w:t>Projekto iniciatoriai (institucija, asmenys ar piliečių atstovai) ir rengėjai.</w:t>
                    </w:r>
                  </w:p>
                  <w:p>
                    <w:pPr>
                      <w:widowControl w:val="0"/>
                      <w:suppressAutoHyphens/>
                      <w:spacing w:line="360" w:lineRule="auto"/>
                      <w:ind w:firstLine="761"/>
                      <w:jc w:val="both"/>
                      <w:rPr>
                        <w:rFonts w:ascii="Thorndale" w:hAnsi="Thorndale" w:cs="Tahoma"/>
                        <w:szCs w:val="24"/>
                      </w:rPr>
                    </w:pPr>
                    <w:r>
                      <w:rPr>
                        <w:szCs w:val="24"/>
                      </w:rPr>
                      <w:t>Žemės ūkio skyriaus vyriausioji specialistė Valentina Grinienė.</w:t>
                    </w:r>
                  </w:p>
                  <w:p>
                    <w:pPr>
                      <w:widowControl w:val="0"/>
                      <w:tabs>
                        <w:tab w:val="left" w:pos="993"/>
                      </w:tabs>
                      <w:suppressAutoHyphens/>
                      <w:spacing w:line="360" w:lineRule="auto"/>
                      <w:ind w:left="1656" w:hanging="895"/>
                      <w:jc w:val="both"/>
                      <w:rPr>
                        <w:rFonts w:ascii="Thorndale" w:hAnsi="Thorndale" w:cs="Tahoma"/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3.</w:t>
                      <w:tab/>
                    </w:r>
                    <w:r>
                      <w:rPr>
                        <w:rFonts w:ascii="Thorndale" w:hAnsi="Thorndale" w:cs="Tahoma"/>
                        <w:b/>
                        <w:szCs w:val="24"/>
                      </w:rPr>
                      <w:t>Kaip šiuo metu yra reguliuojami sprendimo projekte aptarti teisiniai santykiai.</w:t>
                    </w:r>
                  </w:p>
                  <w:p>
                    <w:pPr>
                      <w:widowControl w:val="0"/>
                      <w:tabs>
                        <w:tab w:val="left" w:pos="0"/>
                      </w:tabs>
                      <w:suppressAutoHyphens/>
                      <w:spacing w:line="360" w:lineRule="auto"/>
                      <w:ind w:firstLine="761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Radviliškio rajono savivaldybės 2024 m. aplinkos apsaugos rėmimo specialiosios programos sąmata buvo patvirtinta  2024 m. vasario 1 d. Tarybos sprendimu  Nr. T-265. </w:t>
                    </w:r>
                  </w:p>
                  <w:p>
                    <w:pPr>
                      <w:widowControl w:val="0"/>
                      <w:tabs>
                        <w:tab w:val="left" w:pos="993"/>
                      </w:tabs>
                      <w:suppressAutoHyphens/>
                      <w:spacing w:line="360" w:lineRule="auto"/>
                      <w:ind w:firstLine="761"/>
                      <w:jc w:val="both"/>
                      <w:rPr>
                        <w:rFonts w:ascii="Thorndale" w:hAnsi="Thorndale" w:cs="Tahoma"/>
                        <w:szCs w:val="24"/>
                        <w:shd w:val="clear" w:color="auto" w:fill="FFFFFF"/>
                      </w:rPr>
                    </w:pPr>
                    <w:r>
                      <w:rPr>
                        <w:b/>
                        <w:szCs w:val="24"/>
                      </w:rPr>
                      <w:t>4.</w:t>
                      <w:tab/>
                    </w:r>
                    <w:r>
                      <w:rPr>
                        <w:rFonts w:ascii="Thorndale" w:hAnsi="Thorndale" w:cs="Tahoma"/>
                        <w:b/>
                        <w:bCs/>
                        <w:szCs w:val="24"/>
                      </w:rPr>
                      <w:t>Kokios siūlomos naujos teisinio reguliavimo nuostatos, kokių teigiamų rezultatų laukiama.</w:t>
                    </w:r>
                  </w:p>
                  <w:p>
                    <w:pPr>
                      <w:widowControl w:val="0"/>
                      <w:tabs>
                        <w:tab w:val="left" w:pos="993"/>
                      </w:tabs>
                      <w:suppressAutoHyphens/>
                      <w:spacing w:line="360" w:lineRule="auto"/>
                      <w:ind w:firstLine="761"/>
                      <w:jc w:val="both"/>
                      <w:rPr>
                        <w:rFonts w:ascii="Thorndale" w:hAnsi="Thorndale" w:cs="Tahoma"/>
                        <w:szCs w:val="24"/>
                      </w:rPr>
                    </w:pPr>
                    <w:r>
                      <w:rPr>
                        <w:rFonts w:ascii="Thorndale" w:hAnsi="Thorndale" w:cs="Tahoma"/>
                        <w:szCs w:val="24"/>
                      </w:rPr>
                      <w:t>Bus patvirtinta Radviliškio rajono savivaldybės 2025 m. aplinkos apsaugos rėmimo specialiosios programos priemonių vykdymo sąmata.</w:t>
                    </w:r>
                  </w:p>
                  <w:p>
                    <w:pPr>
                      <w:widowControl w:val="0"/>
                      <w:tabs>
                        <w:tab w:val="left" w:pos="993"/>
                      </w:tabs>
                      <w:suppressAutoHyphens/>
                      <w:spacing w:line="360" w:lineRule="auto"/>
                      <w:ind w:left="-90" w:firstLine="851"/>
                      <w:jc w:val="both"/>
                      <w:rPr>
                        <w:rFonts w:ascii="Thorndale" w:hAnsi="Thorndale" w:cs="Tahoma"/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5.</w:t>
                      <w:tab/>
                    </w:r>
                    <w:r>
                      <w:rPr>
                        <w:rFonts w:ascii="Thorndale" w:hAnsi="Thorndale" w:cs="Tahoma"/>
                        <w:b/>
                        <w:bCs/>
                        <w:szCs w:val="24"/>
                      </w:rPr>
                      <w:t>Galimos neigiamos priimto sprendimo projekto pasekmės ir kokių priemonių reikėtų imtis, kad tokių pasekmių būtų išvengta.</w:t>
                    </w:r>
                  </w:p>
                  <w:p>
                    <w:pPr>
                      <w:widowControl w:val="0"/>
                      <w:suppressAutoHyphens/>
                      <w:spacing w:line="360" w:lineRule="auto"/>
                      <w:ind w:firstLine="709"/>
                      <w:jc w:val="both"/>
                      <w:rPr>
                        <w:rFonts w:ascii="Thorndale" w:hAnsi="Thorndale" w:cs="Tahoma"/>
                        <w:szCs w:val="24"/>
                      </w:rPr>
                    </w:pPr>
                    <w:r>
                      <w:rPr>
                        <w:rFonts w:ascii="Thorndale" w:hAnsi="Thorndale" w:cs="Tahoma"/>
                        <w:szCs w:val="24"/>
                      </w:rPr>
                      <w:t xml:space="preserve">Neigiamų pasekmių nenumatoma. </w:t>
                    </w:r>
                  </w:p>
                  <w:p>
                    <w:pPr>
                      <w:widowControl w:val="0"/>
                      <w:tabs>
                        <w:tab w:val="left" w:pos="993"/>
                      </w:tabs>
                      <w:suppressAutoHyphens/>
                      <w:spacing w:line="360" w:lineRule="auto"/>
                      <w:ind w:firstLine="761"/>
                      <w:jc w:val="both"/>
                      <w:rPr>
                        <w:rFonts w:ascii="Thorndale" w:hAnsi="Thorndale" w:cs="Tahoma"/>
                        <w:b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6.</w:t>
                      <w:tab/>
                    </w:r>
                    <w:r>
                      <w:rPr>
                        <w:rFonts w:ascii="Thorndale" w:hAnsi="Thorndale" w:cs="Tahoma"/>
                        <w:b/>
                        <w:bCs/>
                        <w:szCs w:val="24"/>
                      </w:rPr>
                      <w:t>Kokius teisės aktus būtina priimti, kokius galiojančius teisės aktus būtina pakeisti ar pripažinti netekusiais galios priėmus sprendimo projektą.</w:t>
                    </w:r>
                  </w:p>
                  <w:p>
                    <w:pPr>
                      <w:tabs>
                        <w:tab w:val="left" w:pos="993"/>
                      </w:tabs>
                      <w:spacing w:line="360" w:lineRule="auto"/>
                      <w:ind w:left="761"/>
                      <w:jc w:val="both"/>
                      <w:rPr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Teisės aktų keisti nereikia. </w:t>
                    </w:r>
                  </w:p>
                  <w:p>
                    <w:pPr>
                      <w:widowControl w:val="0"/>
                      <w:tabs>
                        <w:tab w:val="left" w:pos="0"/>
                        <w:tab w:val="left" w:pos="993"/>
                        <w:tab w:val="left" w:pos="1134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uppressAutoHyphens/>
                      <w:spacing w:line="360" w:lineRule="auto"/>
                      <w:ind w:firstLine="761"/>
                      <w:jc w:val="both"/>
                      <w:rPr>
                        <w:rFonts w:ascii="Thorndale" w:hAnsi="Thorndale" w:cs="Tahoma"/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7.</w:t>
                      <w:tab/>
                    </w:r>
                    <w:r>
                      <w:rPr>
                        <w:rFonts w:ascii="Thorndale" w:hAnsi="Thorndale" w:cs="Tahoma"/>
                        <w:b/>
                        <w:szCs w:val="24"/>
                      </w:rPr>
                      <w:t>Sprendimo projektui įgyvendinti reikalingos lėšos, finansavimo šaltiniai.</w:t>
                    </w:r>
                  </w:p>
                  <w:p>
                    <w:pPr>
                      <w:tabs>
                        <w:tab w:val="left" w:pos="0"/>
                        <w:tab w:val="left" w:pos="993"/>
                        <w:tab w:val="left" w:pos="1134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pacing w:line="360" w:lineRule="auto"/>
                      <w:ind w:left="761"/>
                      <w:jc w:val="both"/>
                      <w:rPr>
                        <w:bCs/>
                        <w:szCs w:val="24"/>
                      </w:rPr>
                    </w:pPr>
                    <w:r>
                      <w:rPr>
                        <w:bCs/>
                        <w:szCs w:val="24"/>
                      </w:rPr>
                      <w:t xml:space="preserve">Skirtingi finansavimo šaltiniai. </w:t>
                    </w:r>
                  </w:p>
                  <w:p>
                    <w:pPr>
                      <w:widowControl w:val="0"/>
                      <w:tabs>
                        <w:tab w:val="left" w:pos="0"/>
                        <w:tab w:val="left" w:pos="993"/>
                        <w:tab w:val="left" w:pos="1134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uppressAutoHyphens/>
                      <w:spacing w:line="360" w:lineRule="auto"/>
                      <w:ind w:left="1656" w:hanging="895"/>
                      <w:jc w:val="both"/>
                      <w:rPr>
                        <w:rFonts w:ascii="Thorndale" w:hAnsi="Thorndale" w:cs="Tahoma"/>
                        <w:b/>
                        <w:szCs w:val="24"/>
                      </w:rPr>
                    </w:pPr>
                    <w:r>
                      <w:rPr>
                        <w:b/>
                        <w:szCs w:val="24"/>
                      </w:rPr>
                      <w:t>8.</w:t>
                      <w:tab/>
                    </w:r>
                    <w:r>
                      <w:rPr>
                        <w:rFonts w:ascii="Thorndale" w:hAnsi="Thorndale" w:cs="Tahoma"/>
                        <w:b/>
                        <w:szCs w:val="24"/>
                      </w:rPr>
                      <w:t xml:space="preserve">Sprendimo projekto rengimo metu gauti specialistų vertinimai ir išvados. </w:t>
                    </w:r>
                  </w:p>
                  <w:p>
                    <w:pPr>
                      <w:widowControl w:val="0"/>
                      <w:tabs>
                        <w:tab w:val="left" w:pos="0"/>
                        <w:tab w:val="left" w:pos="993"/>
                        <w:tab w:val="left" w:pos="1134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uppressAutoHyphens/>
                      <w:spacing w:line="360" w:lineRule="auto"/>
                      <w:ind w:left="761"/>
                      <w:jc w:val="both"/>
                      <w:rPr>
                        <w:rFonts w:ascii="Thorndale" w:hAnsi="Thorndale" w:cs="Tahoma"/>
                        <w:b/>
                        <w:szCs w:val="24"/>
                      </w:rPr>
                    </w:pPr>
                    <w:r>
                      <w:rPr>
                        <w:rFonts w:ascii="Thorndale" w:hAnsi="Thorndale" w:cs="Tahoma"/>
                        <w:b/>
                        <w:szCs w:val="24"/>
                      </w:rPr>
                      <w:t>-</w:t>
                    </w:r>
                  </w:p>
                  <w:p>
                    <w:pPr>
                      <w:widowControl w:val="0"/>
                      <w:tabs>
                        <w:tab w:val="left" w:pos="0"/>
                        <w:tab w:val="left" w:pos="993"/>
                        <w:tab w:val="left" w:pos="1134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uppressAutoHyphens/>
                      <w:spacing w:line="360" w:lineRule="auto"/>
                      <w:ind w:left="1656" w:hanging="895"/>
                      <w:jc w:val="both"/>
                      <w:rPr>
                        <w:rFonts w:ascii="Thorndale" w:hAnsi="Thorndale" w:cs="Tahoma"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9.</w:t>
                      <w:tab/>
                    </w:r>
                    <w:r>
                      <w:rPr>
                        <w:rFonts w:ascii="Thorndale" w:hAnsi="Thorndale" w:cs="Tahoma"/>
                        <w:b/>
                        <w:szCs w:val="24"/>
                      </w:rPr>
                      <w:t>Numatomo teisinio reguliavimo poveikio vertinimo rezultatai.</w:t>
                    </w:r>
                  </w:p>
                  <w:p>
                    <w:pPr>
                      <w:widowControl w:val="0"/>
                      <w:tabs>
                        <w:tab w:val="left" w:pos="0"/>
                        <w:tab w:val="left" w:pos="993"/>
                        <w:tab w:val="left" w:pos="1134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uppressAutoHyphens/>
                      <w:spacing w:line="360" w:lineRule="auto"/>
                      <w:ind w:left="761"/>
                      <w:jc w:val="both"/>
                      <w:rPr>
                        <w:rFonts w:ascii="Thorndale" w:hAnsi="Thorndale" w:cs="Tahoma"/>
                        <w:bCs/>
                        <w:szCs w:val="24"/>
                      </w:rPr>
                    </w:pPr>
                    <w:r>
                      <w:rPr>
                        <w:rFonts w:ascii="Thorndale" w:hAnsi="Thorndale" w:cs="Tahoma"/>
                        <w:bCs/>
                        <w:szCs w:val="24"/>
                      </w:rPr>
                      <w:t>-</w:t>
                    </w:r>
                  </w:p>
                  <w:p>
                    <w:pPr>
                      <w:widowControl w:val="0"/>
                      <w:tabs>
                        <w:tab w:val="left" w:pos="0"/>
                        <w:tab w:val="left" w:pos="993"/>
                        <w:tab w:val="left" w:pos="1134"/>
                        <w:tab w:val="left" w:pos="3664"/>
                        <w:tab w:val="left" w:pos="4580"/>
                        <w:tab w:val="left" w:pos="5496"/>
                        <w:tab w:val="left" w:pos="6412"/>
                        <w:tab w:val="left" w:pos="7328"/>
                        <w:tab w:val="left" w:pos="8244"/>
                        <w:tab w:val="left" w:pos="9160"/>
                        <w:tab w:val="left" w:pos="10076"/>
                        <w:tab w:val="left" w:pos="10992"/>
                        <w:tab w:val="left" w:pos="11908"/>
                        <w:tab w:val="left" w:pos="12824"/>
                        <w:tab w:val="left" w:pos="13740"/>
                        <w:tab w:val="left" w:pos="14656"/>
                      </w:tabs>
                      <w:suppressAutoHyphens/>
                      <w:spacing w:line="360" w:lineRule="auto"/>
                      <w:ind w:left="1656" w:hanging="895"/>
                      <w:jc w:val="both"/>
                      <w:rPr>
                        <w:rFonts w:ascii="Thorndale" w:hAnsi="Thorndale" w:cs="Tahoma"/>
                        <w:bCs/>
                        <w:szCs w:val="24"/>
                      </w:rPr>
                    </w:pPr>
                    <w:r>
                      <w:rPr>
                        <w:b/>
                        <w:bCs/>
                        <w:szCs w:val="24"/>
                      </w:rPr>
                      <w:t>10.</w:t>
                      <w:tab/>
                    </w:r>
                    <w:r>
                      <w:rPr>
                        <w:rFonts w:ascii="Thorndale" w:eastAsia="Calibri" w:hAnsi="Thorndale" w:cs="Tahoma"/>
                        <w:b/>
                        <w:szCs w:val="24"/>
                        <w:lang w:eastAsia="ar-SA"/>
                      </w:rPr>
                      <w:t>Sprendimo projekto antikorupcinis vertinimas.</w:t>
                    </w:r>
                  </w:p>
                  <w:p>
                    <w:pPr>
                      <w:widowControl w:val="0"/>
                      <w:tabs>
                        <w:tab w:val="left" w:pos="1134"/>
                      </w:tabs>
                      <w:suppressAutoHyphens/>
                      <w:spacing w:line="360" w:lineRule="auto"/>
                      <w:ind w:firstLine="709"/>
                      <w:rPr>
                        <w:rFonts w:ascii="Thorndale" w:eastAsia="Calibri" w:hAnsi="Thorndale" w:cs="Tahoma"/>
                        <w:szCs w:val="24"/>
                      </w:rPr>
                    </w:pPr>
                    <w:r>
                      <w:rPr>
                        <w:rFonts w:ascii="Thorndale" w:eastAsia="Calibri" w:hAnsi="Thorndale" w:cs="Tahoma"/>
                        <w:szCs w:val="24"/>
                      </w:rPr>
                      <w:t>Teisės akto projektas antikorupciniam vertinimui neteikiamas.</w:t>
                    </w:r>
                  </w:p>
                  <w:p>
                    <w:pPr>
                      <w:widowControl w:val="0"/>
                      <w:tabs>
                        <w:tab w:val="left" w:pos="1134"/>
                      </w:tabs>
                      <w:suppressAutoHyphens/>
                      <w:spacing w:line="360" w:lineRule="auto"/>
                      <w:ind w:left="1656" w:hanging="895"/>
                      <w:rPr>
                        <w:rFonts w:ascii="Thorndale" w:eastAsia="Calibri" w:hAnsi="Thorndale" w:cs="Tahoma"/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11.</w:t>
                      <w:tab/>
                    </w:r>
                    <w:r>
                      <w:rPr>
                        <w:rFonts w:ascii="Thorndale" w:eastAsia="Calibri" w:hAnsi="Thorndale" w:cs="Tahoma"/>
                        <w:b/>
                        <w:bCs/>
                        <w:szCs w:val="24"/>
                      </w:rPr>
                      <w:t xml:space="preserve">Kiti, iniciatoriaus nuomone, reikalingi pagrindimai ir paaiškinimai. </w:t>
                    </w:r>
                  </w:p>
                  <w:p>
                    <w:pPr>
                      <w:tabs>
                        <w:tab w:val="left" w:pos="1134"/>
                      </w:tabs>
                      <w:spacing w:line="360" w:lineRule="auto"/>
                      <w:ind w:left="709" w:firstLine="52"/>
                      <w:rPr>
                        <w:rFonts w:eastAsia="Calibri"/>
                        <w:szCs w:val="24"/>
                      </w:rPr>
                    </w:pPr>
                    <w:r>
                      <w:rPr>
                        <w:rFonts w:eastAsia="Calibri"/>
                        <w:szCs w:val="24"/>
                      </w:rPr>
                      <w:t xml:space="preserve">Nėra. </w:t>
                    </w:r>
                  </w:p>
                  <w:p>
                    <w:pPr>
                      <w:widowControl w:val="0"/>
                      <w:tabs>
                        <w:tab w:val="left" w:pos="1134"/>
                      </w:tabs>
                      <w:suppressAutoHyphens/>
                      <w:spacing w:line="360" w:lineRule="auto"/>
                      <w:ind w:left="1656" w:hanging="895"/>
                      <w:rPr>
                        <w:rFonts w:ascii="Thorndale" w:eastAsia="Calibri" w:hAnsi="Thorndale" w:cs="Tahoma"/>
                        <w:b/>
                        <w:bCs/>
                        <w:szCs w:val="24"/>
                      </w:rPr>
                    </w:pPr>
                    <w:r>
                      <w:rPr>
                        <w:rFonts w:eastAsia="Calibri"/>
                        <w:b/>
                        <w:bCs/>
                        <w:szCs w:val="24"/>
                      </w:rPr>
                      <w:t>12.</w:t>
                      <w:tab/>
                    </w:r>
                    <w:r>
                      <w:rPr>
                        <w:rFonts w:ascii="Thorndale" w:eastAsia="Calibri" w:hAnsi="Thorndale" w:cs="Tahoma"/>
                        <w:b/>
                        <w:bCs/>
                        <w:szCs w:val="24"/>
                      </w:rPr>
                      <w:t xml:space="preserve">Pridedami dokumentai. </w:t>
                    </w:r>
                  </w:p>
                  <w:p>
                    <w:pPr>
                      <w:widowControl w:val="0"/>
                      <w:suppressAutoHyphens/>
                      <w:spacing w:line="360" w:lineRule="auto"/>
                      <w:ind w:firstLine="761"/>
                      <w:jc w:val="both"/>
                      <w:rPr>
                        <w:rFonts w:ascii="Thorndale" w:hAnsi="Thorndale" w:cs="Tahoma"/>
                        <w:b/>
                        <w:szCs w:val="24"/>
                      </w:rPr>
                    </w:pPr>
                    <w:r>
                      <w:rPr>
                        <w:szCs w:val="24"/>
                      </w:rPr>
                      <w:t xml:space="preserve">Aplinkos apsaugos rėmimo specialiosios programos lėšų naudojimą reglamentuoja Lietuvos Respublikos  savivaldybių aplinkos apsaugos rėmimo specialiosios programos įstatymas, Lietuvos Respublikos aplinkos ministerijos 2019-08-14 raštas Nr. (15-3)-D8E-1810 „Dėl Savivaldybių aplinkos apsaugos rėmimo programos lėšomis finansuojamų priemonių“ ir pridedama lėšų naudojimo rekomendacija.</w:t>
                    </w:r>
                  </w:p>
                </w:tc>
              </w:tr>
              <w:tr>
                <w:trPr>
                  <w:gridBefore w:val="1"/>
                  <w:wBefore w:w="12" w:type="dxa"/>
                  <w:cantSplit/>
                </w:trPr>
                <w:tc>
                  <w:tcPr>
                    <w:tcW w:w="9781" w:type="dxa"/>
                  </w:tcPr>
                  <w:p>
                    <w:pPr>
                      <w:widowControl w:val="0"/>
                      <w:tabs>
                        <w:tab w:val="left" w:pos="0"/>
                      </w:tabs>
                      <w:suppressAutoHyphens/>
                      <w:jc w:val="both"/>
                      <w:rPr>
                        <w:szCs w:val="24"/>
                      </w:rPr>
                    </w:pPr>
                  </w:p>
                </w:tc>
              </w:tr>
            </w:tbl>
            <w:p>
              <w:pPr>
                <w:widowControl w:val="0"/>
                <w:suppressAutoHyphens/>
                <w:rPr>
                  <w:szCs w:val="24"/>
                </w:rPr>
              </w:pPr>
            </w:p>
            <w:p>
              <w:pPr>
                <w:widowControl w:val="0"/>
                <w:suppressAutoHyphens/>
                <w:rPr>
                  <w:szCs w:val="24"/>
                </w:rPr>
              </w:pPr>
            </w:p>
          </w:sdtContent>
        </w:sdt>
        <w:sdt>
          <w:sdtPr>
            <w:alias w:val="pastraipa"/>
            <w:tag w:val="part_635f3196b15f466c9e7c426e747cea86"/>
            <w:lock w:val="sdtLocked"/>
            <w:richText/>
          </w:sdtPr>
          <w:sdtContent>
            <w:p>
              <w:pPr>
                <w:widowControl w:val="0"/>
                <w:suppressAutoHyphens/>
                <w:rPr>
                  <w:szCs w:val="24"/>
                </w:rPr>
              </w:pPr>
              <w:r>
                <w:rPr>
                  <w:szCs w:val="24"/>
                </w:rPr>
                <w:t xml:space="preserve">Žemės ūkio skyriaus vyriausioji specialistė         </w:t>
                <w:tab/>
                <w:t xml:space="preserve">                                           Valentina Grinienė</w:t>
              </w:r>
            </w:p>
            <w:p>
              <w:pPr>
                <w:widowControl w:val="0"/>
                <w:suppressAutoHyphens/>
                <w:rPr>
                  <w:szCs w:val="24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jc w:val="both"/>
                <w:rPr>
                  <w:szCs w:val="24"/>
                  <w:lang w:eastAsia="lt-LT"/>
                </w:rPr>
              </w:pPr>
            </w:p>
            <w:p>
              <w:pPr>
                <w:ind w:firstLine="62"/>
                <w:jc w:val="both"/>
                <w:rPr>
                  <w:szCs w:val="24"/>
                  <w:lang w:eastAsia="lt-LT"/>
                </w:rPr>
              </w:pPr>
            </w:p>
          </w:sdtContent>
        </w:sdt>
      </w:sdtContent>
    </w:sdt>
    <w:sectPr>
      <w:headerReference w:type="default" r:id="rId6"/>
      <w:pgSz w:w="11906" w:h="16838"/>
      <w:pgMar w:top="1418" w:right="567" w:bottom="1418" w:left="1701" w:header="567" w:footer="567" w:gutter="0"/>
      <w:cols w:space="1296"/>
      <w:docGrid w:linePitch="360"/>
    </w:sectPr>
  </w:body>
</w:document>
</file>

<file path=word/endnotes.xml><?xml version="1.0" encoding="utf-8"?>
<w:end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>
      <w:pPr>
        <w:widowControl w:val="0"/>
        <w:suppressAutoHyphens/>
        <w:rPr>
          <w:rFonts w:ascii="Thorndale" w:hAnsi="Thorndale" w:cs="Tahoma"/>
          <w:szCs w:val="24"/>
        </w:rPr>
      </w:pPr>
      <w:r>
        <w:rPr>
          <w:rFonts w:ascii="Thorndale" w:hAnsi="Thorndale" w:cs="Tahoma"/>
          <w:szCs w:val="24"/>
        </w:rPr>
        <w:separator/>
      </w:r>
    </w:p>
  </w:endnote>
  <w:endnote w:type="continuationSeparator" w:id="0">
    <w:p>
      <w:pPr>
        <w:widowControl w:val="0"/>
        <w:suppressAutoHyphens/>
        <w:rPr>
          <w:rFonts w:ascii="Thorndale" w:hAnsi="Thorndale" w:cs="Tahoma"/>
          <w:szCs w:val="24"/>
        </w:rPr>
      </w:pPr>
      <w:r>
        <w:rPr>
          <w:rFonts w:ascii="Thorndale" w:hAnsi="Thorndale" w:cs="Tahoma"/>
          <w:szCs w:val="24"/>
        </w:rPr>
        <w:continuationSeparator/>
      </w:r>
    </w:p>
  </w:endnote>
</w:endnotes>
</file>

<file path=word/fontTable.xml><?xml version="1.0" encoding="utf-8"?>
<w:font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BA"/>
    <w:family w:val="roman"/>
    <w:pitch w:val="variable"/>
    <w:sig w:usb0="E0002AFF" w:usb1="C0007841" w:usb2="00000009" w:usb3="00000000" w:csb0="000001FF" w:csb1="00000000"/>
  </w:font>
  <w:font w:name="Thorndale">
    <w:altName w:val="Times New Roman"/>
    <w:charset w:val="00"/>
    <w:family w:val="auto"/>
    <w:pitch w:val="default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BA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BA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>
      <w:pPr>
        <w:widowControl w:val="0"/>
        <w:suppressAutoHyphens/>
        <w:rPr>
          <w:rFonts w:ascii="Thorndale" w:hAnsi="Thorndale" w:cs="Tahoma"/>
          <w:szCs w:val="24"/>
        </w:rPr>
      </w:pPr>
      <w:r>
        <w:rPr>
          <w:rFonts w:ascii="Thorndale" w:hAnsi="Thorndale" w:cs="Tahoma"/>
          <w:szCs w:val="24"/>
        </w:rPr>
        <w:separator/>
      </w:r>
    </w:p>
  </w:footnote>
  <w:footnote w:type="continuationSeparator" w:id="0">
    <w:p>
      <w:pPr>
        <w:widowControl w:val="0"/>
        <w:suppressAutoHyphens/>
        <w:rPr>
          <w:rFonts w:ascii="Thorndale" w:hAnsi="Thorndale" w:cs="Tahoma"/>
          <w:szCs w:val="24"/>
        </w:rPr>
      </w:pPr>
      <w:r>
        <w:rPr>
          <w:rFonts w:ascii="Thorndale" w:hAnsi="Thorndale" w:cs="Tahoma"/>
          <w:szCs w:val="24"/>
        </w:rPr>
        <w:continuationSeparator/>
      </w:r>
    </w:p>
  </w:footnote>
</w:footnotes>
</file>

<file path=word/header1.xml><?xml version="1.0" encoding="utf-8"?>
<w:hdr xmlns:w="http://schemas.openxmlformats.org/wordprocessingml/2006/main"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>
    <w:pPr>
      <w:widowControl w:val="0"/>
      <w:tabs>
        <w:tab w:val="left" w:pos="3344"/>
        <w:tab w:val="left" w:pos="8291"/>
      </w:tabs>
      <w:suppressAutoHyphens/>
      <w:spacing w:before="120" w:after="60"/>
      <w:ind w:left="-17" w:firstLine="17"/>
      <w:jc w:val="center"/>
      <w:rPr>
        <w:rFonts w:ascii="Thorndale" w:hAnsi="Thorndale" w:cs="Tahoma"/>
        <w:b/>
        <w:bCs/>
        <w:szCs w:val="24"/>
      </w:rPr>
    </w:pPr>
  </w:p>
</w:hdr>
</file>

<file path=word/settings.xml><?xml version="1.0" encoding="utf-8"?>
<w:settings xmlns:w="http://schemas.openxmlformats.org/wordprocessingml/2006/main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view w:val="normal"/>
  <w:zoom w:percent="100"/>
  <w:revisionView w:inkAnnotations="0"/>
  <w:defaultTabStop w:val="1296"/>
  <w:hyphenationZone w:val="396"/>
  <w:doNotHyphenateCaps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0C4FE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026"/>
    <o:shapelayout v:ext="edit">
      <o:idmap v:ext="edit" data="1"/>
    </o:shapelayout>
  </w:shapeDefaults>
  <w:decimalSymbol w:val="."/>
  <w:listSeparator w:val=","/>
  <w15:chartTrackingRefBased/>
  <w15:docId w15:val="{0A6F1F64-DD1A-4A20-B1DC-6B63BF1D474D}"/>
</w:settings>
</file>

<file path=word/styles.xml><?xml version="1.0" encoding="utf-8"?>
<w:style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sz w:val="24"/>
        <w:lang w:val="lt-LT" w:eastAsia="en-US" w:bidi="ar-SA"/>
      </w:rPr>
    </w:rPrDefault>
    <w:pPrDefault/>
  </w:docDefaults>
  <w:latentStyles w:defLockedState="0" w:defUIPriority="0" w:defSemiHidden="0" w:defUnhideWhenUsed="0" w:defQFormat="0" w:count="371">
    <w:lsdException w:name="heading 7" w:semiHidden="1" w:unhideWhenUsed="1"/>
    <w:lsdException w:name="heading 8" w:semiHidden="1" w:unhideWhenUsed="1"/>
    <w:lsdException w:name="heading 9" w:semiHidden="1" w:unhideWhenUsed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nhideWhenUsed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Theme" w:semiHidden="1" w:unhideWhenUsed="1"/>
    <w:lsdException w:name="Medium List 1"/>
    <w:lsdException w:name="Medium List 2"/>
    <w:lsdException w:name="Medium Grid 1"/>
    <w:lsdException w:name="Medium Grid 2"/>
    <w:lsdException w:name="Medium Grid 3"/>
    <w:lsdException w:name="Dark List"/>
    <w:lsdException w:name="Colorful Shading"/>
    <w:lsdException w:name="Colorful List"/>
    <w:lsdException w:name="Colorful Grid"/>
    <w:lsdException w:name="Light Shading Accent 1"/>
    <w:lsdException w:name="Light List Accent 1"/>
    <w:lsdException w:name="Light Grid Accent 1"/>
    <w:lsdException w:name="Medium Shading 1 Accent 1"/>
    <w:lsdException w:name="Medium Shading 2 Accent 1"/>
    <w:lsdException w:name="Medium List 1 Accent 1"/>
    <w:lsdException w:name="Revision" w:semiHidden="1"/>
    <w:lsdException w:name="Medium List 2 Accent 1"/>
    <w:lsdException w:name="Medium Grid 1 Accent 1"/>
    <w:lsdException w:name="Medium Grid 2 Accent 1"/>
    <w:lsdException w:name="Medium Grid 3 Accent 1"/>
    <w:lsdException w:name="Dark List Accent 1"/>
    <w:lsdException w:name="Colorful Shading Accent 1"/>
    <w:lsdException w:name="Colorful List Accent 1"/>
    <w:lsdException w:name="Colorful Grid Accent 1"/>
    <w:lsdException w:name="Light Shading Accent 2"/>
    <w:lsdException w:name="Light List Accent 2"/>
    <w:lsdException w:name="Light Grid Accent 2"/>
    <w:lsdException w:name="Medium Shading 1 Accent 2"/>
    <w:lsdException w:name="Medium Shading 2 Accent 2"/>
    <w:lsdException w:name="Medium List 1 Accent 2"/>
    <w:lsdException w:name="Medium List 2 Accent 2"/>
    <w:lsdException w:name="Medium Grid 1 Accent 2"/>
    <w:lsdException w:name="Medium Grid 2 Accent 2"/>
    <w:lsdException w:name="Medium Grid 3 Accent 2"/>
    <w:lsdException w:name="Dark List Accent 2"/>
    <w:lsdException w:name="Colorful Shading Accent 2"/>
    <w:lsdException w:name="Colorful List Accent 2"/>
    <w:lsdException w:name="Colorful Grid Accent 2"/>
    <w:lsdException w:name="Light Shading Accent 3"/>
    <w:lsdException w:name="Light List Accent 3"/>
    <w:lsdException w:name="Light Grid Accent 3"/>
    <w:lsdException w:name="Medium Shading 1 Accent 3"/>
    <w:lsdException w:name="Medium Shading 2 Accent 3"/>
    <w:lsdException w:name="Medium List 1 Accent 3"/>
    <w:lsdException w:name="Medium List 2 Accent 3"/>
    <w:lsdException w:name="Medium Grid 1 Accent 3"/>
    <w:lsdException w:name="Medium Grid 2 Accent 3"/>
    <w:lsdException w:name="Medium Grid 3 Accent 3"/>
    <w:lsdException w:name="Dark List Accent 3"/>
    <w:lsdException w:name="Colorful Shading Accent 3"/>
    <w:lsdException w:name="Colorful List Accent 3"/>
    <w:lsdException w:name="Colorful Grid Accent 3"/>
    <w:lsdException w:name="Light Shading Accent 4"/>
    <w:lsdException w:name="Light List Accent 4"/>
    <w:lsdException w:name="Light Grid Accent 4"/>
    <w:lsdException w:name="Medium Shading 1 Accent 4"/>
    <w:lsdException w:name="Medium Shading 2 Accent 4"/>
    <w:lsdException w:name="Medium List 1 Accent 4"/>
    <w:lsdException w:name="Medium List 2 Accent 4"/>
    <w:lsdException w:name="Medium Grid 1 Accent 4"/>
    <w:lsdException w:name="Medium Grid 2 Accent 4"/>
    <w:lsdException w:name="Medium Grid 3 Accent 4"/>
    <w:lsdException w:name="Dark List Accent 4"/>
    <w:lsdException w:name="Colorful Shading Accent 4"/>
    <w:lsdException w:name="Colorful List Accent 4"/>
    <w:lsdException w:name="Colorful Grid Accent 4"/>
    <w:lsdException w:name="Light Shading Accent 5"/>
    <w:lsdException w:name="Light List Accent 5"/>
    <w:lsdException w:name="Light Grid Accent 5"/>
    <w:lsdException w:name="Medium Shading 1 Accent 5"/>
    <w:lsdException w:name="Medium Shading 2 Accent 5"/>
    <w:lsdException w:name="Medium List 1 Accent 5"/>
    <w:lsdException w:name="Medium List 2 Accent 5"/>
    <w:lsdException w:name="Medium Grid 1 Accent 5"/>
    <w:lsdException w:name="Medium Grid 2 Accent 5"/>
    <w:lsdException w:name="Medium Grid 3 Accent 5"/>
    <w:lsdException w:name="Dark List Accent 5"/>
    <w:lsdException w:name="Colorful Shading Accent 5"/>
    <w:lsdException w:name="Colorful List Accent 5"/>
    <w:lsdException w:name="Colorful Grid Accent 5"/>
    <w:lsdException w:name="Light Shading Accent 6"/>
    <w:lsdException w:name="Light List Accent 6"/>
    <w:lsdException w:name="Light Grid Accent 6"/>
    <w:lsdException w:name="Medium Shading 1 Accent 6"/>
    <w:lsdException w:name="Medium Shading 2 Accent 6"/>
    <w:lsdException w:name="Medium List 1 Accent 6"/>
    <w:lsdException w:name="Medium List 2 Accent 6"/>
    <w:lsdException w:name="Medium Grid 1 Accent 6"/>
    <w:lsdException w:name="Medium Grid 2 Accent 6"/>
    <w:lsdException w:name="Medium Grid 3 Accent 6"/>
    <w:lsdException w:name="Dark List Accent 6"/>
    <w:lsdException w:name="Colorful Shading Accent 6"/>
    <w:lsdException w:name="Colorful List Accent 6"/>
    <w:lsdException w:name="Colorful Grid Accent 6"/>
    <w:lsdException w:name="Bibliography" w:semiHidden="1" w:unhideWhenUsed="1"/>
    <w:lsdException w:name="TOC Heading" w:semiHidden="1" w:unhideWhenUsed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</w:styles>
</file>

<file path=word/webSettings.xml><?xml version="1.0" encoding="utf-8"?>
<w:webSettings xmlns:w="http://schemas.openxmlformats.org/wordprocessingml/2006/main" xmlns:mc="http://schemas.openxmlformats.org/markup-compatibility/2006" xmlns:r="http://schemas.openxmlformats.org/officeDocument/2006/relationships" xmlns:w14="http://schemas.microsoft.com/office/word/2010/wordml" xmlns:w15="http://schemas.microsoft.com/office/word/2012/wordml" xmlns:w16se="http://schemas.microsoft.com/office/word/2015/wordml/symex" mc:Ignorable="w14 w15 w16se">
  <w:divs>
    <w:div w:id="1670869825">
      <w:bodyDiv w:val="1"/>
      <w:marLeft w:val="225"/>
      <w:marRight w:val="225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0540623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?>
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settings" Target="settings.xml"/>
  <Relationship Id="rId3" Type="http://schemas.openxmlformats.org/officeDocument/2006/relationships/webSettings" Target="webSettings.xml"/>
  <Relationship Id="rId4" Type="http://schemas.openxmlformats.org/officeDocument/2006/relationships/footnotes" Target="footnotes.xml"/>
  <Relationship Id="rId5" Type="http://schemas.openxmlformats.org/officeDocument/2006/relationships/endnotes" Target="endnotes.xml"/>
  <Relationship Id="rId6" Type="http://schemas.openxmlformats.org/officeDocument/2006/relationships/header" Target="header1.xml"/>
  <Relationship Id="rId7" Type="http://schemas.openxmlformats.org/officeDocument/2006/relationships/fontTable" Target="fontTable.xml"/>
  <Relationship Id="rId8" Type="http://schemas.openxmlformats.org/officeDocument/2006/relationships/theme" Target="theme/theme1.xml"/>
  <Relationship Id="rId9" Type="http://schemas.openxmlformats.org/officeDocument/2006/relationships/customXml" Target="../customXml/item1.xml"/>
</Relationships>

</file>

<file path=word/theme/theme1.xml><?xml version="1.0" encoding="utf-8"?>
<a:theme xmlns:a="http://schemas.openxmlformats.org/drawingml/2006/main" name="„Office“ 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?>

<Relationships xmlns="http://schemas.openxmlformats.org/package/2006/relationships">
  <Relationship Id="rId1" Type="http://schemas.openxmlformats.org/officeDocument/2006/relationships/customXmlProps" Target="itemProps1.xml"/>
</Relationships>

</file>

<file path=customXml/item1.xml><?xml version="1.0" encoding="utf-8"?>
<Parts xmlns="http://lrs.lt/TAIS/DocParts">
  <Part Type="pagrindine" DocPartId="085ab7b5dcff4024806c70a6dac1447c" PartId="66ad47f40ff44a9c9c5fb8d15a6decc8">
    <Part Type="preambule" DocPartId="f7568065e9cc43acb967cab2a153733b" PartId="118cac2d2e434f8a818ac1bd25b98ba6"/>
    <Part Type="pastraipa" DocPartId="6c726e73287344b1985505855f2d6c94" PartId="500d1cecdad9449e97864c471d3a8bfb"/>
    <Part Type="signatura" DocPartId="e272e45388d04b4e94e5cb3cd12262be" PartId="3a2aefc5396644169617a79c4eb3fbb1"/>
  </Part>
  <Part Type="patvirtinta" Title="RADVILIŠKIO RAJONO SAVIVALDYBĖS ADMINISTRACIJA" DocPartId="4156805a22ea46dca175e5ea973a9752" PartId="6d1659091ac64b5086ef81bca268512a">
    <Part Type="skirsnis" Title="RADVILIŠKIO RAJONO SAVIVALDYBĖS APLINKOS APSAUGOS RĖMIMO SPECIALIOSIOS PROGRAMOS 2025 METŲ SĄMATA" DocPartId="4feb3e9a53aa439eb5141d354c0d8286" PartId="99558485512949fa85725cbf9f4c95d6">
      <Part Type="punktas" Nr="1" Abbr="1 p." DocPartId="6d4ea37afc644586a724dfe8685b62f1" PartId="663fe92e65f24ae6bfb3f833cbb9f60f"/>
      <Part Type="punktas" Nr="2" Abbr="2 p." DocPartId="9e22f485b72e47a7abbb60c4da3d9b15" PartId="6e3e5fbc8b194312a1d611feabd415b7"/>
      <Part Type="punktas" Nr="3" Abbr="3 p." DocPartId="7419c5e001c145d7ba5c9ea3126465d8" PartId="a7f286334f4a4b3688f22b1e8d75d7a4"/>
      <Part Type="punktas" Nr="4" Abbr="4 p." DocPartId="3030558ef83e499498a2a6d444b842df" PartId="bbcac32c8aac4fc0b8e107d50a9ec0ef"/>
      <Part Type="punktas" Nr="5" Abbr="5 p." DocPartId="d83e7b8f4f904694a3f17f6aeb0c58f9" PartId="76495fb299fb4f69ba2e852a335d98e9"/>
    </Part>
  </Part>
  <Part Type="patvirtinta" Title="(4.6.1. eilutės iššifravimas)" DocPartId="7ae07c9b4e314492ba456558d42e96ed" PartId="7a4d2efb81d04c8182bdc1c6c6597370">
    <Part Type="lentele" Title="RADVILIŠKIO RAJONO SAVIVALDYBĖS TARYBOS SPRENDIMO PROJEKTO „DĖL RADVILIŠKIO RAJONO SAVIVALDYBĖS APLINKOS APSAUGOS RĖMIMO SPECIALIOSIOS PROGRAMOS 2025 METŲ PRIEMONIŲ VYKDYMO SĄMATOS PATVIRTINIMO“ AIŠKINAMASIS RAŠTAS" DocPartId="144bf02af7e64069ad5232aaaa89f3c3" PartId="6be41f4d20224043a24ae2867363ed7e"/>
    <Part Type="pastraipa" DocPartId="efa65e728c574d8ab8332469ba18d1fa" PartId="635f3196b15f466c9e7c426e747cea86"/>
  </Part>
</Parts>
</file>

<file path=customXml/itemProps1.xml><?xml version="1.0" encoding="utf-8"?>
<ds:datastoreItem xmlns:ds="http://schemas.openxmlformats.org/officeDocument/2006/customXml" ds:itemID="{66901B94-9444-4294-ABAB-91AF381921F3}">
  <ds:schemaRefs>
    <ds:schemaRef ds:uri="http://lrs.lt/TAIS/DocPart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2803</Words>
  <Characters>19403</Characters>
  <Application>Microsoft Office Word</Application>
  <DocSecurity>4</DocSecurity>
  <Lines>970</Lines>
  <Paragraphs>376</Paragraphs>
  <ScaleCrop>false</ScaleCrop>
  <HeadingPairs>
    <vt:vector size="2" baseType="variant">
      <vt:variant>
        <vt:lpstr>Pavadinimas</vt:lpstr>
      </vt:variant>
      <vt:variant>
        <vt:i4>1</vt:i4>
      </vt:variant>
    </vt:vector>
  </HeadingPairs>
  <TitlesOfParts>
    <vt:vector size="1" baseType="lpstr">
      <vt:lpstr>ĮSAKYMAS</vt:lpstr>
    </vt:vector>
  </TitlesOfParts>
  <Company>Hewlett-Packard Company</Company>
  <LinksUpToDate>false</LinksUpToDate>
  <CharactersWithSpaces>21830</CharactersWithSpaces>
  <SharedDoc>false</SharedDoc>
  <HyperlinkBase/>
  <HyperlinksChanged>false</HyperlinksChanged>
  <AppVersion>16.0000</AppVersion>
</Properties>
</file>

<file path=docProps/core.xml><?xml version="1.0" encoding="utf-8"?>
<coreProperties xmlns="http://schemas.openxmlformats.org/package/2006/metadata/core-properties" xmlns:cp="http://schemas.openxmlformats.org/package/2006/metadata/core-properties" xmlns:dc="http://purl.org/dc/elements/1.1/" xmlns:dcterms="http://purl.org/dc/terms/" xmlns:xsi="http://www.w3.org/2001/XMLSchema-instance">
  <dcterms:created xsi:type="dcterms:W3CDTF">2025-02-03T06:01:00Z</dcterms:created>
  <dc:creator>A-Juozapaitis</dc:creator>
  <lastModifiedBy>adlibuser</lastModifiedBy>
  <lastPrinted>2025-01-15T12:09:00Z</lastPrinted>
  <dcterms:modified xsi:type="dcterms:W3CDTF">2025-02-03T06:01:00Z</dcterms:modified>
  <revision>2</revision>
  <dc:title>ĮSAKYMAS</dc:title>
</coreProperties>
</file>