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2555bfceedf483d992d5f3fcb2c1542"/>
        <w:lock w:val="sdtLocked"/>
        <w:richText/>
      </w:sdtPr>
      <w:sdtContent>
        <w:p>
          <w:pPr>
            <w:tabs>
              <w:tab w:val="center" w:pos="4819"/>
              <w:tab w:val="right" w:pos="9638"/>
            </w:tabs>
          </w:pPr>
        </w:p>
        <w:p>
          <w:pPr>
            <w:ind w:left="5184"/>
            <w:jc w:val="center"/>
            <w:rPr>
              <w:b/>
              <w:szCs w:val="24"/>
            </w:rPr>
          </w:pPr>
          <w:r>
            <w:rPr>
              <w:b/>
              <w:szCs w:val="24"/>
            </w:rPr>
            <w:t>Projektas</w:t>
          </w:r>
        </w:p>
        <w:p>
          <w:pPr>
            <w:ind w:left="5184"/>
            <w:jc w:val="center"/>
            <w:rPr>
              <w:b/>
              <w:szCs w:val="24"/>
            </w:rPr>
          </w:pPr>
        </w:p>
        <w:p>
          <w:pPr>
            <w:tabs>
              <w:tab w:val="left" w:pos="426"/>
              <w:tab w:val="left" w:pos="567"/>
              <w:tab w:val="left" w:pos="851"/>
              <w:tab w:val="left" w:pos="993"/>
              <w:tab w:val="left" w:pos="1134"/>
            </w:tabs>
            <w:jc w:val="center"/>
            <w:rPr>
              <w:b/>
              <w:bCs/>
              <w:szCs w:val="22"/>
            </w:rPr>
          </w:pPr>
          <w:r>
            <w:rPr>
              <w:b/>
              <w:bCs/>
              <w:szCs w:val="22"/>
            </w:rPr>
            <w:t>LIETUVOS RESPUBLIKOS FINANSŲ MINISTRAS</w:t>
          </w:r>
        </w:p>
        <w:p>
          <w:pPr>
            <w:tabs>
              <w:tab w:val="left" w:pos="426"/>
              <w:tab w:val="left" w:pos="567"/>
              <w:tab w:val="left" w:pos="851"/>
              <w:tab w:val="left" w:pos="993"/>
              <w:tab w:val="left" w:pos="1134"/>
            </w:tabs>
            <w:jc w:val="both"/>
            <w:rPr>
              <w:b/>
              <w:bCs/>
              <w:szCs w:val="22"/>
            </w:rPr>
          </w:pPr>
        </w:p>
        <w:p>
          <w:pPr>
            <w:tabs>
              <w:tab w:val="left" w:pos="426"/>
              <w:tab w:val="left" w:pos="567"/>
              <w:tab w:val="left" w:pos="851"/>
              <w:tab w:val="left" w:pos="993"/>
              <w:tab w:val="left" w:pos="1134"/>
            </w:tabs>
            <w:jc w:val="center"/>
            <w:rPr>
              <w:b/>
              <w:bCs/>
              <w:szCs w:val="22"/>
            </w:rPr>
          </w:pPr>
          <w:r>
            <w:rPr>
              <w:b/>
              <w:bCs/>
              <w:szCs w:val="22"/>
            </w:rPr>
            <w:t>ĮSAKYMAS</w:t>
          </w:r>
        </w:p>
        <w:p>
          <w:pPr>
            <w:tabs>
              <w:tab w:val="left" w:pos="426"/>
              <w:tab w:val="left" w:pos="567"/>
              <w:tab w:val="left" w:pos="851"/>
              <w:tab w:val="left" w:pos="993"/>
              <w:tab w:val="left" w:pos="1134"/>
            </w:tabs>
            <w:jc w:val="center"/>
            <w:rPr>
              <w:b/>
              <w:bCs/>
              <w:szCs w:val="22"/>
            </w:rPr>
          </w:pPr>
          <w:r>
            <w:rPr>
              <w:b/>
              <w:szCs w:val="22"/>
            </w:rPr>
            <w:t xml:space="preserve">DĖL FINANSŲ MINISTRO 2007 M. GRUODŽIO 19 D. ĮSAKYMO NR. 1K-378 „DĖL VIEŠOJO SEKTORIAUS APSKAITOS IR FINANSINĖS ATSKAITOMYBĖS </w:t>
          </w:r>
          <w:r>
            <w:rPr>
              <w:b/>
              <w:bCs/>
              <w:szCs w:val="22"/>
            </w:rPr>
            <w:t>2-OJO STANDARTO PATVIRTINIMO“ PAKEITIMO</w:t>
          </w:r>
        </w:p>
        <w:p>
          <w:pPr>
            <w:tabs>
              <w:tab w:val="left" w:pos="426"/>
              <w:tab w:val="left" w:pos="567"/>
              <w:tab w:val="left" w:pos="851"/>
              <w:tab w:val="left" w:pos="993"/>
              <w:tab w:val="left" w:pos="1134"/>
            </w:tabs>
            <w:jc w:val="center"/>
            <w:rPr>
              <w:szCs w:val="22"/>
            </w:rPr>
          </w:pPr>
        </w:p>
        <w:p>
          <w:pPr>
            <w:tabs>
              <w:tab w:val="left" w:pos="426"/>
              <w:tab w:val="left" w:pos="567"/>
              <w:tab w:val="left" w:pos="851"/>
              <w:tab w:val="left" w:pos="993"/>
              <w:tab w:val="left" w:pos="1134"/>
            </w:tabs>
            <w:jc w:val="center"/>
          </w:pPr>
          <w:r>
            <w:t xml:space="preserve">2024 m.           d. Nr. </w:t>
          </w:r>
        </w:p>
        <w:p>
          <w:pPr>
            <w:tabs>
              <w:tab w:val="left" w:pos="426"/>
              <w:tab w:val="left" w:pos="567"/>
              <w:tab w:val="left" w:pos="851"/>
              <w:tab w:val="left" w:pos="993"/>
              <w:tab w:val="left" w:pos="1134"/>
            </w:tabs>
            <w:jc w:val="center"/>
          </w:pPr>
          <w:r>
            <w:t>Vilnius</w:t>
          </w:r>
        </w:p>
        <w:p>
          <w:pPr>
            <w:tabs>
              <w:tab w:val="left" w:pos="426"/>
              <w:tab w:val="left" w:pos="567"/>
              <w:tab w:val="left" w:pos="851"/>
              <w:tab w:val="left" w:pos="993"/>
              <w:tab w:val="left" w:pos="1134"/>
            </w:tabs>
            <w:spacing w:line="276" w:lineRule="auto"/>
            <w:ind w:firstLine="709"/>
            <w:jc w:val="center"/>
          </w:pPr>
        </w:p>
        <w:sdt>
          <w:sdtPr>
            <w:alias w:val="1 p."/>
            <w:tag w:val="part_82d29acdd53b48208d88fcba5fd88273"/>
            <w:lock w:val="sdtLocked"/>
            <w:richText/>
          </w:sdtPr>
          <w:sdtContent>
            <w:p>
              <w:pPr>
                <w:widowControl w:val="0"/>
                <w:shd w:val="clear" w:color="auto" w:fill="FFFFFF"/>
                <w:tabs>
                  <w:tab w:val="left" w:pos="851"/>
                  <w:tab w:val="left" w:pos="1134"/>
                </w:tabs>
                <w:ind w:firstLine="567"/>
                <w:jc w:val="both"/>
              </w:pPr>
              <w:sdt>
                <w:sdtPr>
                  <w:alias w:val="Numeris"/>
                  <w:tag w:val="nr_82d29acdd53b48208d88fcba5fd88273"/>
                  <w:lock w:val="sdtLocked"/>
                  <w:richText/>
                </w:sdtPr>
                <w:sdtContent>
                  <w:r>
                    <w:t>1</w:t>
                  </w:r>
                </w:sdtContent>
              </w:sdt>
              <w:r>
                <w:t>.</w:t>
                <w:tab/>
                <w:t xml:space="preserve">P a k e i č i u Lietuvos Respublikos finansų ministro 2007 m. gruodžio 19 d. įsakymą Nr. 1K-378 „Dėl viešojo sektoriaus apskaitos ir finansinės atskaitomybės 2-ojo standarto patvirtinimo“, </w:t>
              </w:r>
              <w:r>
                <w:rPr>
                  <w:szCs w:val="24"/>
                  <w:lang w:eastAsia="lt-LT"/>
                </w:rPr>
                <w:t>ir jį išdėstau nauja redakcija:</w:t>
              </w:r>
            </w:p>
            <w:sdt>
              <w:sdtPr>
                <w:alias w:val="citata"/>
                <w:tag w:val="part_7c4a2683a105478ab7aff568b99858ac"/>
                <w:lock w:val="sdtLocked"/>
                <w:richText/>
              </w:sdtPr>
              <w:sdtContent>
                <w:sdt>
                  <w:sdtPr>
                    <w:alias w:val="pagrindine"/>
                    <w:tag w:val="part_f20981b57efd4c6b96e253050e0e47ac"/>
                    <w:lock w:val="sdtLocked"/>
                    <w:richText/>
                  </w:sdtPr>
                  <w:sdtContent>
                    <w:p>
                      <w:pPr>
                        <w:widowControl w:val="0"/>
                        <w:shd w:val="clear" w:color="auto" w:fill="FFFFFF"/>
                        <w:tabs>
                          <w:tab w:val="left" w:pos="851"/>
                          <w:tab w:val="left" w:pos="1134"/>
                        </w:tabs>
                        <w:jc w:val="center"/>
                      </w:pPr>
                      <w:r>
                        <w:rPr>
                          <w:lang w:val="en-US"/>
                        </w:rPr>
                        <w:drawing>
                          <wp:anchor distT="0" distB="0" distL="114300" distR="114300" simplePos="0" relativeHeight="251659264" behindDoc="0" locked="0" layoutInCell="1" allowOverlap="1" wp14:anchorId="07B69681" wp14:editId="02B87EB3">
                            <wp:simplePos x="0" y="0"/>
                            <wp:positionH relativeFrom="column">
                              <wp:posOffset>0</wp:posOffset>
                            </wp:positionH>
                            <wp:positionV relativeFrom="paragraph">
                              <wp:posOffset>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t>„</w:t>
                      </w:r>
                      <w:r>
                        <w:rPr>
                          <w:b/>
                          <w:bCs/>
                        </w:rPr>
                        <w:t>LIETUVOS RESPUBLIKOS FINANSŲ MINISTRAS</w:t>
                      </w:r>
                    </w:p>
                    <w:p>
                      <w:pPr>
                        <w:widowControl w:val="0"/>
                        <w:shd w:val="clear" w:color="auto" w:fill="FFFFFF"/>
                        <w:jc w:val="center"/>
                        <w:rPr>
                          <w:spacing w:val="60"/>
                        </w:rPr>
                      </w:pPr>
                    </w:p>
                    <w:p>
                      <w:pPr>
                        <w:jc w:val="center"/>
                        <w:rPr>
                          <w:b/>
                          <w:bCs/>
                        </w:rPr>
                      </w:pPr>
                      <w:r>
                        <w:rPr>
                          <w:b/>
                          <w:bCs/>
                        </w:rPr>
                        <w:t>ĮSAKYMAS</w:t>
                      </w:r>
                    </w:p>
                    <w:p>
                      <w:pPr>
                        <w:widowControl w:val="0"/>
                        <w:shd w:val="clear" w:color="auto" w:fill="FFFFFF"/>
                        <w:jc w:val="center"/>
                      </w:pPr>
                      <w:r>
                        <w:rPr>
                          <w:b/>
                          <w:bCs/>
                        </w:rPr>
                        <w:t>DĖL 2-OJO VIEŠOJO SEKTORIAUS APSKAITOS IR FINANSINĖS ATSKAITOMYBĖS STANDARTO PATVIRTINIMO</w:t>
                      </w:r>
                    </w:p>
                    <w:p>
                      <w:pPr>
                        <w:jc w:val="center"/>
                      </w:pPr>
                    </w:p>
                    <w:sdt>
                      <w:sdtPr>
                        <w:alias w:val="preambule"/>
                        <w:tag w:val="part_d514990760a7466985fa5bbfd3ad530f"/>
                        <w:lock w:val="sdtLocked"/>
                        <w:richText/>
                      </w:sdtPr>
                      <w:sdtContent>
                        <w:p>
                          <w:pPr>
                            <w:ind w:firstLine="567"/>
                            <w:jc w:val="both"/>
                          </w:pPr>
                          <w:r>
                            <w:t>Vadovaudamasis Lietuvos Respublikos finansinės apskaitos įstatymo 12 straipsnio 2 dalimi,</w:t>
                          </w:r>
                        </w:p>
                      </w:sdtContent>
                    </w:sdt>
                    <w:sdt>
                      <w:sdtPr>
                        <w:alias w:val="pastraipa"/>
                        <w:tag w:val="part_948d397261e04d33a04c3f1bd1f76fe4"/>
                        <w:lock w:val="sdtLocked"/>
                        <w:richText/>
                      </w:sdtPr>
                      <w:sdtContent>
                        <w:p>
                          <w:pPr>
                            <w:ind w:firstLine="567"/>
                            <w:jc w:val="both"/>
                          </w:pPr>
                          <w:r>
                            <w:rPr>
                              <w:spacing w:val="60"/>
                            </w:rPr>
                            <w:t>tvirtinu</w:t>
                          </w:r>
                          <w:r>
                            <w:t xml:space="preserve"> 2-ąjį viešojo sektoriaus apskaitos ir finansinės atskaitomybės standartą „Finansinės būklės ataskaita“ (pridedama).“</w:t>
                          </w:r>
                        </w:p>
                      </w:sdtContent>
                    </w:sdt>
                  </w:sdtContent>
                </w:sdt>
              </w:sdtContent>
            </w:sdt>
          </w:sdtContent>
        </w:sdt>
        <w:sdt>
          <w:sdtPr>
            <w:alias w:val="2 p."/>
            <w:tag w:val="part_fbad358d3c754e68a104fcc6ed0490a5"/>
            <w:lock w:val="sdtLocked"/>
            <w:richText/>
          </w:sdtPr>
          <w:sdtContent>
            <w:p>
              <w:pPr>
                <w:widowControl w:val="0"/>
                <w:tabs>
                  <w:tab w:val="left" w:pos="851"/>
                </w:tabs>
                <w:spacing w:line="276" w:lineRule="auto"/>
                <w:ind w:firstLine="567"/>
                <w:jc w:val="both"/>
              </w:pPr>
              <w:sdt>
                <w:sdtPr>
                  <w:alias w:val="Numeris"/>
                  <w:tag w:val="nr_fbad358d3c754e68a104fcc6ed0490a5"/>
                  <w:lock w:val="sdtLocked"/>
                  <w:richText/>
                </w:sdtPr>
                <w:sdtContent>
                  <w:r>
                    <w:t>2</w:t>
                  </w:r>
                </w:sdtContent>
              </w:sdt>
              <w:r>
                <w:t>. N u s t a t a u, kad šis įsakymas taikomas finansinių ataskaitų rinkiniams ar pagal Lietuvos Respublikos viešojo sektoriaus atskaitomybės įstatymo 9 straipsnio 5 dalį rengiamiems fondų ataskaitų rinkiniams, rengiamiems už 2026 m. sausio 1 d. ir vėliau prasidedančius ataskaitinius laikotarpius.</w:t>
              </w:r>
            </w:p>
            <w:p>
              <w:pPr>
                <w:widowControl w:val="0"/>
                <w:tabs>
                  <w:tab w:val="left" w:pos="851"/>
                </w:tabs>
                <w:jc w:val="both"/>
              </w:pPr>
            </w:p>
            <w:p>
              <w:pPr>
                <w:widowControl w:val="0"/>
                <w:tabs>
                  <w:tab w:val="left" w:pos="851"/>
                </w:tabs>
                <w:jc w:val="both"/>
              </w:pPr>
            </w:p>
          </w:sdtContent>
        </w:sdt>
        <w:sdt>
          <w:sdtPr>
            <w:alias w:val="signatura"/>
            <w:tag w:val="part_657a23c76a47412f8096926e40ac77c7"/>
            <w:lock w:val="sdtLocked"/>
            <w:richText/>
          </w:sdtPr>
          <w:sdtContent>
            <w:p>
              <w:pPr>
                <w:widowControl w:val="0"/>
                <w:tabs>
                  <w:tab w:val="left" w:pos="142"/>
                  <w:tab w:val="right" w:pos="9071"/>
                </w:tabs>
              </w:pPr>
              <w:r>
                <w:t>Finansų ministras</w:t>
              </w:r>
            </w:p>
            <w:p>
              <w:pPr>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pgNumType w:start="0"/>
                  <w:cols w:space="1296"/>
                  <w:titlePg/>
                  <w:docGrid w:linePitch="360"/>
                </w:sectPr>
              </w:pPr>
            </w:p>
            <w:p>
              <w:pPr>
                <w:tabs>
                  <w:tab w:val="center" w:pos="4819"/>
                  <w:tab w:val="right" w:pos="9638"/>
                </w:tabs>
              </w:pPr>
            </w:p>
          </w:sdtContent>
        </w:sdt>
      </w:sdtContent>
    </w:sdt>
    <w:sdt>
      <w:sdtPr>
        <w:alias w:val="patvirtinta"/>
        <w:tag w:val="part_b19d5fa9b3d54625b6e95ed08c610af2"/>
        <w:lock w:val="sdtLocked"/>
        <w:richText/>
      </w:sdtPr>
      <w:sdtContent>
        <w:p>
          <w:pPr>
            <w:keepLines/>
            <w:widowControl w:val="0"/>
            <w:suppressAutoHyphens/>
            <w:ind w:left="5245"/>
          </w:pPr>
          <w:r>
            <w:t>PATVIRTINTA</w:t>
          </w:r>
        </w:p>
        <w:p>
          <w:pPr>
            <w:keepLines/>
            <w:widowControl w:val="0"/>
            <w:suppressAutoHyphens/>
            <w:ind w:left="5245"/>
          </w:pPr>
          <w:r>
            <w:t>Lietuvos Respublikos finansų ministro</w:t>
          </w:r>
        </w:p>
        <w:p>
          <w:pPr>
            <w:keepLines/>
            <w:widowControl w:val="0"/>
            <w:suppressAutoHyphens/>
            <w:ind w:left="5245"/>
          </w:pPr>
          <w:r>
            <w:t>2007 m. gruodžio 19 d. įsakymu Nr. 1K-378</w:t>
          </w:r>
        </w:p>
        <w:p>
          <w:pPr>
            <w:keepLines/>
            <w:widowControl w:val="0"/>
            <w:suppressAutoHyphens/>
            <w:ind w:left="5245"/>
            <w:rPr>
              <w:color w:val="000000"/>
            </w:rPr>
          </w:pPr>
          <w:r>
            <w:rPr>
              <w:color w:val="000000"/>
            </w:rPr>
            <w:t>(Lietuvos Respublikos finansų ministro</w:t>
          </w:r>
        </w:p>
        <w:p>
          <w:pPr>
            <w:keepLines/>
            <w:widowControl w:val="0"/>
            <w:suppressAutoHyphens/>
            <w:ind w:left="5245"/>
            <w:rPr>
              <w:color w:val="000000"/>
            </w:rPr>
          </w:pPr>
          <w:r>
            <w:rPr>
              <w:color w:val="000000"/>
            </w:rPr>
            <w:t xml:space="preserve">2024 m.       d. įsakymo Nr. 1K-      redakcija)</w:t>
          </w:r>
        </w:p>
        <w:p>
          <w:pPr>
            <w:keepLines/>
            <w:widowControl w:val="0"/>
            <w:suppressAutoHyphens/>
            <w:jc w:val="center"/>
            <w:rPr>
              <w:b/>
              <w:bCs/>
              <w:caps/>
            </w:rPr>
          </w:pPr>
        </w:p>
        <w:p>
          <w:pPr>
            <w:keepLines/>
            <w:widowControl w:val="0"/>
            <w:suppressAutoHyphens/>
            <w:jc w:val="center"/>
            <w:rPr>
              <w:b/>
              <w:bCs/>
              <w:caps/>
            </w:rPr>
          </w:pPr>
          <w:sdt>
            <w:sdtPr>
              <w:alias w:val="Pavadinimas"/>
              <w:tag w:val="title_b19d5fa9b3d54625b6e95ed08c610af2"/>
              <w:lock w:val="sdtLocked"/>
              <w:richText/>
            </w:sdtPr>
            <w:sdtContent>
              <w:r>
                <w:rPr>
                  <w:b/>
                  <w:bCs/>
                  <w:caps/>
                </w:rPr>
                <w:t>2-ASIS VIEŠOJO SEKTORIAUS APSKAITOS IR FINANSINĖS ATSKAITOMYBĖS STANDARTAS „FINANSINĖS BŪKLĖS ATASKAITA“</w:t>
              </w:r>
            </w:sdtContent>
          </w:sdt>
        </w:p>
        <w:p>
          <w:pPr>
            <w:widowControl w:val="0"/>
            <w:suppressAutoHyphens/>
            <w:ind w:firstLine="567"/>
            <w:jc w:val="both"/>
          </w:pPr>
        </w:p>
        <w:sdt>
          <w:sdtPr>
            <w:alias w:val="skyrius"/>
            <w:tag w:val="part_0493068f2cf4482ca2f2a08c054f07a2"/>
            <w:lock w:val="sdtLocked"/>
            <w:richText/>
          </w:sdtPr>
          <w:sdtContent>
            <w:p>
              <w:pPr>
                <w:keepLines/>
                <w:widowControl w:val="0"/>
                <w:suppressAutoHyphens/>
                <w:jc w:val="center"/>
                <w:rPr>
                  <w:b/>
                  <w:bCs/>
                  <w:caps/>
                </w:rPr>
              </w:pPr>
              <w:sdt>
                <w:sdtPr>
                  <w:alias w:val="Numeris"/>
                  <w:tag w:val="nr_0493068f2cf4482ca2f2a08c054f07a2"/>
                  <w:lock w:val="sdtLocked"/>
                  <w:richText/>
                </w:sdtPr>
                <w:sdtContent>
                  <w:r>
                    <w:rPr>
                      <w:b/>
                      <w:bCs/>
                      <w:caps/>
                    </w:rPr>
                    <w:t>I</w:t>
                  </w:r>
                </w:sdtContent>
              </w:sdt>
              <w:r>
                <w:rPr>
                  <w:b/>
                  <w:bCs/>
                  <w:caps/>
                </w:rPr>
                <w:t xml:space="preserve"> SKYRIUS</w:t>
              </w:r>
            </w:p>
            <w:p>
              <w:pPr>
                <w:keepLines/>
                <w:widowControl w:val="0"/>
                <w:suppressAutoHyphens/>
                <w:jc w:val="center"/>
                <w:rPr>
                  <w:b/>
                  <w:bCs/>
                  <w:caps/>
                </w:rPr>
              </w:pPr>
              <w:sdt>
                <w:sdtPr>
                  <w:alias w:val="Pavadinimas"/>
                  <w:tag w:val="title_0493068f2cf4482ca2f2a08c054f07a2"/>
                  <w:lock w:val="sdtLocked"/>
                  <w:richText/>
                </w:sdtPr>
                <w:sdtContent>
                  <w:r>
                    <w:rPr>
                      <w:b/>
                      <w:bCs/>
                      <w:caps/>
                    </w:rPr>
                    <w:t>BENDROSIOS NUOSTATOS</w:t>
                  </w:r>
                </w:sdtContent>
              </w:sdt>
            </w:p>
            <w:p>
              <w:pPr>
                <w:widowControl w:val="0"/>
                <w:suppressAutoHyphens/>
                <w:ind w:firstLine="567"/>
                <w:jc w:val="both"/>
              </w:pPr>
            </w:p>
            <w:sdt>
              <w:sdtPr>
                <w:alias w:val="1 p."/>
                <w:tag w:val="part_f1fe92c3065744989b5d14f891c5b9b7"/>
                <w:lock w:val="sdtLocked"/>
                <w:richText/>
              </w:sdtPr>
              <w:sdtContent>
                <w:p>
                  <w:pPr>
                    <w:widowControl w:val="0"/>
                    <w:tabs>
                      <w:tab w:val="left" w:pos="851"/>
                      <w:tab w:val="left" w:pos="1134"/>
                    </w:tabs>
                    <w:suppressAutoHyphens/>
                    <w:ind w:firstLine="709"/>
                    <w:jc w:val="both"/>
                  </w:pPr>
                  <w:sdt>
                    <w:sdtPr>
                      <w:alias w:val="Numeris"/>
                      <w:tag w:val="nr_f1fe92c3065744989b5d14f891c5b9b7"/>
                      <w:lock w:val="sdtLocked"/>
                      <w:richText/>
                    </w:sdtPr>
                    <w:sdtContent>
                      <w:r>
                        <w:t>1</w:t>
                      </w:r>
                    </w:sdtContent>
                  </w:sdt>
                  <w:r>
                    <w:t>.</w:t>
                    <w:tab/>
                    <w:t>2-ajame viešojo sektoriaus apskaitos ir finansinės atskaitomybės standarte „Finansinės būklės ataskaita“ (toliau – Standartas) nustatomi informacijos apie viešojo sektoriaus subjekto, viešojo sektoriaus subjektų grupės turtą, finansavimo sumas, įsipareigojimus ir grynąjį turtą</w:t>
                  </w:r>
                  <w:r>
                    <w:rPr>
                      <w:b/>
                      <w:bCs/>
                    </w:rPr>
                    <w:t xml:space="preserve"> </w:t>
                  </w:r>
                  <w:r>
                    <w:t>grupavimo ir pateikimo finansinėse ataskaitose reikalavimai ir finansinės būklės ataskaitos (toliau – ataskaita) formos.</w:t>
                  </w:r>
                </w:p>
              </w:sdtContent>
            </w:sdt>
            <w:sdt>
              <w:sdtPr>
                <w:alias w:val="2 p."/>
                <w:tag w:val="part_7e8af8adb972401caac138e17b63c075"/>
                <w:lock w:val="sdtLocked"/>
                <w:richText/>
              </w:sdtPr>
              <w:sdtContent>
                <w:p>
                  <w:pPr>
                    <w:widowControl w:val="0"/>
                    <w:tabs>
                      <w:tab w:val="left" w:pos="851"/>
                      <w:tab w:val="left" w:pos="1134"/>
                    </w:tabs>
                    <w:suppressAutoHyphens/>
                    <w:ind w:firstLine="709"/>
                    <w:jc w:val="both"/>
                    <w:rPr>
                      <w:color w:val="000000"/>
                    </w:rPr>
                  </w:pPr>
                  <w:sdt>
                    <w:sdtPr>
                      <w:alias w:val="Numeris"/>
                      <w:tag w:val="nr_7e8af8adb972401caac138e17b63c075"/>
                      <w:lock w:val="sdtLocked"/>
                      <w:richText/>
                    </w:sdtPr>
                    <w:sdtContent>
                      <w:r>
                        <w:rPr>
                          <w:color w:val="000000"/>
                        </w:rPr>
                        <w:t>2</w:t>
                      </w:r>
                    </w:sdtContent>
                  </w:sdt>
                  <w:r>
                    <w:rPr>
                      <w:color w:val="000000"/>
                    </w:rPr>
                    <w:t>.</w:t>
                    <w:tab/>
                  </w:r>
                  <w:r>
                    <w:t xml:space="preserve">Standartu vadovaujamasi rengiant viešojo sektoriaus subjekto finansinių ataskaitų rinkinį, viešojo sektoriaus subjektų grupės finansinių ataskaitų rinkinį bei išteklių fondo, mokesčių fondo ir fondų fondo (toliau kartu – fondai) ataskaitų rinkinį, rengiamą pagal Lietuvos Respublikos viešojo sektoriaus atskaitomybės įstatymo 9 straipsnio 5 dalį, (toliau – fondo ataskaitų rinkinys). Standartas rengiant fondų finansinių ataskaitų rinkinį ar fondo ataskaitų rinkinį taikomas tiek, kiek nurodyta šiuose viešojo sektoriaus apskaitos ir finansinės atskaitomybės standartuose (toliau – VSAFAS): 26-ajame viešojo sektoriaus apskaitos ir finansinės atskaitomybės standarte „Fondų apskaita ir finansinių ataskaitų rinkinys“, patvirtintame  Lietuvos Respublikos finansų ministro 2007 m. gruodžio 7 d. įsakymu Nr. 1K-357 „Dėl 26-ojo viešojo sektoriaus apskaitos ir finansinės atskaitomybės standarto patvirtinimo“, 29-ajame viešojo sektoriaus apskaitos ir finansinės atskaitomybės standarte „Pensijų anuitetų fondo apskaita ir ataskaitų rinkinys“, patvirtintame Lietuvos Respublikos finansų ministro 2020 m. gruodžio 8 d. įsakymu Nr. 1K-423 „Dėl viešojo sektoriaus apskaitos ir finansinės atskaitomybės 29-ojo standarto patvirtinimo“, (toliau – 29-asis VSAFAS „Pensijų anuitetų fondo apskaita ir ataskaitų rinkinys“) ir 32-ajame viešojo sektoriaus apskaitos ir finansinės atskaitomybės standarte „Valstybės socialinių fondų ataskaitų rinkiniai“, patvirtintame Lietuvos Respublikos finansų ministro 202... m. ......... d. įsakymu Nr. 1K- „Dėl 32-ojo viešojo sektoriaus apskaitos ir finansinės atskaitomybės standarto patvirtinimo“. </w:t>
                  </w:r>
                </w:p>
              </w:sdtContent>
            </w:sdt>
            <w:sdt>
              <w:sdtPr>
                <w:alias w:val="3 p."/>
                <w:tag w:val="part_86b5a74940354780adb0be006b752afe"/>
                <w:lock w:val="sdtLocked"/>
                <w:richText/>
              </w:sdtPr>
              <w:sdtContent>
                <w:p>
                  <w:pPr>
                    <w:widowControl w:val="0"/>
                    <w:tabs>
                      <w:tab w:val="left" w:pos="851"/>
                      <w:tab w:val="left" w:pos="1134"/>
                    </w:tabs>
                    <w:suppressAutoHyphens/>
                    <w:ind w:firstLine="709"/>
                    <w:jc w:val="both"/>
                    <w:rPr>
                      <w:color w:val="000000"/>
                    </w:rPr>
                  </w:pPr>
                  <w:sdt>
                    <w:sdtPr>
                      <w:alias w:val="Numeris"/>
                      <w:tag w:val="nr_86b5a74940354780adb0be006b752afe"/>
                      <w:lock w:val="sdtLocked"/>
                      <w:richText/>
                    </w:sdtPr>
                    <w:sdtContent>
                      <w:r>
                        <w:rPr>
                          <w:color w:val="000000"/>
                        </w:rPr>
                        <w:t>3</w:t>
                      </w:r>
                    </w:sdtContent>
                  </w:sdt>
                  <w:r>
                    <w:rPr>
                      <w:color w:val="000000"/>
                    </w:rPr>
                    <w:t>.</w:t>
                    <w:tab/>
                  </w:r>
                  <w:r>
                    <w:rPr>
                      <w:szCs w:val="24"/>
                    </w:rPr>
                    <w:t xml:space="preserve">Kai </w:t>
                  </w:r>
                  <w:r>
                    <w:t xml:space="preserve">fondų </w:t>
                  </w:r>
                  <w:r>
                    <w:rPr>
                      <w:szCs w:val="24"/>
                    </w:rPr>
                    <w:t xml:space="preserve">finansinės ataskaitos įtraukiamos į viešojo sektoriaus subjektų grupės finansines ataskaitas, rengiant </w:t>
                  </w:r>
                  <w:r>
                    <w:rPr>
                      <w:color w:val="000000"/>
                      <w:szCs w:val="24"/>
                    </w:rPr>
                    <w:t>grupės finansinių ataskaitų rinkinį ar fondo ataskaitų rinkinį taikomas Standartas, jeigu kituose VSAFAS dėl informacijos pateikimo finansinėse ataskaitose nenurodyta kitaip.</w:t>
                  </w:r>
                </w:p>
              </w:sdtContent>
            </w:sdt>
            <w:sdt>
              <w:sdtPr>
                <w:alias w:val="4 p."/>
                <w:tag w:val="part_338341ab6b644dc9a2df40dd12ac8a89"/>
                <w:lock w:val="sdtLocked"/>
                <w:richText/>
              </w:sdtPr>
              <w:sdtContent>
                <w:p>
                  <w:pPr>
                    <w:widowControl w:val="0"/>
                    <w:tabs>
                      <w:tab w:val="left" w:pos="1134"/>
                    </w:tabs>
                    <w:suppressAutoHyphens/>
                    <w:ind w:firstLine="709"/>
                    <w:jc w:val="both"/>
                  </w:pPr>
                  <w:sdt>
                    <w:sdtPr>
                      <w:alias w:val="Numeris"/>
                      <w:tag w:val="nr_338341ab6b644dc9a2df40dd12ac8a89"/>
                      <w:lock w:val="sdtLocked"/>
                      <w:richText/>
                    </w:sdtPr>
                    <w:sdtContent>
                      <w:r>
                        <w:t>4</w:t>
                      </w:r>
                    </w:sdtContent>
                  </w:sdt>
                  <w:r>
                    <w:t>.</w:t>
                    <w:tab/>
                    <w:t>Standarte vartojamos sąvokos:</w:t>
                  </w:r>
                </w:p>
                <w:sdt>
                  <w:sdtPr>
                    <w:alias w:val="4.1 pp."/>
                    <w:tag w:val="part_a7b077d0029e4377aaa325c0b4816784"/>
                    <w:lock w:val="sdtLocked"/>
                    <w:richText/>
                  </w:sdtPr>
                  <w:sdtContent>
                    <w:p>
                      <w:pPr>
                        <w:widowControl w:val="0"/>
                        <w:tabs>
                          <w:tab w:val="left" w:pos="1134"/>
                        </w:tabs>
                        <w:suppressAutoHyphens/>
                        <w:ind w:firstLine="709"/>
                        <w:jc w:val="both"/>
                      </w:pPr>
                      <w:sdt>
                        <w:sdtPr>
                          <w:alias w:val="Numeris"/>
                          <w:tag w:val="nr_a7b077d0029e4377aaa325c0b4816784"/>
                          <w:lock w:val="sdtLocked"/>
                          <w:richText/>
                        </w:sdtPr>
                        <w:sdtContent>
                          <w:r>
                            <w:t>4.1</w:t>
                          </w:r>
                        </w:sdtContent>
                      </w:sdt>
                      <w:r>
                        <w:t>.</w:t>
                        <w:tab/>
                      </w:r>
                      <w:r>
                        <w:rPr>
                          <w:b/>
                          <w:bCs/>
                        </w:rPr>
                        <w:t>Ateinančių laikotarpių pajamos</w:t>
                      </w:r>
                      <w:r>
                        <w:t xml:space="preserve"> – einamuoju ir ankstesniais ataskaitiniais laikotarpiais gautos sumos, kurios bus pripažintos pajamomis ateinančiais ataskaitiniais laikotarpiais.</w:t>
                      </w:r>
                    </w:p>
                  </w:sdtContent>
                </w:sdt>
                <w:sdt>
                  <w:sdtPr>
                    <w:alias w:val="4.2 pp."/>
                    <w:tag w:val="part_108b3e9ec87e41e2aaff48a09f28f955"/>
                    <w:lock w:val="sdtLocked"/>
                    <w:richText/>
                  </w:sdtPr>
                  <w:sdtContent>
                    <w:p>
                      <w:pPr>
                        <w:widowControl w:val="0"/>
                        <w:tabs>
                          <w:tab w:val="left" w:pos="1134"/>
                        </w:tabs>
                        <w:suppressAutoHyphens/>
                        <w:ind w:firstLine="709"/>
                        <w:jc w:val="both"/>
                      </w:pPr>
                      <w:sdt>
                        <w:sdtPr>
                          <w:alias w:val="Numeris"/>
                          <w:tag w:val="nr_108b3e9ec87e41e2aaff48a09f28f955"/>
                          <w:lock w:val="sdtLocked"/>
                          <w:richText/>
                        </w:sdtPr>
                        <w:sdtContent>
                          <w:r>
                            <w:t>4.2</w:t>
                          </w:r>
                        </w:sdtContent>
                      </w:sdt>
                      <w:r>
                        <w:t>.</w:t>
                        <w:tab/>
                      </w:r>
                      <w:r>
                        <w:rPr>
                          <w:b/>
                          <w:bCs/>
                        </w:rPr>
                        <w:t>Ateinančių laikotarpių sąnaudos</w:t>
                      </w:r>
                      <w:r>
                        <w:t xml:space="preserve"> – einamuoju ir ankstesniais ataskaitiniais laikotarpiais išmokėtos sumos, kurios bus pripažintos sąnaudomis ateinančiais ataskaitiniais laikotarpiais.</w:t>
                      </w:r>
                    </w:p>
                  </w:sdtContent>
                </w:sdt>
                <w:sdt>
                  <w:sdtPr>
                    <w:alias w:val="4.3 pp."/>
                    <w:tag w:val="part_046e45f7d9d34bef95b7b4af3e1b59a7"/>
                    <w:lock w:val="sdtLocked"/>
                    <w:richText/>
                  </w:sdtPr>
                  <w:sdtContent>
                    <w:p>
                      <w:pPr>
                        <w:widowControl w:val="0"/>
                        <w:tabs>
                          <w:tab w:val="left" w:pos="1134"/>
                        </w:tabs>
                        <w:suppressAutoHyphens/>
                        <w:ind w:firstLine="709"/>
                        <w:jc w:val="both"/>
                      </w:pPr>
                      <w:sdt>
                        <w:sdtPr>
                          <w:alias w:val="Numeris"/>
                          <w:tag w:val="nr_046e45f7d9d34bef95b7b4af3e1b59a7"/>
                          <w:lock w:val="sdtLocked"/>
                          <w:richText/>
                        </w:sdtPr>
                        <w:sdtContent>
                          <w:r>
                            <w:t>4.3</w:t>
                          </w:r>
                        </w:sdtContent>
                      </w:sdt>
                      <w:r>
                        <w:t>.</w:t>
                        <w:tab/>
                      </w:r>
                      <w:r>
                        <w:rPr>
                          <w:b/>
                          <w:bCs/>
                        </w:rPr>
                        <w:t>Atidėjinys</w:t>
                      </w:r>
                      <w:r>
                        <w:t xml:space="preserve"> – įsipareigojimas, kurio galutinės įvykdymo sumos arba įvykdymo laiko negalima tiksliai nustatyti, tačiau įvykdymo sumą ar laiką galima patikimai įvertinti.</w:t>
                      </w:r>
                    </w:p>
                  </w:sdtContent>
                </w:sdt>
                <w:sdt>
                  <w:sdtPr>
                    <w:alias w:val="4.4 pp."/>
                    <w:tag w:val="part_12e7521b05b84b62a71d30f4bc484e14"/>
                    <w:lock w:val="sdtLocked"/>
                    <w:richText/>
                  </w:sdtPr>
                  <w:sdtContent>
                    <w:p>
                      <w:pPr>
                        <w:widowControl w:val="0"/>
                        <w:tabs>
                          <w:tab w:val="left" w:pos="1134"/>
                        </w:tabs>
                        <w:suppressAutoHyphens/>
                        <w:ind w:firstLine="709"/>
                        <w:jc w:val="both"/>
                      </w:pPr>
                      <w:sdt>
                        <w:sdtPr>
                          <w:alias w:val="Numeris"/>
                          <w:tag w:val="nr_12e7521b05b84b62a71d30f4bc484e14"/>
                          <w:lock w:val="sdtLocked"/>
                          <w:richText/>
                        </w:sdtPr>
                        <w:sdtContent>
                          <w:r>
                            <w:t>4.4</w:t>
                          </w:r>
                        </w:sdtContent>
                      </w:sdt>
                      <w:r>
                        <w:t>.</w:t>
                        <w:tab/>
                      </w:r>
                      <w:r>
                        <w:rPr>
                          <w:b/>
                          <w:bCs/>
                        </w:rPr>
                        <w:t>Ilgalaikis įsipareigojimas</w:t>
                      </w:r>
                      <w:r>
                        <w:t xml:space="preserve"> – įsipareigojimas, kuris bus vykdomas ne anksčiau kaip po 12 mėnesių, skaičiuojant nuo paskutinės einamojo ataskaitinio laikotarpio dienos.</w:t>
                      </w:r>
                    </w:p>
                  </w:sdtContent>
                </w:sdt>
                <w:sdt>
                  <w:sdtPr>
                    <w:alias w:val="4.5 pp."/>
                    <w:tag w:val="part_03c86cd6ac73490bb72a06e80dfb96b5"/>
                    <w:lock w:val="sdtLocked"/>
                    <w:richText/>
                  </w:sdtPr>
                  <w:sdtContent>
                    <w:p>
                      <w:pPr>
                        <w:widowControl w:val="0"/>
                        <w:tabs>
                          <w:tab w:val="left" w:pos="1134"/>
                        </w:tabs>
                        <w:suppressAutoHyphens/>
                        <w:ind w:firstLine="709"/>
                        <w:jc w:val="both"/>
                      </w:pPr>
                      <w:sdt>
                        <w:sdtPr>
                          <w:alias w:val="Numeris"/>
                          <w:tag w:val="nr_03c86cd6ac73490bb72a06e80dfb96b5"/>
                          <w:lock w:val="sdtLocked"/>
                          <w:richText/>
                        </w:sdtPr>
                        <w:sdtContent>
                          <w:r>
                            <w:t>4.5</w:t>
                          </w:r>
                        </w:sdtContent>
                      </w:sdt>
                      <w:r>
                        <w:t>.</w:t>
                        <w:tab/>
                      </w:r>
                      <w:r>
                        <w:rPr>
                          <w:b/>
                          <w:bCs/>
                        </w:rPr>
                        <w:t>Sukauptos pajamos</w:t>
                      </w:r>
                      <w:r>
                        <w:t xml:space="preserve"> – pajamos už per einamąjį ar ankstesnius ataskaitinius laikotarpius suteiktas paslaugas, už kurias sąskaita bus pateikta parengus finansines ataskaitas.</w:t>
                      </w:r>
                    </w:p>
                  </w:sdtContent>
                </w:sdt>
                <w:sdt>
                  <w:sdtPr>
                    <w:alias w:val="4.6 pp."/>
                    <w:tag w:val="part_d6a72ecab45f425c8aac78cf44723bfa"/>
                    <w:lock w:val="sdtLocked"/>
                    <w:richText/>
                  </w:sdtPr>
                  <w:sdtContent>
                    <w:p>
                      <w:pPr>
                        <w:widowControl w:val="0"/>
                        <w:tabs>
                          <w:tab w:val="left" w:pos="1134"/>
                        </w:tabs>
                        <w:suppressAutoHyphens/>
                        <w:ind w:firstLine="709"/>
                        <w:jc w:val="both"/>
                      </w:pPr>
                      <w:sdt>
                        <w:sdtPr>
                          <w:alias w:val="Numeris"/>
                          <w:tag w:val="nr_d6a72ecab45f425c8aac78cf44723bfa"/>
                          <w:lock w:val="sdtLocked"/>
                          <w:richText/>
                        </w:sdtPr>
                        <w:sdtContent>
                          <w:r>
                            <w:t>4.6</w:t>
                          </w:r>
                        </w:sdtContent>
                      </w:sdt>
                      <w:r>
                        <w:t>.</w:t>
                        <w:tab/>
                      </w:r>
                      <w:r>
                        <w:rPr>
                          <w:b/>
                          <w:bCs/>
                        </w:rPr>
                        <w:t>Sukauptos sąnaudos</w:t>
                      </w:r>
                      <w:r>
                        <w:t xml:space="preserve"> – einamuoju ir ankstesniais ataskaitiniais laikotarpiais gautų paslaugų sąnaudos, už kurias sąskaita bus pateikta parengus finansines ataskaitas. </w:t>
                      </w:r>
                    </w:p>
                  </w:sdtContent>
                </w:sdt>
                <w:sdt>
                  <w:sdtPr>
                    <w:alias w:val="4.7 pp."/>
                    <w:tag w:val="part_cec0a54e921e452cb32640f3d0700292"/>
                    <w:lock w:val="sdtLocked"/>
                    <w:richText/>
                  </w:sdtPr>
                  <w:sdtContent>
                    <w:p>
                      <w:pPr>
                        <w:widowControl w:val="0"/>
                        <w:tabs>
                          <w:tab w:val="left" w:pos="1134"/>
                        </w:tabs>
                        <w:suppressAutoHyphens/>
                        <w:ind w:firstLine="709"/>
                        <w:jc w:val="both"/>
                      </w:pPr>
                      <w:sdt>
                        <w:sdtPr>
                          <w:alias w:val="Numeris"/>
                          <w:tag w:val="nr_cec0a54e921e452cb32640f3d0700292"/>
                          <w:lock w:val="sdtLocked"/>
                          <w:richText/>
                        </w:sdtPr>
                        <w:sdtContent>
                          <w:r>
                            <w:t>4.7</w:t>
                          </w:r>
                        </w:sdtContent>
                      </w:sdt>
                      <w:r>
                        <w:t>.</w:t>
                        <w:tab/>
                      </w:r>
                      <w:r>
                        <w:rPr>
                          <w:b/>
                          <w:bCs/>
                        </w:rPr>
                        <w:t>Trumpalaikis įsipareigojimas</w:t>
                      </w:r>
                      <w:r>
                        <w:t xml:space="preserve"> – įsipareigojimas, kuris bus vykdomas per 12 mėnesių, skaičiuojant nuo paskutinės einamojo ataskaitinio laikotarpio dienos.</w:t>
                      </w:r>
                    </w:p>
                  </w:sdtContent>
                </w:sdt>
                <w:sdt>
                  <w:sdtPr>
                    <w:alias w:val="4.8 pp."/>
                    <w:tag w:val="part_fefebb1b8fdd40bc91c56852a2c9bb10"/>
                    <w:lock w:val="sdtLocked"/>
                    <w:richText/>
                  </w:sdtPr>
                  <w:sdtContent>
                    <w:p>
                      <w:pPr>
                        <w:widowControl w:val="0"/>
                        <w:tabs>
                          <w:tab w:val="left" w:pos="1134"/>
                        </w:tabs>
                        <w:suppressAutoHyphens/>
                        <w:ind w:firstLine="709"/>
                        <w:jc w:val="both"/>
                      </w:pPr>
                      <w:sdt>
                        <w:sdtPr>
                          <w:alias w:val="Numeris"/>
                          <w:tag w:val="nr_fefebb1b8fdd40bc91c56852a2c9bb10"/>
                          <w:lock w:val="sdtLocked"/>
                          <w:richText/>
                        </w:sdtPr>
                        <w:sdtContent>
                          <w:r>
                            <w:t>4.8</w:t>
                          </w:r>
                        </w:sdtContent>
                      </w:sdt>
                      <w:r>
                        <w:t>.</w:t>
                        <w:tab/>
                      </w:r>
                      <w:r>
                        <w:rPr>
                          <w:b/>
                          <w:szCs w:val="24"/>
                          <w:lang w:eastAsia="lt-LT"/>
                        </w:rPr>
                        <w:t>Veiklos ciklas</w:t>
                      </w:r>
                      <w:r>
                        <w:rPr>
                          <w:bCs/>
                          <w:szCs w:val="24"/>
                          <w:lang w:eastAsia="lt-LT"/>
                        </w:rPr>
                        <w:t xml:space="preserve"> – laikotarpis nuo veiklos procese naudojamų atsargų įsigijimo iki jų realizavimo.</w:t>
                      </w:r>
                    </w:p>
                  </w:sdtContent>
                </w:sdt>
                <w:sdt>
                  <w:sdtPr>
                    <w:alias w:val="4.9 pp."/>
                    <w:tag w:val="part_28898d0e2ff9407b9235a64e26d3a8a0"/>
                    <w:lock w:val="sdtLocked"/>
                    <w:richText/>
                  </w:sdtPr>
                  <w:sdtContent>
                    <w:p>
                      <w:pPr>
                        <w:widowControl w:val="0"/>
                        <w:tabs>
                          <w:tab w:val="left" w:pos="1134"/>
                        </w:tabs>
                        <w:suppressAutoHyphens/>
                        <w:ind w:firstLine="709"/>
                        <w:jc w:val="both"/>
                      </w:pPr>
                      <w:sdt>
                        <w:sdtPr>
                          <w:alias w:val="Numeris"/>
                          <w:tag w:val="nr_28898d0e2ff9407b9235a64e26d3a8a0"/>
                          <w:lock w:val="sdtLocked"/>
                          <w:richText/>
                        </w:sdtPr>
                        <w:sdtContent>
                          <w:r>
                            <w:t>4.9</w:t>
                          </w:r>
                        </w:sdtContent>
                      </w:sdt>
                      <w:r>
                        <w:t>.</w:t>
                        <w:tab/>
                      </w:r>
                      <w:r>
                        <w:rPr>
                          <w:b/>
                          <w:bCs/>
                        </w:rPr>
                        <w:t xml:space="preserve">Viešojo sektoriaus subjekto ilgalaikis turtas </w:t>
                      </w:r>
                      <w:r>
                        <w:t>(toliau – ilgalaikis turtas) – turtas, kurį viešojo sektoriaus subjektas naudos ekonominei naudai gauti arba viešosioms paslaugoms teikti ilgiau kaip 12 mėnesių.</w:t>
                      </w:r>
                    </w:p>
                  </w:sdtContent>
                </w:sdt>
                <w:sdt>
                  <w:sdtPr>
                    <w:alias w:val="4.10 pp."/>
                    <w:tag w:val="part_ec74aa738a1c4dd192e077472cae83a2"/>
                    <w:lock w:val="sdtLocked"/>
                    <w:richText/>
                  </w:sdtPr>
                  <w:sdtContent>
                    <w:p>
                      <w:pPr>
                        <w:widowControl w:val="0"/>
                        <w:tabs>
                          <w:tab w:val="left" w:pos="1134"/>
                        </w:tabs>
                        <w:suppressAutoHyphens/>
                        <w:ind w:firstLine="709"/>
                        <w:jc w:val="both"/>
                      </w:pPr>
                      <w:sdt>
                        <w:sdtPr>
                          <w:alias w:val="Numeris"/>
                          <w:tag w:val="nr_ec74aa738a1c4dd192e077472cae83a2"/>
                          <w:lock w:val="sdtLocked"/>
                          <w:richText/>
                        </w:sdtPr>
                        <w:sdtContent>
                          <w:r>
                            <w:t>4.10</w:t>
                          </w:r>
                        </w:sdtContent>
                      </w:sdt>
                      <w:r>
                        <w:t>.</w:t>
                        <w:tab/>
                      </w:r>
                      <w:r>
                        <w:rPr>
                          <w:b/>
                          <w:bCs/>
                          <w:color w:val="000000"/>
                          <w:spacing w:val="-2"/>
                        </w:rPr>
                        <w:t>Viešojo sektoriaus subjekto trumpalaikis turtas</w:t>
                      </w:r>
                      <w:r>
                        <w:rPr>
                          <w:color w:val="000000"/>
                          <w:spacing w:val="-2"/>
                        </w:rPr>
                        <w:t xml:space="preserve"> (toliau – trumpalaikis turtas) – turtas, kurį viešojo sektoriaus subjektas tikisi parduoti ar sunaudoti per 12 mėnesių nuo šio turto įsigijimo dienos arba per vieną savo veiklos ciklą, pinigai ar jų ekvivalentai ir per vienus metus gautinos sumos. Prie viešojo sektoriaus subjekto trumpalaikio turto taip pat priskiriamas viešojo sektoriaus subjekto ūkinis inventorius</w:t>
                      </w:r>
                      <w:r>
                        <w:t>.</w:t>
                      </w:r>
                    </w:p>
                  </w:sdtContent>
                </w:sdt>
                <w:sdt>
                  <w:sdtPr>
                    <w:alias w:val="4.11 pp."/>
                    <w:tag w:val="part_232e264e7d1b4e8f85cd79a5f0bf0335"/>
                    <w:lock w:val="sdtLocked"/>
                    <w:richText/>
                  </w:sdtPr>
                  <w:sdtContent>
                    <w:p>
                      <w:pPr>
                        <w:widowControl w:val="0"/>
                        <w:tabs>
                          <w:tab w:val="left" w:pos="1134"/>
                        </w:tabs>
                        <w:suppressAutoHyphens/>
                        <w:ind w:firstLine="709"/>
                        <w:jc w:val="both"/>
                      </w:pPr>
                      <w:sdt>
                        <w:sdtPr>
                          <w:alias w:val="Numeris"/>
                          <w:tag w:val="nr_232e264e7d1b4e8f85cd79a5f0bf0335"/>
                          <w:lock w:val="sdtLocked"/>
                          <w:richText/>
                        </w:sdtPr>
                        <w:sdtContent>
                          <w:r>
                            <w:t>4.11</w:t>
                          </w:r>
                        </w:sdtContent>
                      </w:sdt>
                      <w:r>
                        <w:t>.</w:t>
                        <w:tab/>
                        <w:t xml:space="preserve">Kitos Standarte vartojamos sąvokos suprantamos taip, kaip jos apibrėžtos Lietuvos Respublikos finansinės apskaitos įstatyme, Viešojo sektoriaus atskaitomybės įstatyme ir kituose VSAFAS. </w:t>
                      </w:r>
                    </w:p>
                    <w:p/>
                  </w:sdtContent>
                </w:sdt>
              </w:sdtContent>
            </w:sdt>
          </w:sdtContent>
        </w:sdt>
        <w:sdt>
          <w:sdtPr>
            <w:alias w:val="skyrius"/>
            <w:tag w:val="part_7632eb3363874d9893cc8339d3103296"/>
            <w:lock w:val="sdtLocked"/>
            <w:richText/>
          </w:sdtPr>
          <w:sdtContent>
            <w:p>
              <w:pPr>
                <w:keepLines/>
                <w:widowControl w:val="0"/>
                <w:suppressAutoHyphens/>
                <w:jc w:val="center"/>
                <w:rPr>
                  <w:b/>
                  <w:bCs/>
                  <w:caps/>
                </w:rPr>
              </w:pPr>
              <w:sdt>
                <w:sdtPr>
                  <w:alias w:val="Numeris"/>
                  <w:tag w:val="nr_7632eb3363874d9893cc8339d3103296"/>
                  <w:lock w:val="sdtLocked"/>
                  <w:richText/>
                </w:sdtPr>
                <w:sdtContent>
                  <w:r>
                    <w:rPr>
                      <w:b/>
                      <w:bCs/>
                      <w:caps/>
                    </w:rPr>
                    <w:t>II</w:t>
                  </w:r>
                </w:sdtContent>
              </w:sdt>
              <w:r>
                <w:rPr>
                  <w:b/>
                  <w:bCs/>
                  <w:caps/>
                </w:rPr>
                <w:t xml:space="preserve"> SKYRIUS</w:t>
              </w:r>
            </w:p>
            <w:p>
              <w:pPr>
                <w:keepLines/>
                <w:widowControl w:val="0"/>
                <w:suppressAutoHyphens/>
                <w:jc w:val="center"/>
                <w:rPr>
                  <w:b/>
                  <w:bCs/>
                  <w:caps/>
                </w:rPr>
              </w:pPr>
              <w:sdt>
                <w:sdtPr>
                  <w:alias w:val="Pavadinimas"/>
                  <w:tag w:val="title_7632eb3363874d9893cc8339d3103296"/>
                  <w:lock w:val="sdtLocked"/>
                  <w:richText/>
                </w:sdtPr>
                <w:sdtContent>
                  <w:r>
                    <w:rPr>
                      <w:b/>
                      <w:bCs/>
                      <w:caps/>
                    </w:rPr>
                    <w:t>INFORMACIJOS PATEIKIMAS ATASKAITOJE IR JOS GRUPAVIMAS</w:t>
                  </w:r>
                </w:sdtContent>
              </w:sdt>
            </w:p>
            <w:p>
              <w:pPr>
                <w:widowControl w:val="0"/>
                <w:suppressAutoHyphens/>
                <w:ind w:firstLine="567"/>
                <w:jc w:val="both"/>
              </w:pPr>
            </w:p>
            <w:sdt>
              <w:sdtPr>
                <w:alias w:val="5 p."/>
                <w:tag w:val="part_7e0b81276b0045438b1acc8e13ebb206"/>
                <w:lock w:val="sdtLocked"/>
                <w:richText/>
              </w:sdtPr>
              <w:sdtContent>
                <w:p>
                  <w:pPr>
                    <w:widowControl w:val="0"/>
                    <w:tabs>
                      <w:tab w:val="left" w:pos="1134"/>
                    </w:tabs>
                    <w:suppressAutoHyphens/>
                    <w:ind w:firstLine="709"/>
                    <w:jc w:val="both"/>
                  </w:pPr>
                  <w:sdt>
                    <w:sdtPr>
                      <w:alias w:val="Numeris"/>
                      <w:tag w:val="nr_7e0b81276b0045438b1acc8e13ebb206"/>
                      <w:lock w:val="sdtLocked"/>
                      <w:richText/>
                    </w:sdtPr>
                    <w:sdtContent>
                      <w:r>
                        <w:t>5</w:t>
                      </w:r>
                    </w:sdtContent>
                  </w:sdt>
                  <w:r>
                    <w:t>.</w:t>
                    <w:tab/>
                    <w:t xml:space="preserve">Ataskaitoje informacija turi būti pateikta taip, kad išsamiai ir teisingai parodytų viešojo sektoriaus subjekto, </w:t>
                  </w:r>
                  <w:r>
                    <w:rPr>
                      <w:color w:val="000000"/>
                    </w:rPr>
                    <w:t>viešojo sektoriaus subjektų grupės</w:t>
                  </w:r>
                  <w:r>
                    <w:t xml:space="preserve"> turto, finansavimo sumų, įsipareigojimų ir grynojo turto būklę paskutinę ataskaitinio laikotarpio dieną.</w:t>
                  </w:r>
                </w:p>
              </w:sdtContent>
            </w:sdt>
            <w:sdt>
              <w:sdtPr>
                <w:alias w:val="6 p."/>
                <w:tag w:val="part_ce5713ffb4634dd884e58e1a7825d6a5"/>
                <w:lock w:val="sdtLocked"/>
                <w:richText/>
              </w:sdtPr>
              <w:sdtContent>
                <w:p>
                  <w:pPr>
                    <w:widowControl w:val="0"/>
                    <w:tabs>
                      <w:tab w:val="left" w:pos="1134"/>
                    </w:tabs>
                    <w:suppressAutoHyphens/>
                    <w:ind w:firstLine="709"/>
                    <w:jc w:val="both"/>
                  </w:pPr>
                  <w:sdt>
                    <w:sdtPr>
                      <w:alias w:val="Numeris"/>
                      <w:tag w:val="nr_ce5713ffb4634dd884e58e1a7825d6a5"/>
                      <w:lock w:val="sdtLocked"/>
                      <w:richText/>
                    </w:sdtPr>
                    <w:sdtContent>
                      <w:r>
                        <w:t>6</w:t>
                      </w:r>
                    </w:sdtContent>
                  </w:sdt>
                  <w:r>
                    <w:t>.</w:t>
                    <w:tab/>
                    <w:t xml:space="preserve">Ataskaitoje teikiama informacija pagal tai, kokio viešojo sektoriaus subjekto </w:t>
                  </w:r>
                  <w:r>
                    <w:rPr>
                      <w:color w:val="000000"/>
                    </w:rPr>
                    <w:t>ar viešojo sektoriaus subjektų grupės</w:t>
                  </w:r>
                  <w:r>
                    <w:t xml:space="preserve"> ir kurio lygio finansinių ataskaitų rinkinys yra rengiamas. Finansinių ataskaitų rinkinių lygiai nustatyti 1-ajame viešojo sektoriaus apskaitos ir finansinės atskaitomybės standarte „Informacijos pateikimas finansinių ataskaitų rinkinyje“, patvirtintame Lietuvos Respublikos finansų ministro 2007 m. gruodžio 28 d. įsakymu Nr. 1K-388 „Dėl viešojo sektoriaus apskaitos ir finansinės atskaitomybės 1-ojo standarto patvirtinimo“, (toliau – 1-asis VSAFAS „Informacijos pateikimas finansinių ataskaitų rinkinyje“).</w:t>
                  </w:r>
                </w:p>
              </w:sdtContent>
            </w:sdt>
            <w:sdt>
              <w:sdtPr>
                <w:alias w:val="7 p."/>
                <w:tag w:val="part_eaa0c05caf7b4f17afc6b8500708c200"/>
                <w:lock w:val="sdtLocked"/>
                <w:richText/>
              </w:sdtPr>
              <w:sdtContent>
                <w:p>
                  <w:pPr>
                    <w:widowControl w:val="0"/>
                    <w:tabs>
                      <w:tab w:val="left" w:pos="1134"/>
                    </w:tabs>
                    <w:suppressAutoHyphens/>
                    <w:ind w:firstLine="709"/>
                    <w:jc w:val="both"/>
                  </w:pPr>
                  <w:sdt>
                    <w:sdtPr>
                      <w:alias w:val="Numeris"/>
                      <w:tag w:val="nr_eaa0c05caf7b4f17afc6b8500708c200"/>
                      <w:lock w:val="sdtLocked"/>
                      <w:richText/>
                    </w:sdtPr>
                    <w:sdtContent>
                      <w:r>
                        <w:t>7</w:t>
                      </w:r>
                    </w:sdtContent>
                  </w:sdt>
                  <w:r>
                    <w:t>.</w:t>
                    <w:tab/>
                    <w:t>Ataskaitoje informacija teikiama:</w:t>
                  </w:r>
                </w:p>
                <w:sdt>
                  <w:sdtPr>
                    <w:alias w:val="7.1 pp."/>
                    <w:tag w:val="part_85b7c73c28ae485eac59a5969eac8df9"/>
                    <w:lock w:val="sdtLocked"/>
                    <w:richText/>
                  </w:sdtPr>
                  <w:sdtContent>
                    <w:p>
                      <w:pPr>
                        <w:widowControl w:val="0"/>
                        <w:tabs>
                          <w:tab w:val="left" w:pos="1134"/>
                        </w:tabs>
                        <w:suppressAutoHyphens/>
                        <w:ind w:firstLine="709"/>
                        <w:jc w:val="both"/>
                      </w:pPr>
                      <w:sdt>
                        <w:sdtPr>
                          <w:alias w:val="Numeris"/>
                          <w:tag w:val="nr_85b7c73c28ae485eac59a5969eac8df9"/>
                          <w:lock w:val="sdtLocked"/>
                          <w:richText/>
                        </w:sdtPr>
                        <w:sdtContent>
                          <w:r>
                            <w:t>7.1</w:t>
                          </w:r>
                        </w:sdtContent>
                      </w:sdt>
                      <w:r>
                        <w:t>.</w:t>
                        <w:tab/>
                        <w:t>viešojo sektoriaus subjekto, išskyrus fondus, finansinių ataskaitų rinkinyje – pagal Standarto 1 priede nustatytą formą;</w:t>
                      </w:r>
                    </w:p>
                  </w:sdtContent>
                </w:sdt>
                <w:sdt>
                  <w:sdtPr>
                    <w:alias w:val="7.2 pp."/>
                    <w:tag w:val="part_e40662dd47a443808ad8e8f6550ad362"/>
                    <w:lock w:val="sdtLocked"/>
                    <w:richText/>
                  </w:sdtPr>
                  <w:sdtContent>
                    <w:p>
                      <w:pPr>
                        <w:widowControl w:val="0"/>
                        <w:tabs>
                          <w:tab w:val="left" w:pos="1134"/>
                        </w:tabs>
                        <w:suppressAutoHyphens/>
                        <w:ind w:firstLine="709"/>
                        <w:jc w:val="both"/>
                      </w:pPr>
                      <w:sdt>
                        <w:sdtPr>
                          <w:alias w:val="Numeris"/>
                          <w:tag w:val="nr_e40662dd47a443808ad8e8f6550ad362"/>
                          <w:lock w:val="sdtLocked"/>
                          <w:richText/>
                        </w:sdtPr>
                        <w:sdtContent>
                          <w:r>
                            <w:t>7.2</w:t>
                          </w:r>
                        </w:sdtContent>
                      </w:sdt>
                      <w:r>
                        <w:t>.</w:t>
                        <w:tab/>
                        <w:t>viešojo sektoriaus subjektų grupės žemesniojo lygio finansinių ataskaitų rinkinyje – pagal Standarto 2 priede nustatytą formą;</w:t>
                      </w:r>
                    </w:p>
                  </w:sdtContent>
                </w:sdt>
                <w:sdt>
                  <w:sdtPr>
                    <w:alias w:val="7.3 pp."/>
                    <w:tag w:val="part_9917300910624e78ba347daa3fbc6987"/>
                    <w:lock w:val="sdtLocked"/>
                    <w:richText/>
                  </w:sdtPr>
                  <w:sdtContent>
                    <w:p>
                      <w:pPr>
                        <w:widowControl w:val="0"/>
                        <w:tabs>
                          <w:tab w:val="left" w:pos="1134"/>
                        </w:tabs>
                        <w:suppressAutoHyphens/>
                        <w:ind w:firstLine="709"/>
                        <w:jc w:val="both"/>
                      </w:pPr>
                      <w:sdt>
                        <w:sdtPr>
                          <w:alias w:val="Numeris"/>
                          <w:tag w:val="nr_9917300910624e78ba347daa3fbc6987"/>
                          <w:lock w:val="sdtLocked"/>
                          <w:richText/>
                        </w:sdtPr>
                        <w:sdtContent>
                          <w:r>
                            <w:t>7.3</w:t>
                          </w:r>
                        </w:sdtContent>
                      </w:sdt>
                      <w:r>
                        <w:t>.</w:t>
                        <w:tab/>
                        <w:t>valstybės metinių finansinių ataskaitų rinkinyje – pagal Standarto 3 priede nustatytą formą;</w:t>
                      </w:r>
                    </w:p>
                  </w:sdtContent>
                </w:sdt>
                <w:sdt>
                  <w:sdtPr>
                    <w:alias w:val="7.4 pp."/>
                    <w:tag w:val="part_18f1a41446f746d3b4a9215ebc076e12"/>
                    <w:lock w:val="sdtLocked"/>
                    <w:richText/>
                  </w:sdtPr>
                  <w:sdtContent>
                    <w:p>
                      <w:pPr>
                        <w:widowControl w:val="0"/>
                        <w:tabs>
                          <w:tab w:val="left" w:pos="1134"/>
                        </w:tabs>
                        <w:suppressAutoHyphens/>
                        <w:ind w:firstLine="709"/>
                        <w:jc w:val="both"/>
                      </w:pPr>
                      <w:sdt>
                        <w:sdtPr>
                          <w:alias w:val="Numeris"/>
                          <w:tag w:val="nr_18f1a41446f746d3b4a9215ebc076e12"/>
                          <w:lock w:val="sdtLocked"/>
                          <w:richText/>
                        </w:sdtPr>
                        <w:sdtContent>
                          <w:r>
                            <w:t>7.4</w:t>
                          </w:r>
                        </w:sdtContent>
                      </w:sdt>
                      <w:r>
                        <w:t>.</w:t>
                        <w:tab/>
                        <w:t>savivaldybės metinių finansinių ataskaitų rinkinyje – pagal Standarto 4 priede nustatytą formą;</w:t>
                      </w:r>
                    </w:p>
                  </w:sdtContent>
                </w:sdt>
                <w:sdt>
                  <w:sdtPr>
                    <w:alias w:val="7.5 pp."/>
                    <w:tag w:val="part_d6ec1c84c3c141b2a156b04aeb497cc0"/>
                    <w:lock w:val="sdtLocked"/>
                    <w:richText/>
                  </w:sdtPr>
                  <w:sdtContent>
                    <w:p>
                      <w:pPr>
                        <w:widowControl w:val="0"/>
                        <w:tabs>
                          <w:tab w:val="left" w:pos="1134"/>
                        </w:tabs>
                        <w:suppressAutoHyphens/>
                        <w:ind w:firstLine="709"/>
                        <w:jc w:val="both"/>
                      </w:pPr>
                      <w:sdt>
                        <w:sdtPr>
                          <w:alias w:val="Numeris"/>
                          <w:tag w:val="nr_d6ec1c84c3c141b2a156b04aeb497cc0"/>
                          <w:lock w:val="sdtLocked"/>
                          <w:richText/>
                        </w:sdtPr>
                        <w:sdtContent>
                          <w:r>
                            <w:t>7.5</w:t>
                          </w:r>
                        </w:sdtContent>
                      </w:sdt>
                      <w:r>
                        <w:t>.</w:t>
                        <w:tab/>
                        <w:t xml:space="preserve">nacionaliniame metinių finansinių ataskaitų rinkinyje – pagal Standarto 5 priede nustatytą formą. </w:t>
                      </w:r>
                    </w:p>
                    <w:p>
                      <w:pPr>
                        <w:keepLines/>
                        <w:widowControl w:val="0"/>
                        <w:suppressAutoHyphens/>
                        <w:jc w:val="center"/>
                        <w:rPr>
                          <w:b/>
                          <w:bCs/>
                          <w:caps/>
                        </w:rPr>
                      </w:pPr>
                    </w:p>
                  </w:sdtContent>
                </w:sdt>
              </w:sdtContent>
            </w:sdt>
          </w:sdtContent>
        </w:sdt>
        <w:sdt>
          <w:sdtPr>
            <w:alias w:val="skyrius"/>
            <w:tag w:val="part_664c0955675646c3a2ac3dba5678714c"/>
            <w:lock w:val="sdtLocked"/>
            <w:richText/>
          </w:sdtPr>
          <w:sdtContent>
            <w:p>
              <w:pPr>
                <w:keepLines/>
                <w:widowControl w:val="0"/>
                <w:suppressAutoHyphens/>
                <w:jc w:val="center"/>
                <w:rPr>
                  <w:b/>
                  <w:bCs/>
                  <w:caps/>
                </w:rPr>
              </w:pPr>
              <w:sdt>
                <w:sdtPr>
                  <w:alias w:val="Numeris"/>
                  <w:tag w:val="nr_664c0955675646c3a2ac3dba5678714c"/>
                  <w:lock w:val="sdtLocked"/>
                  <w:richText/>
                </w:sdtPr>
                <w:sdtContent>
                  <w:r>
                    <w:rPr>
                      <w:b/>
                      <w:bCs/>
                      <w:caps/>
                    </w:rPr>
                    <w:t>III</w:t>
                  </w:r>
                </w:sdtContent>
              </w:sdt>
              <w:r>
                <w:rPr>
                  <w:b/>
                  <w:bCs/>
                  <w:caps/>
                </w:rPr>
                <w:t xml:space="preserve"> SKYRIUS</w:t>
              </w:r>
            </w:p>
            <w:p>
              <w:pPr>
                <w:keepLines/>
                <w:widowControl w:val="0"/>
                <w:suppressAutoHyphens/>
                <w:jc w:val="center"/>
                <w:rPr>
                  <w:b/>
                  <w:bCs/>
                  <w:caps/>
                </w:rPr>
              </w:pPr>
              <w:sdt>
                <w:sdtPr>
                  <w:alias w:val="Pavadinimas"/>
                  <w:tag w:val="title_664c0955675646c3a2ac3dba5678714c"/>
                  <w:lock w:val="sdtLocked"/>
                  <w:richText/>
                </w:sdtPr>
                <w:sdtContent>
                  <w:r>
                    <w:rPr>
                      <w:b/>
                      <w:bCs/>
                      <w:caps/>
                    </w:rPr>
                    <w:t>TURTO IR ĮSIPAREIGOJIMŲ PRISKYRIMAS PRIE ILGALAIKIŲ IR TRUMPALAIKIŲ</w:t>
                  </w:r>
                </w:sdtContent>
              </w:sdt>
            </w:p>
            <w:p>
              <w:pPr>
                <w:widowControl w:val="0"/>
                <w:suppressAutoHyphens/>
                <w:ind w:firstLine="567"/>
                <w:jc w:val="both"/>
              </w:pPr>
            </w:p>
            <w:sdt>
              <w:sdtPr>
                <w:alias w:val="8 p."/>
                <w:tag w:val="part_5088e9dadafd438ebe03778b72151413"/>
                <w:lock w:val="sdtLocked"/>
                <w:richText/>
              </w:sdtPr>
              <w:sdtContent>
                <w:p>
                  <w:pPr>
                    <w:widowControl w:val="0"/>
                    <w:tabs>
                      <w:tab w:val="left" w:pos="1134"/>
                    </w:tabs>
                    <w:suppressAutoHyphens/>
                    <w:ind w:firstLine="709"/>
                    <w:jc w:val="both"/>
                  </w:pPr>
                  <w:sdt>
                    <w:sdtPr>
                      <w:alias w:val="Numeris"/>
                      <w:tag w:val="nr_5088e9dadafd438ebe03778b72151413"/>
                      <w:lock w:val="sdtLocked"/>
                      <w:richText/>
                    </w:sdtPr>
                    <w:sdtContent>
                      <w:r>
                        <w:t>8</w:t>
                      </w:r>
                    </w:sdtContent>
                  </w:sdt>
                  <w:r>
                    <w:t>.</w:t>
                    <w:tab/>
                    <w:t>Turtas, išskyrus biologinį turtą, ir įsipareigojimai, išskyrus atidėjinius, skirstomi į ilgalaikius ir trumpalaikius.</w:t>
                  </w:r>
                </w:p>
              </w:sdtContent>
            </w:sdt>
            <w:sdt>
              <w:sdtPr>
                <w:alias w:val="9 p."/>
                <w:tag w:val="part_e5d369aa09e742c5ad15481048856b02"/>
                <w:lock w:val="sdtLocked"/>
                <w:richText/>
              </w:sdtPr>
              <w:sdtContent>
                <w:p>
                  <w:pPr>
                    <w:widowControl w:val="0"/>
                    <w:tabs>
                      <w:tab w:val="left" w:pos="1134"/>
                    </w:tabs>
                    <w:suppressAutoHyphens/>
                    <w:ind w:firstLine="709"/>
                    <w:jc w:val="both"/>
                  </w:pPr>
                  <w:sdt>
                    <w:sdtPr>
                      <w:alias w:val="Numeris"/>
                      <w:tag w:val="nr_e5d369aa09e742c5ad15481048856b02"/>
                      <w:lock w:val="sdtLocked"/>
                      <w:richText/>
                    </w:sdtPr>
                    <w:sdtContent>
                      <w:r>
                        <w:t>9</w:t>
                      </w:r>
                    </w:sdtContent>
                  </w:sdt>
                  <w:r>
                    <w:t>.</w:t>
                    <w:tab/>
                    <w:t xml:space="preserve">Prie ilgalaikio turto priskiriamas nematerialusis, ilgalaikis materialusis, ilgalaikis finansinis turtas, mineraliniai ištekliai ir kitas ilgalaikis turtas. </w:t>
                  </w:r>
                </w:p>
              </w:sdtContent>
            </w:sdt>
            <w:sdt>
              <w:sdtPr>
                <w:alias w:val="10 p."/>
                <w:tag w:val="part_1f33f0da30ce4522bf9e9779545e827d"/>
                <w:lock w:val="sdtLocked"/>
                <w:richText/>
              </w:sdtPr>
              <w:sdtContent>
                <w:p>
                  <w:pPr>
                    <w:widowControl w:val="0"/>
                    <w:tabs>
                      <w:tab w:val="left" w:pos="1134"/>
                    </w:tabs>
                    <w:suppressAutoHyphens/>
                    <w:ind w:firstLine="709"/>
                    <w:jc w:val="both"/>
                  </w:pPr>
                  <w:sdt>
                    <w:sdtPr>
                      <w:alias w:val="Numeris"/>
                      <w:tag w:val="nr_1f33f0da30ce4522bf9e9779545e827d"/>
                      <w:lock w:val="sdtLocked"/>
                      <w:richText/>
                    </w:sdtPr>
                    <w:sdtContent>
                      <w:r>
                        <w:t>10</w:t>
                      </w:r>
                    </w:sdtContent>
                  </w:sdt>
                  <w:r>
                    <w:t>.</w:t>
                    <w:tab/>
                    <w:t xml:space="preserve">Iš anksto sumokėtos sumos priskiriamos prie nematerialiojo, ilgalaikio materialiojo, ilgalaikio finansinio, kito ilgalaikio ar trumpalaikio turto, atsižvelgiant į tai, už kokį turtą buvo sumokėta. </w:t>
                  </w:r>
                </w:p>
              </w:sdtContent>
            </w:sdt>
            <w:sdt>
              <w:sdtPr>
                <w:alias w:val="11 p."/>
                <w:tag w:val="part_2cb71a6ad1f84d25a3dbc9b821965f5f"/>
                <w:lock w:val="sdtLocked"/>
                <w:richText/>
              </w:sdtPr>
              <w:sdtContent>
                <w:p>
                  <w:pPr>
                    <w:widowControl w:val="0"/>
                    <w:tabs>
                      <w:tab w:val="left" w:pos="1134"/>
                    </w:tabs>
                    <w:suppressAutoHyphens/>
                    <w:ind w:firstLine="709"/>
                    <w:jc w:val="both"/>
                  </w:pPr>
                  <w:sdt>
                    <w:sdtPr>
                      <w:alias w:val="Numeris"/>
                      <w:tag w:val="nr_2cb71a6ad1f84d25a3dbc9b821965f5f"/>
                      <w:lock w:val="sdtLocked"/>
                      <w:richText/>
                    </w:sdtPr>
                    <w:sdtContent>
                      <w:r>
                        <w:t>11</w:t>
                      </w:r>
                    </w:sdtContent>
                  </w:sdt>
                  <w:r>
                    <w:t>.</w:t>
                    <w:tab/>
                    <w:t>Prie trumpalaikio turto priskiriamos atsargos, iš anksto sumokėtos sumos už trumpalaikį turtą arba paslaugas, kurios bus suteiktos per 12 mėnesių nuo paskutinės ataskaitinio laikotarpio dienos, per 12 mėnesių nuo paskutinės ataskaitinio laikotarpio dienos gautinos sumos, trumpalaikės investicijos, pinigai ir pinigų ekvivalentai (pinigų ir pinigų ekvivalentų sąvokos apibrėžtos 17-ajame viešojo sektoriaus apskaitos ir finansinės atskaitomybės standarte „Finansinis turtas ir finansiniai įsipareigojimai“, patvirtintame Lietuvos Respublikos finansų ministro 2008 m. birželio 27 d. įsakymu Nr. 1K-223 „Dėl viešojo sektoriaus apskaitos ir finansinės atskaitomybės 17-ojo standarto patvirtinimo“, (toliau – 17-asis VSAFAS „Finansinis turtas ir finansiniai įsipareigojimai“).</w:t>
                  </w:r>
                </w:p>
              </w:sdtContent>
            </w:sdt>
            <w:sdt>
              <w:sdtPr>
                <w:alias w:val="12 p."/>
                <w:tag w:val="part_d2db19b7b0034c57893723826a6c10be"/>
                <w:lock w:val="sdtLocked"/>
                <w:richText/>
              </w:sdtPr>
              <w:sdtContent>
                <w:p>
                  <w:pPr>
                    <w:widowControl w:val="0"/>
                    <w:tabs>
                      <w:tab w:val="left" w:pos="1134"/>
                    </w:tabs>
                    <w:suppressAutoHyphens/>
                    <w:ind w:firstLine="709"/>
                    <w:jc w:val="both"/>
                  </w:pPr>
                  <w:sdt>
                    <w:sdtPr>
                      <w:alias w:val="Numeris"/>
                      <w:tag w:val="nr_d2db19b7b0034c57893723826a6c10be"/>
                      <w:lock w:val="sdtLocked"/>
                      <w:richText/>
                    </w:sdtPr>
                    <w:sdtContent>
                      <w:r>
                        <w:t>12</w:t>
                      </w:r>
                    </w:sdtContent>
                  </w:sdt>
                  <w:r>
                    <w:t>.</w:t>
                    <w:tab/>
                    <w:t>Ataskaitoje įsipareigojimai skirstomi į atidėjinius, ilgalaikius įsipareigojimus ir trumpalaikius įsipareigojimus.</w:t>
                  </w:r>
                </w:p>
              </w:sdtContent>
            </w:sdt>
            <w:sdt>
              <w:sdtPr>
                <w:alias w:val="13 p."/>
                <w:tag w:val="part_c1438c1836da4be58b0af14a1adeca89"/>
                <w:lock w:val="sdtLocked"/>
                <w:richText/>
              </w:sdtPr>
              <w:sdtContent>
                <w:p>
                  <w:pPr>
                    <w:widowControl w:val="0"/>
                    <w:tabs>
                      <w:tab w:val="left" w:pos="1134"/>
                    </w:tabs>
                    <w:suppressAutoHyphens/>
                    <w:ind w:firstLine="709"/>
                    <w:jc w:val="both"/>
                  </w:pPr>
                  <w:sdt>
                    <w:sdtPr>
                      <w:alias w:val="Numeris"/>
                      <w:tag w:val="nr_c1438c1836da4be58b0af14a1adeca89"/>
                      <w:lock w:val="sdtLocked"/>
                      <w:richText/>
                    </w:sdtPr>
                    <w:sdtContent>
                      <w:r>
                        <w:t>13</w:t>
                      </w:r>
                    </w:sdtContent>
                  </w:sdt>
                  <w:r>
                    <w:t>.</w:t>
                    <w:tab/>
                    <w:t>Prie ilgalaikių įsipareigojimų priskiriami po 12 mėnesių nuo paskutinės ataskaitinio laikotarpio dienos mokėtini skoliniai įsipareigojimai ir kiti ilgalaikiai įsipareigojimai.</w:t>
                  </w:r>
                </w:p>
              </w:sdtContent>
            </w:sdt>
            <w:sdt>
              <w:sdtPr>
                <w:alias w:val="14 p."/>
                <w:tag w:val="part_e5e6da65a2284e27b06f5eb3dd99eb82"/>
                <w:lock w:val="sdtLocked"/>
                <w:richText/>
              </w:sdtPr>
              <w:sdtContent>
                <w:p>
                  <w:pPr>
                    <w:widowControl w:val="0"/>
                    <w:tabs>
                      <w:tab w:val="left" w:pos="1134"/>
                    </w:tabs>
                    <w:suppressAutoHyphens/>
                    <w:ind w:firstLine="709"/>
                    <w:jc w:val="both"/>
                  </w:pPr>
                  <w:sdt>
                    <w:sdtPr>
                      <w:alias w:val="Numeris"/>
                      <w:tag w:val="nr_e5e6da65a2284e27b06f5eb3dd99eb82"/>
                      <w:lock w:val="sdtLocked"/>
                      <w:richText/>
                    </w:sdtPr>
                    <w:sdtContent>
                      <w:r>
                        <w:t>14</w:t>
                      </w:r>
                    </w:sdtContent>
                  </w:sdt>
                  <w:r>
                    <w:t>.</w:t>
                    <w:tab/>
                    <w:t>Prie trumpalaikių įsipareigojimų priskiriami per 12 mėnesių nuo paskutinės ataskaitinio laikotarpio dienos mokėtini skoliniai įsipareigojimai, mokėtinos socialinės išmokos ir stipendijos, prekių tiekėjams, paslaugų teikėjams, rangovams mokėtinos sumos, su darbo santykiais susiję įsipareigojimai, mokėtinos sumos už fondų administravimą ir kiti trumpalaikiai įsipareigojimai, kurie atitinkamai yra skirstomi į mokėtinas sumas tarptautinėms institucijoms, į biudžetus ir fondus arba mokėtinas sumas tarptautinėms institucijoms, į Europos Sąjungos biudžetą bei kitus įsipareigojimus.</w:t>
                  </w:r>
                </w:p>
              </w:sdtContent>
            </w:sdt>
            <w:sdt>
              <w:sdtPr>
                <w:alias w:val="15 p."/>
                <w:tag w:val="part_9ee44c13649e445eb82dfb4232f7e135"/>
                <w:lock w:val="sdtLocked"/>
                <w:richText/>
              </w:sdtPr>
              <w:sdtContent>
                <w:p>
                  <w:pPr>
                    <w:widowControl w:val="0"/>
                    <w:tabs>
                      <w:tab w:val="left" w:pos="1134"/>
                    </w:tabs>
                    <w:suppressAutoHyphens/>
                    <w:ind w:firstLine="709"/>
                    <w:jc w:val="both"/>
                  </w:pPr>
                  <w:sdt>
                    <w:sdtPr>
                      <w:alias w:val="Numeris"/>
                      <w:tag w:val="nr_9ee44c13649e445eb82dfb4232f7e135"/>
                      <w:lock w:val="sdtLocked"/>
                      <w:richText/>
                    </w:sdtPr>
                    <w:sdtContent>
                      <w:r>
                        <w:t>15</w:t>
                      </w:r>
                    </w:sdtContent>
                  </w:sdt>
                  <w:r>
                    <w:t>.</w:t>
                    <w:tab/>
                    <w:t xml:space="preserve">Jeigu viešojo sektoriaus subjekto įsipareigojimai turėjo būti įvykdyti per 12 mėnesių nuo paskutinės ataskaitinio laikotarpio dienos, bet yra aiškus viešojo sektoriaus subjekto ketinimas, iki finansinių ataskaitų parengimo pagrįstas sudaryta sutartimi arba mokėjimo (grąžinimo) grafiko pakeitimu, keisti sutartį į kitą sutartį, pagal kurios sąlygas numatoma įsipareigojimą įvykdyti po 12 mėnesių nuo paskutinės ataskaitinio laikotarpio dienos, tokie įsipareigojimai priskiriami prie ilgalaikių įsipareigojimų. </w:t>
                  </w:r>
                </w:p>
                <w:p>
                  <w:pPr>
                    <w:widowControl w:val="0"/>
                    <w:tabs>
                      <w:tab w:val="left" w:pos="851"/>
                      <w:tab w:val="left" w:pos="993"/>
                    </w:tabs>
                    <w:suppressAutoHyphens/>
                    <w:ind w:firstLine="567"/>
                    <w:jc w:val="both"/>
                  </w:pPr>
                </w:p>
              </w:sdtContent>
            </w:sdt>
          </w:sdtContent>
        </w:sdt>
        <w:sdt>
          <w:sdtPr>
            <w:alias w:val="skyrius"/>
            <w:tag w:val="part_a54d881a299046ac8159b4575b7a9181"/>
            <w:lock w:val="sdtLocked"/>
            <w:richText/>
          </w:sdtPr>
          <w:sdtContent>
            <w:p>
              <w:pPr>
                <w:keepLines/>
                <w:widowControl w:val="0"/>
                <w:tabs>
                  <w:tab w:val="left" w:pos="851"/>
                  <w:tab w:val="left" w:pos="993"/>
                </w:tabs>
                <w:suppressAutoHyphens/>
                <w:jc w:val="center"/>
                <w:rPr>
                  <w:b/>
                  <w:bCs/>
                  <w:caps/>
                </w:rPr>
              </w:pPr>
              <w:sdt>
                <w:sdtPr>
                  <w:alias w:val="Numeris"/>
                  <w:tag w:val="nr_a54d881a299046ac8159b4575b7a9181"/>
                  <w:lock w:val="sdtLocked"/>
                  <w:richText/>
                </w:sdtPr>
                <w:sdtContent>
                  <w:r>
                    <w:rPr>
                      <w:b/>
                      <w:bCs/>
                      <w:caps/>
                    </w:rPr>
                    <w:t>IV</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a54d881a299046ac8159b4575b7a9181"/>
                  <w:lock w:val="sdtLocked"/>
                  <w:richText/>
                </w:sdtPr>
                <w:sdtContent>
                  <w:r>
                    <w:rPr>
                      <w:b/>
                      <w:bCs/>
                      <w:caps/>
                    </w:rPr>
                    <w:t>TURTO STRAIPSNIŲ PAAIŠKINIMAS</w:t>
                  </w:r>
                </w:sdtContent>
              </w:sdt>
            </w:p>
            <w:p>
              <w:pPr>
                <w:widowControl w:val="0"/>
                <w:tabs>
                  <w:tab w:val="left" w:pos="851"/>
                  <w:tab w:val="left" w:pos="993"/>
                </w:tabs>
                <w:suppressAutoHyphens/>
                <w:ind w:firstLine="567"/>
                <w:jc w:val="both"/>
              </w:pPr>
            </w:p>
            <w:sdt>
              <w:sdtPr>
                <w:alias w:val="16 p."/>
                <w:tag w:val="part_da1d7b891b074d308bcb57d6a6cdbff6"/>
                <w:lock w:val="sdtLocked"/>
                <w:richText/>
              </w:sdtPr>
              <w:sdtContent>
                <w:p>
                  <w:pPr>
                    <w:widowControl w:val="0"/>
                    <w:tabs>
                      <w:tab w:val="left" w:pos="1134"/>
                    </w:tabs>
                    <w:suppressAutoHyphens/>
                    <w:ind w:firstLine="709"/>
                    <w:jc w:val="both"/>
                  </w:pPr>
                  <w:sdt>
                    <w:sdtPr>
                      <w:alias w:val="Numeris"/>
                      <w:tag w:val="nr_da1d7b891b074d308bcb57d6a6cdbff6"/>
                      <w:lock w:val="sdtLocked"/>
                      <w:richText/>
                    </w:sdtPr>
                    <w:sdtContent>
                      <w:r>
                        <w:t>16</w:t>
                      </w:r>
                    </w:sdtContent>
                  </w:sdt>
                  <w:r>
                    <w:t>.</w:t>
                    <w:tab/>
                    <w:t>Prie nematerialiojo turto priskiriami plėtros darbai, programinė įranga ir jos licencijos, nebaigti projektai, iš anksto sumokėtos sumos už nematerialųjį turtą ir kitas turtas, kuris atitinka nematerialiojo turto pripažinimo kriterijus. Viešojo sektoriaus subjektų grupės finansinėse ataskaitose prie</w:t>
                  </w:r>
                  <w:r>
                    <w:rPr>
                      <w:bCs/>
                    </w:rPr>
                    <w:t xml:space="preserve"> </w:t>
                  </w:r>
                  <w:r>
                    <w:t>nematerialiojo turto priskiriamas ir prestižas, kurio finansinė apskaita (toliau – apskaita) tvarkoma ir informacija apie kurį ataskaitoje teikiama pagal 14-ąjį viešojo sektoriaus apskaitos ir finansinės atskaitomybės standartą „Jungimai ir investicijos į asocijuotuosius subjektus“, patvirtintą Lietuvos Respublikos finansų ministro 2008 m. gruodžio 9 d. įsakymu Nr. 1K-430 „Dėl viešojo sektoriaus apskaitos ir finansinės atskaitomybės 14-ojo standarto patvirtinimo“, (toliau – 14-asis VSAFAS „Jungimai ir investicijos į asocijuotuosius subjektus“) ir 15-ąjį viešojo sektoriaus apskaitos ir finansinės atskaitomybės standartą „Konsoliduotųjų finansinių ataskaitų rinkinys ir investicijos į kontroliuojamus subjektus“, patvirtintą Lietuvos Respublikos finansų ministro 2008 m. gruodžio 9 d. įsakymu Nr. 1K-433 „Dėl viešojo sektoriaus apskaitos ir finansinės atskaitomybės 15-ojo standarto patvirtinimo“, (toliau – 15-asis VSAFAS „Konsoliduotųjų finansinių ataskaitų rinkinys ir investicijos į kontroliuojamus subjektus“).</w:t>
                  </w:r>
                  <w:r>
                    <w:rPr>
                      <w:bCs/>
                    </w:rPr>
                    <w:t xml:space="preserve"> </w:t>
                  </w:r>
                  <w:r>
                    <w:t>Nematerialiojo turto apskaita tvarkoma ir informacija apie jį ataskaitoje teikiama pagal 13-ąjį viešojo sektoriaus apskaitos ir finansinės atskaitomybės standartą „Nematerialusis turtas“, patvirtintą Lietuvos Respublikos finansų ministro 2008 m. liepos 16 d. įsakymu Nr. 1K-238 „Dėl viešojo sektoriaus apskaitos ir finansinės atskaitomybės 13-ojo standarto patvirtinimo“.</w:t>
                  </w:r>
                </w:p>
              </w:sdtContent>
            </w:sdt>
            <w:sdt>
              <w:sdtPr>
                <w:alias w:val="17 p."/>
                <w:tag w:val="part_e4dcdcb36d1845d7b0e5ac36eb020434"/>
                <w:lock w:val="sdtLocked"/>
                <w:richText/>
              </w:sdtPr>
              <w:sdtContent>
                <w:p>
                  <w:pPr>
                    <w:widowControl w:val="0"/>
                    <w:tabs>
                      <w:tab w:val="left" w:pos="1134"/>
                    </w:tabs>
                    <w:suppressAutoHyphens/>
                    <w:ind w:firstLine="709"/>
                    <w:jc w:val="both"/>
                  </w:pPr>
                  <w:sdt>
                    <w:sdtPr>
                      <w:alias w:val="Numeris"/>
                      <w:tag w:val="nr_e4dcdcb36d1845d7b0e5ac36eb020434"/>
                      <w:lock w:val="sdtLocked"/>
                      <w:richText/>
                    </w:sdtPr>
                    <w:sdtContent>
                      <w:r>
                        <w:t>17</w:t>
                      </w:r>
                    </w:sdtContent>
                  </w:sdt>
                  <w:r>
                    <w:t>.</w:t>
                    <w:tab/>
                    <w:t xml:space="preserve">Prie ilgalaikio materialiojo turto priskiriama žemė, pastatai, infrastruktūros statiniai, kiti statiniai, mašinos ir įrenginiai, transporto priemonės, baldai, biuro įranga, kultūros ir kitos vertybės, nebaigta statyba ir iš anksto sumokėtos sumos už ilgalaikį materialųjį turtą bei kitas turtas, kuris atitinka ilgalaikio materialiojo turto pripažinimo kriterijus. Ilgalaikio materialiojo turto apskaita tvarkoma ir informacija apie jį ataskaitoje teikiama pagal 12-ąjį viešojo sektoriaus apskaitos ir finansinės atskaitomybės standartą „Ilgalaikis materialusis turtas“, patvirtintą Lietuvos Respublikos finansų ministro 2008 m. gegužės 8 d. įsakymu Nr. 1K-174 „Dėl viešojo sektoriaus apskaitos ir finansinės atskaitomybės 12-ojo standarto patvirtinimo“. </w:t>
                  </w:r>
                </w:p>
              </w:sdtContent>
            </w:sdt>
            <w:sdt>
              <w:sdtPr>
                <w:alias w:val="18 p."/>
                <w:tag w:val="part_03aaf7d047c54bc886040eb9ebd8dd81"/>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03aaf7d047c54bc886040eb9ebd8dd81"/>
                      <w:lock w:val="sdtLocked"/>
                      <w:richText/>
                    </w:sdtPr>
                    <w:sdtContent>
                      <w:r>
                        <w:t>18</w:t>
                      </w:r>
                    </w:sdtContent>
                  </w:sdt>
                  <w:r>
                    <w:t>.</w:t>
                    <w:tab/>
                    <w:t>Viešojo sektoriaus subjekto finansinių ataskaitų rinkinio ataskaitoje ilgalaikis finansinis turtas nedetalizuojamas. Viešojo sektoriaus subjektų grupės finansinių ataskaitų rinkinio ataskaitoje ilgalaikis finansinis turtas grupuojamas į:</w:t>
                  </w:r>
                </w:p>
                <w:sdt>
                  <w:sdtPr>
                    <w:alias w:val="18.1 pp."/>
                    <w:tag w:val="part_c20ff843c4aa4b5592aee6bd72e8575c"/>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c20ff843c4aa4b5592aee6bd72e8575c"/>
                          <w:lock w:val="sdtLocked"/>
                          <w:richText/>
                        </w:sdtPr>
                        <w:sdtContent>
                          <w:r>
                            <w:t>18.1</w:t>
                          </w:r>
                        </w:sdtContent>
                      </w:sdt>
                      <w:r>
                        <w:t>.</w:t>
                        <w:tab/>
                        <w:t>investicijas į nuosavybės vertybinius popierius, kurių apskaita tvarkoma ir informacija apie kurias ataskaitoje teikiama pagal 14-ąjį VSAFAS „Jungimai ir investicijos į asocijuotuosius subjektus“, 15-ąjį VSAFAS „Konsoliduotųjų finansinių ataskaitų rinkinys ir investicijos į kontroliuojamus subjektus“ ir 17-ąjį VSAFAS „Finansinis turtas ir finansiniai įsipareigojimai“;</w:t>
                      </w:r>
                    </w:p>
                  </w:sdtContent>
                </w:sdt>
                <w:sdt>
                  <w:sdtPr>
                    <w:alias w:val="18.2 pp."/>
                    <w:tag w:val="part_bdac8d9582b24504b4bdd9770fb48409"/>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bdac8d9582b24504b4bdd9770fb48409"/>
                          <w:lock w:val="sdtLocked"/>
                          <w:richText/>
                        </w:sdtPr>
                        <w:sdtContent>
                          <w:r>
                            <w:t>18.2</w:t>
                          </w:r>
                        </w:sdtContent>
                      </w:sdt>
                      <w:r>
                        <w:t>.</w:t>
                        <w:tab/>
                        <w:t>išvestinių finansinių priemonių turtą, kurio apskaita tvarkoma ir informacija apie kurį ataskaitoje teikiama pagal 17-ąjį VSAFAS „Finansinis turtas ir finansiniai įsipareigojimai“;</w:t>
                      </w:r>
                    </w:p>
                  </w:sdtContent>
                </w:sdt>
                <w:sdt>
                  <w:sdtPr>
                    <w:alias w:val="18.3 pp."/>
                    <w:tag w:val="part_a4ac398554b6436d9ecc322d8a1bac52"/>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a4ac398554b6436d9ecc322d8a1bac52"/>
                          <w:lock w:val="sdtLocked"/>
                          <w:richText/>
                        </w:sdtPr>
                        <w:sdtContent>
                          <w:r>
                            <w:t>18.3</w:t>
                          </w:r>
                        </w:sdtContent>
                      </w:sdt>
                      <w:r>
                        <w:t>.</w:t>
                        <w:tab/>
                        <w:t>obligacijas, vekselius, kitus ne nuosavybės vertybinius popierius, kurių apskaita tvarkoma ir informacija apie kuriuos ataskaitoje teikiama pagal 17-ąjį VSAFAS „Finansinis turtas ir finansiniai įsipareigojimai“;</w:t>
                      </w:r>
                    </w:p>
                  </w:sdtContent>
                </w:sdt>
                <w:sdt>
                  <w:sdtPr>
                    <w:alias w:val="18.4 pp."/>
                    <w:tag w:val="part_27fa229a05a84771b0d21a7fe8265e12"/>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27fa229a05a84771b0d21a7fe8265e12"/>
                          <w:lock w:val="sdtLocked"/>
                          <w:richText/>
                        </w:sdtPr>
                        <w:sdtContent>
                          <w:r>
                            <w:t>18.4</w:t>
                          </w:r>
                        </w:sdtContent>
                      </w:sdt>
                      <w:r>
                        <w:t>.</w:t>
                        <w:tab/>
                        <w:t xml:space="preserve">ilgalaikius terminuotuosius indėlius, prie kurių priskiriami indėliai, kurių terminas baigsis po 12 mėnesių nuo paskutinės ataskaitinio laikotarpio dienos, taip pat sukauptos terminuotojo indėlio palūkanos. Jų apskaita tvarkoma ir informacija apie juos ataskaitoje teikiama pagal 17-ąjį VSAFAS „Finansinis turtas ir finansiniai įsipareigojimai“; </w:t>
                      </w:r>
                    </w:p>
                  </w:sdtContent>
                </w:sdt>
                <w:sdt>
                  <w:sdtPr>
                    <w:alias w:val="18.5 pp."/>
                    <w:tag w:val="part_66bf49021ca549c0bb9930949b679732"/>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66bf49021ca549c0bb9930949b679732"/>
                          <w:lock w:val="sdtLocked"/>
                          <w:richText/>
                        </w:sdtPr>
                        <w:sdtContent>
                          <w:r>
                            <w:t>18.5</w:t>
                          </w:r>
                        </w:sdtContent>
                      </w:sdt>
                      <w:r>
                        <w:t>.</w:t>
                        <w:tab/>
                        <w:t>suteiktas ilgalaikes paskolas ir kitas ilgalaikes gautinas sumas, prie kurių priskiriamos ilgalaikės išduotos paskolos, kitos po vienų metų gautinos sumos ir už paskolas sukauptos palūkanos (suteiktų paskolų ir ilgalaikių gautinų sumų amortizacija);</w:t>
                      </w:r>
                    </w:p>
                  </w:sdtContent>
                </w:sdt>
                <w:sdt>
                  <w:sdtPr>
                    <w:alias w:val="18.6 pp."/>
                    <w:tag w:val="part_df3f315cc67541349acc931c7630d53a"/>
                    <w:lock w:val="sdtLocked"/>
                    <w:richText/>
                  </w:sdtPr>
                  <w:sdtContent>
                    <w:p>
                      <w:pPr>
                        <w:widowControl w:val="0"/>
                        <w:tabs>
                          <w:tab w:val="left" w:pos="568"/>
                          <w:tab w:val="left" w:pos="851"/>
                          <w:tab w:val="left" w:pos="1418"/>
                          <w:tab w:val="left" w:pos="1701"/>
                        </w:tabs>
                        <w:suppressAutoHyphens/>
                        <w:ind w:firstLine="709"/>
                        <w:jc w:val="both"/>
                      </w:pPr>
                      <w:sdt>
                        <w:sdtPr>
                          <w:alias w:val="Numeris"/>
                          <w:tag w:val="nr_df3f315cc67541349acc931c7630d53a"/>
                          <w:lock w:val="sdtLocked"/>
                          <w:richText/>
                        </w:sdtPr>
                        <w:sdtContent>
                          <w:r>
                            <w:t>18.6</w:t>
                          </w:r>
                        </w:sdtContent>
                      </w:sdt>
                      <w:r>
                        <w:t>.</w:t>
                        <w:tab/>
                        <w:t>kitą ilgalaikį finansinį turtą, prie kurio priskiriamos</w:t>
                      </w:r>
                      <w:r>
                        <w:rPr>
                          <w:b/>
                          <w:bCs/>
                        </w:rPr>
                        <w:t xml:space="preserve"> </w:t>
                      </w:r>
                      <w:r>
                        <w:t>iš anksto sumokėtos sumos už ilgalaikį finansinį turtą ir kitas, Standarto 18.1</w:t>
                      </w:r>
                      <w:r>
                        <w:rPr>
                          <w:color w:val="000000"/>
                        </w:rPr>
                        <w:t>–</w:t>
                      </w:r>
                      <w:r>
                        <w:t xml:space="preserve">18.5 papunkčiuose nenurodytas, ilgalaikis finansinis turtas. </w:t>
                      </w:r>
                    </w:p>
                  </w:sdtContent>
                </w:sdt>
              </w:sdtContent>
            </w:sdt>
            <w:sdt>
              <w:sdtPr>
                <w:alias w:val="19 p."/>
                <w:tag w:val="part_3418c8249d3c4f2f9491aabe750ff117"/>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3418c8249d3c4f2f9491aabe750ff117"/>
                      <w:lock w:val="sdtLocked"/>
                      <w:richText/>
                    </w:sdtPr>
                    <w:sdtContent>
                      <w:r>
                        <w:t>19</w:t>
                      </w:r>
                    </w:sdtContent>
                  </w:sdt>
                  <w:r>
                    <w:t>.</w:t>
                    <w:tab/>
                  </w:r>
                  <w:r>
                    <w:rPr>
                      <w:lang w:eastAsia="lt-LT"/>
                    </w:rPr>
                    <w:t xml:space="preserve">Straipsnyje „Mineraliniai ištekliai“ rodomi mineraliniai ištekliai, kurių apskaita tvarkoma ir informacija apie kuriuos teikiama pagal 30-ąjį </w:t>
                  </w:r>
                  <w:r>
                    <w:t>viešojo sektoriaus apskaitos ir finansinės atskaitomybės standartą</w:t>
                  </w:r>
                  <w:r>
                    <w:rPr>
                      <w:lang w:eastAsia="lt-LT"/>
                    </w:rPr>
                    <w:t xml:space="preserve"> „Mineraliniai ištekliai“,</w:t>
                  </w:r>
                  <w:r>
                    <w:t xml:space="preserve"> patvirtintą Lietuvos Respublikos finansų ministro 2022 m. birželio 14 d. įsakymu Nr. 1K-221 „Dėl viešojo sektoriaus apskaitos ir finansinės atskaitomybės 30-ojo standarto patvirtinimo“</w:t>
                  </w:r>
                  <w:r>
                    <w:rPr>
                      <w:lang w:eastAsia="lt-LT"/>
                    </w:rPr>
                    <w:t>.</w:t>
                  </w:r>
                  <w:r>
                    <w:t xml:space="preserve"> </w:t>
                  </w:r>
                </w:p>
              </w:sdtContent>
            </w:sdt>
            <w:sdt>
              <w:sdtPr>
                <w:alias w:val="20 p."/>
                <w:tag w:val="part_12f70e9246104f6ea983ae60f503a957"/>
                <w:lock w:val="sdtLocked"/>
                <w:richText/>
              </w:sdtPr>
              <w:sdtContent>
                <w:p>
                  <w:pPr>
                    <w:widowControl w:val="0"/>
                    <w:tabs>
                      <w:tab w:val="left" w:pos="1134"/>
                    </w:tabs>
                    <w:suppressAutoHyphens/>
                    <w:ind w:firstLine="709"/>
                    <w:jc w:val="both"/>
                    <w:rPr>
                      <w:lang w:eastAsia="lt-LT"/>
                    </w:rPr>
                  </w:pPr>
                  <w:sdt>
                    <w:sdtPr>
                      <w:alias w:val="Numeris"/>
                      <w:tag w:val="nr_12f70e9246104f6ea983ae60f503a957"/>
                      <w:lock w:val="sdtLocked"/>
                      <w:richText/>
                    </w:sdtPr>
                    <w:sdtContent>
                      <w:r>
                        <w:rPr>
                          <w:lang w:eastAsia="lt-LT"/>
                        </w:rPr>
                        <w:t>20</w:t>
                      </w:r>
                    </w:sdtContent>
                  </w:sdt>
                  <w:r>
                    <w:rPr>
                      <w:lang w:eastAsia="lt-LT"/>
                    </w:rPr>
                    <w:t>.</w:t>
                    <w:tab/>
                    <w:t xml:space="preserve">Straipsnyje „Kitas ilgalaikis turtas“ rodomos ilgalaikės ateinančių laikotarpių sąnaudos, išsinuomoto nekilnojamojo turto esminio pagerinimo išlaidos, jeigu atlikti esminio pagerinimo darbai yra tokie, dėl kurių pagal Lietuvos Respublikos nekilnojamojo turto kadastro įstatymą Nekilnojamojo turto kadastre įrašyti statinių kadastro duomenys neturi būti keičiami, ir kitas ilgalaikis turtas. </w:t>
                  </w:r>
                </w:p>
              </w:sdtContent>
            </w:sdt>
            <w:sdt>
              <w:sdtPr>
                <w:alias w:val="21 p."/>
                <w:tag w:val="part_186fc16220ec4abd89cf132cf0349f4d"/>
                <w:lock w:val="sdtLocked"/>
                <w:richText/>
              </w:sdtPr>
              <w:sdtContent>
                <w:p>
                  <w:pPr>
                    <w:widowControl w:val="0"/>
                    <w:tabs>
                      <w:tab w:val="left" w:pos="1134"/>
                    </w:tabs>
                    <w:suppressAutoHyphens/>
                    <w:ind w:firstLine="709"/>
                    <w:jc w:val="both"/>
                    <w:rPr>
                      <w:lang w:eastAsia="lt-LT"/>
                    </w:rPr>
                  </w:pPr>
                  <w:sdt>
                    <w:sdtPr>
                      <w:alias w:val="Numeris"/>
                      <w:tag w:val="nr_186fc16220ec4abd89cf132cf0349f4d"/>
                      <w:lock w:val="sdtLocked"/>
                      <w:richText/>
                    </w:sdtPr>
                    <w:sdtContent>
                      <w:r>
                        <w:rPr>
                          <w:lang w:eastAsia="lt-LT"/>
                        </w:rPr>
                        <w:t>21</w:t>
                      </w:r>
                    </w:sdtContent>
                  </w:sdt>
                  <w:r>
                    <w:rPr>
                      <w:lang w:eastAsia="lt-LT"/>
                    </w:rPr>
                    <w:t>.</w:t>
                    <w:tab/>
                    <w:t xml:space="preserve">Straipsnyje „Biologinis turtas“ rodomas biologinis turtas, kurio apskaita tvarkoma ir informacija apie kurį teikiama pagal 16-ąjį </w:t>
                  </w:r>
                  <w:r>
                    <w:t>viešojo sektoriaus apskaitos ir finansinės atskaitomybės standartą</w:t>
                  </w:r>
                  <w:r>
                    <w:rPr>
                      <w:lang w:eastAsia="lt-LT"/>
                    </w:rPr>
                    <w:t xml:space="preserve"> „Biologinis turtas“,</w:t>
                  </w:r>
                  <w:r>
                    <w:t xml:space="preserve"> patvirtintą Lietuvos Respublikos finansų ministro 2008 m. liepos 10 d. įsakymu Nr. 1K-233 „Dėl viešojo sektoriaus apskaitos ir finansinės atskaitomybės 16-ojo standarto patvirtinimo“</w:t>
                  </w:r>
                  <w:r>
                    <w:rPr>
                      <w:lang w:eastAsia="lt-LT"/>
                    </w:rPr>
                    <w:t xml:space="preserve">. </w:t>
                  </w:r>
                </w:p>
              </w:sdtContent>
            </w:sdt>
            <w:sdt>
              <w:sdtPr>
                <w:alias w:val="22 p."/>
                <w:tag w:val="part_3aad0aab4cc4485d9694fb38d21c6a4d"/>
                <w:lock w:val="sdtLocked"/>
                <w:richText/>
              </w:sdtPr>
              <w:sdtContent>
                <w:p>
                  <w:pPr>
                    <w:widowControl w:val="0"/>
                    <w:tabs>
                      <w:tab w:val="left" w:pos="1134"/>
                    </w:tabs>
                    <w:suppressAutoHyphens/>
                    <w:ind w:firstLine="709"/>
                    <w:jc w:val="both"/>
                    <w:rPr>
                      <w:lang w:eastAsia="lt-LT"/>
                    </w:rPr>
                  </w:pPr>
                  <w:sdt>
                    <w:sdtPr>
                      <w:alias w:val="Numeris"/>
                      <w:tag w:val="nr_3aad0aab4cc4485d9694fb38d21c6a4d"/>
                      <w:lock w:val="sdtLocked"/>
                      <w:richText/>
                    </w:sdtPr>
                    <w:sdtContent>
                      <w:r>
                        <w:rPr>
                          <w:lang w:eastAsia="lt-LT"/>
                        </w:rPr>
                        <w:t>22</w:t>
                      </w:r>
                    </w:sdtContent>
                  </w:sdt>
                  <w:r>
                    <w:rPr>
                      <w:lang w:eastAsia="lt-LT"/>
                    </w:rPr>
                    <w:t>.</w:t>
                    <w:tab/>
                    <w:t xml:space="preserve">Straipsnyje „Atsargos“ rodomos atsargos, kurių apskaita tvarkoma pagal 8-ąjį </w:t>
                  </w:r>
                  <w:r>
                    <w:t xml:space="preserve">viešojo sektoriaus apskaitos ir finansinės atskaitomybės standartą </w:t>
                  </w:r>
                  <w:r>
                    <w:rPr>
                      <w:lang w:eastAsia="lt-LT"/>
                    </w:rPr>
                    <w:t>„Atsargos“,</w:t>
                  </w:r>
                  <w:r>
                    <w:t xml:space="preserve"> patvirtintą Lietuvos Respublikos finansų ministro 2008 m. birželio 20 d. įsakymu Nr. 1K-220 „Dėl viešojo sektoriaus apskaitos ir finansinės atskaitomybės 8-ojo standarto patvirtinimo“</w:t>
                  </w:r>
                  <w:r>
                    <w:rPr>
                      <w:lang w:eastAsia="lt-LT"/>
                    </w:rPr>
                    <w:t>.</w:t>
                  </w:r>
                </w:p>
              </w:sdtContent>
            </w:sdt>
            <w:sdt>
              <w:sdtPr>
                <w:alias w:val="23 p."/>
                <w:tag w:val="part_d3030f266ad04c78aa45abf3267e9b4e"/>
                <w:lock w:val="sdtLocked"/>
                <w:richText/>
              </w:sdtPr>
              <w:sdtContent>
                <w:p>
                  <w:pPr>
                    <w:widowControl w:val="0"/>
                    <w:tabs>
                      <w:tab w:val="left" w:pos="851"/>
                      <w:tab w:val="left" w:pos="1134"/>
                      <w:tab w:val="left" w:pos="1418"/>
                      <w:tab w:val="left" w:pos="1701"/>
                    </w:tabs>
                    <w:suppressAutoHyphens/>
                    <w:ind w:firstLine="709"/>
                    <w:jc w:val="both"/>
                    <w:rPr>
                      <w:lang w:eastAsia="lt-LT"/>
                    </w:rPr>
                  </w:pPr>
                  <w:sdt>
                    <w:sdtPr>
                      <w:alias w:val="Numeris"/>
                      <w:tag w:val="nr_d3030f266ad04c78aa45abf3267e9b4e"/>
                      <w:lock w:val="sdtLocked"/>
                      <w:richText/>
                    </w:sdtPr>
                    <w:sdtContent>
                      <w:r>
                        <w:rPr>
                          <w:lang w:eastAsia="lt-LT"/>
                        </w:rPr>
                        <w:t>23</w:t>
                      </w:r>
                    </w:sdtContent>
                  </w:sdt>
                  <w:r>
                    <w:rPr>
                      <w:lang w:eastAsia="lt-LT"/>
                    </w:rPr>
                    <w:t>.</w:t>
                    <w:tab/>
                    <w:t>Straipsnyje „Iš anksto sumokėtos sumos“ rodomos sumos verte, apskaičiuojama iš jų savikainos atėmus nuvertėjimo nuostolius. Šiame straipsnyje pateikiamos šios sumos:</w:t>
                  </w:r>
                </w:p>
                <w:sdt>
                  <w:sdtPr>
                    <w:alias w:val="23.1 pp."/>
                    <w:tag w:val="part_21d910508b2b48d387b9573412730614"/>
                    <w:lock w:val="sdtLocked"/>
                    <w:richText/>
                  </w:sdtPr>
                  <w:sdtContent>
                    <w:p>
                      <w:pPr>
                        <w:widowControl w:val="0"/>
                        <w:tabs>
                          <w:tab w:val="left" w:pos="851"/>
                          <w:tab w:val="left" w:pos="1134"/>
                          <w:tab w:val="left" w:pos="1418"/>
                          <w:tab w:val="left" w:pos="1701"/>
                        </w:tabs>
                        <w:suppressAutoHyphens/>
                        <w:ind w:firstLine="709"/>
                        <w:jc w:val="both"/>
                        <w:rPr>
                          <w:lang w:eastAsia="lt-LT"/>
                        </w:rPr>
                      </w:pPr>
                      <w:sdt>
                        <w:sdtPr>
                          <w:alias w:val="Numeris"/>
                          <w:tag w:val="nr_21d910508b2b48d387b9573412730614"/>
                          <w:lock w:val="sdtLocked"/>
                          <w:richText/>
                        </w:sdtPr>
                        <w:sdtContent>
                          <w:r>
                            <w:rPr>
                              <w:lang w:eastAsia="lt-LT"/>
                            </w:rPr>
                            <w:t>23.1</w:t>
                          </w:r>
                        </w:sdtContent>
                      </w:sdt>
                      <w:r>
                        <w:rPr>
                          <w:lang w:eastAsia="lt-LT"/>
                        </w:rPr>
                        <w:t>.</w:t>
                        <w:tab/>
                        <w:t>iš anksto sumokėtos sumos už atsargas ir kitą trumpalaikį turtą;</w:t>
                      </w:r>
                    </w:p>
                  </w:sdtContent>
                </w:sdt>
                <w:sdt>
                  <w:sdtPr>
                    <w:alias w:val="23.2 pp."/>
                    <w:tag w:val="part_e59666924a1d455a801a4335957340df"/>
                    <w:lock w:val="sdtLocked"/>
                    <w:richText/>
                  </w:sdtPr>
                  <w:sdtContent>
                    <w:p>
                      <w:pPr>
                        <w:widowControl w:val="0"/>
                        <w:tabs>
                          <w:tab w:val="left" w:pos="851"/>
                          <w:tab w:val="left" w:pos="1134"/>
                          <w:tab w:val="left" w:pos="1418"/>
                          <w:tab w:val="left" w:pos="1701"/>
                        </w:tabs>
                        <w:suppressAutoHyphens/>
                        <w:ind w:firstLine="709"/>
                        <w:jc w:val="both"/>
                        <w:rPr>
                          <w:lang w:eastAsia="lt-LT"/>
                        </w:rPr>
                      </w:pPr>
                      <w:sdt>
                        <w:sdtPr>
                          <w:alias w:val="Numeris"/>
                          <w:tag w:val="nr_e59666924a1d455a801a4335957340df"/>
                          <w:lock w:val="sdtLocked"/>
                          <w:richText/>
                        </w:sdtPr>
                        <w:sdtContent>
                          <w:r>
                            <w:rPr>
                              <w:lang w:eastAsia="lt-LT"/>
                            </w:rPr>
                            <w:t>23.2</w:t>
                          </w:r>
                        </w:sdtContent>
                      </w:sdt>
                      <w:r>
                        <w:rPr>
                          <w:lang w:eastAsia="lt-LT"/>
                        </w:rPr>
                        <w:t>.</w:t>
                        <w:tab/>
                        <w:t>trumpalaikės ateinančių laikotarpių sąnaudos (prenumeratos, nuomos ir kitos panašios sąnaudos).</w:t>
                      </w:r>
                    </w:p>
                  </w:sdtContent>
                </w:sdt>
              </w:sdtContent>
            </w:sdt>
            <w:sdt>
              <w:sdtPr>
                <w:alias w:val="24 p."/>
                <w:tag w:val="part_79e46e23158f4642be229e54c6817360"/>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79e46e23158f4642be229e54c6817360"/>
                      <w:lock w:val="sdtLocked"/>
                      <w:richText/>
                    </w:sdtPr>
                    <w:sdtContent>
                      <w:r>
                        <w:t>24</w:t>
                      </w:r>
                    </w:sdtContent>
                  </w:sdt>
                  <w:r>
                    <w:t>.</w:t>
                    <w:tab/>
                    <w:t>Straipsnyje „Per vienus metus gautinos sumos“ rodomos per 12 mėnesių nuo paskutinės ataskaitinio laikotarpio dienos gautinos sumos. Šios sumos rodomos verte, apskaičiuojama iš jų įsigijimo savikainos atėmus nuvertėjimo nuostolius.</w:t>
                  </w:r>
                  <w:r>
                    <w:rPr>
                      <w:b/>
                      <w:bCs/>
                    </w:rPr>
                    <w:t xml:space="preserve"> </w:t>
                  </w:r>
                  <w:r>
                    <w:t>Per vienus metus gautinos sumos skirstomos į:</w:t>
                  </w:r>
                </w:p>
                <w:sdt>
                  <w:sdtPr>
                    <w:alias w:val="24.1 pp."/>
                    <w:tag w:val="part_3ba7895b48514fedbf4c782f9b6672eb"/>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3ba7895b48514fedbf4c782f9b6672eb"/>
                          <w:lock w:val="sdtLocked"/>
                          <w:richText/>
                        </w:sdtPr>
                        <w:sdtContent>
                          <w:r>
                            <w:t>24.1</w:t>
                          </w:r>
                        </w:sdtContent>
                      </w:sdt>
                      <w:r>
                        <w:t>.</w:t>
                        <w:tab/>
                        <w:t>suteiktas paskolas, prie kurių priskiriama suteiktų ilgalaikių paskolų einamųjų metų dalis ir suteiktos trumpalaikės paskolos, taip pat už paskolas sukauptos palūkanos;</w:t>
                      </w:r>
                    </w:p>
                  </w:sdtContent>
                </w:sdt>
                <w:sdt>
                  <w:sdtPr>
                    <w:alias w:val="24.2 pp."/>
                    <w:tag w:val="part_defb0fb8b3394edfb6adaf9132504f82"/>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defb0fb8b3394edfb6adaf9132504f82"/>
                          <w:lock w:val="sdtLocked"/>
                          <w:richText/>
                        </w:sdtPr>
                        <w:sdtContent>
                          <w:r>
                            <w:t>24.2</w:t>
                          </w:r>
                        </w:sdtContent>
                      </w:sdt>
                      <w:r>
                        <w:t>.</w:t>
                        <w:tab/>
                        <w:t>gautinus mokesčius, socialines įmokas ir kitas įmokų į fondus sumas, prie kurių priskiriamos mokesčių administratorių į apskaitą traukiamos iš mokesčių ir socialinių įmokų gautinos sumos ir fondų į apskaitą traukiamos gautinos kitos įmokų į fondus sumos. Šių sumų apskaita tvarkoma pagal 9-ąjį viešojo sektoriaus apskaitos ir finansinės atskaitomybės standartą „Mokesčių ir socialinių įmokų pajamos“</w:t>
                      </w:r>
                      <w:r>
                        <w:rPr>
                          <w:lang w:eastAsia="lt-LT"/>
                        </w:rPr>
                        <w:t>,</w:t>
                      </w:r>
                      <w:r>
                        <w:t xml:space="preserve"> patvirtintą Lietuvos Respublikos finansų ministro 2008 m. birželio 20 d. įsakymu Nr. 1K-219 „Dėl viešojo sektoriaus apskaitos ir finansinės atskaitomybės 9-ojo standarto patvirtinimo“. Šios sumos pateikiamos tokia tvarka:</w:t>
                      </w:r>
                    </w:p>
                    <w:sdt>
                      <w:sdtPr>
                        <w:alias w:val="24.2.1 pp."/>
                        <w:tag w:val="part_9785454f9bdc46aeb10e98d2b054a399"/>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9785454f9bdc46aeb10e98d2b054a399"/>
                              <w:lock w:val="sdtLocked"/>
                              <w:richText/>
                            </w:sdtPr>
                            <w:sdtContent>
                              <w:r>
                                <w:t>24.2.1</w:t>
                              </w:r>
                            </w:sdtContent>
                          </w:sdt>
                          <w:r>
                            <w:t>.</w:t>
                            <w:tab/>
                            <w:t>gautini mokesčiai pateikiami Standarto 4 priede nustatytos formos ataskaitos straipsnyje „Gautini mokesčiai“ ir Standarto 3 ir 5 prieduose nustatytų formų ataskaitų straipsnyje „Gautini mokesčiai, socialinės įmokos ir kitos įmokų į fondus sumos“;</w:t>
                          </w:r>
                        </w:p>
                      </w:sdtContent>
                    </w:sdt>
                    <w:sdt>
                      <w:sdtPr>
                        <w:alias w:val="24.2.2 pp."/>
                        <w:tag w:val="part_bec1083774d94229a1a4fb79b038dfbc"/>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bec1083774d94229a1a4fb79b038dfbc"/>
                              <w:lock w:val="sdtLocked"/>
                              <w:richText/>
                            </w:sdtPr>
                            <w:sdtContent>
                              <w:r>
                                <w:t>24.2.2</w:t>
                              </w:r>
                            </w:sdtContent>
                          </w:sdt>
                          <w:r>
                            <w:t>.</w:t>
                            <w:tab/>
                            <w:t>gautinos socialinės įmokos pateikiamos Standarto 3 ir 5 prieduose nustatytų formų ataskaitų straipsnyje „Gautini mokesčiai, socialinės įmokos ir kitos įmokų į fondus sumos“;</w:t>
                          </w:r>
                        </w:p>
                      </w:sdtContent>
                    </w:sdt>
                    <w:sdt>
                      <w:sdtPr>
                        <w:alias w:val="24.2.3 pp."/>
                        <w:tag w:val="part_d93c8c2e887447f2b6a5b3c4c8bbebfb"/>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d93c8c2e887447f2b6a5b3c4c8bbebfb"/>
                              <w:lock w:val="sdtLocked"/>
                              <w:richText/>
                            </w:sdtPr>
                            <w:sdtContent>
                              <w:r>
                                <w:t>24.2.3</w:t>
                              </w:r>
                            </w:sdtContent>
                          </w:sdt>
                          <w:r>
                            <w:t>.</w:t>
                            <w:tab/>
                            <w:t>gautinos kitos įmokų į fondus (įmokos į Valstybinės ligonių kasos prie Sveikatos apsaugos ministerijos administruojamą Asmens sveikatos priežiūros įstaigų mokamų įmokų žalai atlyginti fondą, į kitus valstybės išteklių fondus) sumos pateikiamos Standarto 2 priede nustatytos formos ataskaitos straipsnyje „Gautinos įmokų į fondus sumos“ ir Standarto 3 ir 5 prieduose nustatytų formų ataskaitų straipsnyje „Gautini mokesčiai, socialinės įmokos ir kitos įmokų į fondus sumos“;</w:t>
                          </w:r>
                        </w:p>
                      </w:sdtContent>
                    </w:sdt>
                  </w:sdtContent>
                </w:sdt>
                <w:sdt>
                  <w:sdtPr>
                    <w:alias w:val="24.3 pp."/>
                    <w:tag w:val="part_2f8663e5ecea48c38e7e2c53e74b52ba"/>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2f8663e5ecea48c38e7e2c53e74b52ba"/>
                          <w:lock w:val="sdtLocked"/>
                          <w:richText/>
                        </w:sdtPr>
                        <w:sdtContent>
                          <w:r>
                            <w:t>24.3</w:t>
                          </w:r>
                        </w:sdtContent>
                      </w:sdt>
                      <w:r>
                        <w:t>.</w:t>
                        <w:tab/>
                        <w:t>gautinas finansavimo sumas, prie kurių priskiriamos:</w:t>
                      </w:r>
                    </w:p>
                    <w:sdt>
                      <w:sdtPr>
                        <w:alias w:val="24.3.1 pp."/>
                        <w:tag w:val="part_a9fb1965e74b41dfb9ca7497fe165233"/>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a9fb1965e74b41dfb9ca7497fe165233"/>
                              <w:lock w:val="sdtLocked"/>
                              <w:richText/>
                            </w:sdtPr>
                            <w:sdtContent>
                              <w:r>
                                <w:t>24.3.1</w:t>
                              </w:r>
                            </w:sdtContent>
                          </w:sdt>
                          <w:r>
                            <w:t>.</w:t>
                            <w:tab/>
                            <w:t xml:space="preserve">gautinos finansavimo sumos iš finansavimo sumų šaltinių, nurodytų 20-ajame viešojo sektoriaus apskaitos ir finansinės atskaitomybės standarte „Finansavimo sumos“, patvirtintame Lietuvos Respublikos finansų ministro 2008 m. birželio 9 d. įsakymu Nr. 1K-205 „Dėl 20-ojo viešojo sektoriaus apskaitos ir finansinės atskaitomybės standarto patvirtinimo“, (toliau – 20-asis VSAFAS „Finansavimo sumos“); </w:t>
                          </w:r>
                        </w:p>
                      </w:sdtContent>
                    </w:sdt>
                    <w:sdt>
                      <w:sdtPr>
                        <w:alias w:val="24.3.2 pp."/>
                        <w:tag w:val="part_aa0e09abe1a943a6983f05744dec7a76"/>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aa0e09abe1a943a6983f05744dec7a76"/>
                              <w:lock w:val="sdtLocked"/>
                              <w:richText/>
                            </w:sdtPr>
                            <w:sdtContent>
                              <w:r>
                                <w:t>24.3.2</w:t>
                              </w:r>
                            </w:sdtContent>
                          </w:sdt>
                          <w:r>
                            <w:t>.</w:t>
                            <w:tab/>
                            <w:t xml:space="preserve">sukauptos gautinos finansavimo sumos iš biudžeto; </w:t>
                          </w:r>
                        </w:p>
                      </w:sdtContent>
                    </w:sdt>
                    <w:sdt>
                      <w:sdtPr>
                        <w:alias w:val="24.3.3 pp."/>
                        <w:tag w:val="part_3cbb5824d2aa41ecb70a80e505a283ce"/>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3cbb5824d2aa41ecb70a80e505a283ce"/>
                              <w:lock w:val="sdtLocked"/>
                              <w:richText/>
                            </w:sdtPr>
                            <w:sdtContent>
                              <w:r>
                                <w:t>24.3.3</w:t>
                              </w:r>
                            </w:sdtContent>
                          </w:sdt>
                          <w:r>
                            <w:t>.</w:t>
                            <w:tab/>
                            <w:t>sukauptos finansavimo pajamos;</w:t>
                          </w:r>
                        </w:p>
                      </w:sdtContent>
                    </w:sdt>
                    <w:sdt>
                      <w:sdtPr>
                        <w:alias w:val="24.3.4 pp."/>
                        <w:tag w:val="part_a7643b76a6764b4bbdcb88e6af056271"/>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a7643b76a6764b4bbdcb88e6af056271"/>
                              <w:lock w:val="sdtLocked"/>
                              <w:richText/>
                            </w:sdtPr>
                            <w:sdtContent>
                              <w:r>
                                <w:t>24.3.4</w:t>
                              </w:r>
                            </w:sdtContent>
                          </w:sdt>
                          <w:r>
                            <w:t>.</w:t>
                            <w:tab/>
                            <w:t>gautinos grąžintinos finansavimo sumos;</w:t>
                          </w:r>
                        </w:p>
                      </w:sdtContent>
                    </w:sdt>
                  </w:sdtContent>
                </w:sdt>
                <w:sdt>
                  <w:sdtPr>
                    <w:alias w:val="24.4 pp."/>
                    <w:tag w:val="part_e9f96248796344899f309274501e043d"/>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e9f96248796344899f309274501e043d"/>
                          <w:lock w:val="sdtLocked"/>
                          <w:richText/>
                        </w:sdtPr>
                        <w:sdtContent>
                          <w:r>
                            <w:t>24.4</w:t>
                          </w:r>
                        </w:sdtContent>
                      </w:sdt>
                      <w:r>
                        <w:t>.</w:t>
                        <w:tab/>
                        <w:t>gautinas sumas iš biudžeto už pervestas pajamų įmokas, kurios pateikiamos Standarto 1 ir 2 prieduose nustatytų formų ataskaitų straipsnyje „Gautinos sumos iš biudžeto už pervestas pajamų įmokas“;</w:t>
                      </w:r>
                    </w:p>
                  </w:sdtContent>
                </w:sdt>
                <w:sdt>
                  <w:sdtPr>
                    <w:alias w:val="24.5 pp."/>
                    <w:tag w:val="part_3f0b4456d6774f59a5ab190c2e463a14"/>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3f0b4456d6774f59a5ab190c2e463a14"/>
                          <w:lock w:val="sdtLocked"/>
                          <w:richText/>
                        </w:sdtPr>
                        <w:sdtContent>
                          <w:r>
                            <w:t>24.5</w:t>
                          </w:r>
                        </w:sdtContent>
                      </w:sdt>
                      <w:r>
                        <w:t>.</w:t>
                        <w:tab/>
                        <w:t>gautinas sumas už turto naudojimą, parduotas prekes, turtą, paslaugas (gautinas nuomos mokestis už valstybinę žemę ir valstybinio vidaus vandenų fondo vandens telkinius, gautinos sumos už kito turto nuomą, gautinos įmokos už mokslą aukštosiose mokyklose, gautinos sumos iš rinkliavų, gautinas žyminis mokestis, konsulinis mokestis);</w:t>
                      </w:r>
                    </w:p>
                  </w:sdtContent>
                </w:sdt>
                <w:sdt>
                  <w:sdtPr>
                    <w:alias w:val="24.6 pp."/>
                    <w:tag w:val="part_849356931d3b4912adedf330b3488518"/>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849356931d3b4912adedf330b3488518"/>
                          <w:lock w:val="sdtLocked"/>
                          <w:richText/>
                        </w:sdtPr>
                        <w:sdtContent>
                          <w:r>
                            <w:t>24.6</w:t>
                          </w:r>
                        </w:sdtContent>
                      </w:sdt>
                      <w:r>
                        <w:t>.</w:t>
                        <w:tab/>
                        <w:t>kitas per vienus metus gautinas sumas ir jų sukauptas gautinas sumas, nenurodytas Standarto 24.1–24.5 papunkčiuose. Prie šių sumų priskiriamos gautinos ir sukauptos gautinos sumos už prarastą turtą (išieškotinos sumos už padarytą žalą), gautinos draudimo išmokos, atskaitingų asmenų grąžintinos sumos, gautini susigrąžintini veiklos mokesčiai (pridėtinės vertės mokestis, sumokėtų veiklos mokesčių ir įmokų permokos), įsipareigojimams užtikrinti sumokėtos sumos (sumokėti užstatai), baudos, dividendai ir panašios sumos.</w:t>
                      </w:r>
                    </w:p>
                  </w:sdtContent>
                </w:sdt>
              </w:sdtContent>
            </w:sdt>
            <w:sdt>
              <w:sdtPr>
                <w:alias w:val="25 p."/>
                <w:tag w:val="part_f8376cc48fa649b28758ce3ef7a91131"/>
                <w:lock w:val="sdtLocked"/>
                <w:richText/>
              </w:sdtPr>
              <w:sdtContent>
                <w:p>
                  <w:pPr>
                    <w:widowControl w:val="0"/>
                    <w:tabs>
                      <w:tab w:val="left" w:pos="1134"/>
                      <w:tab w:val="left" w:pos="1418"/>
                      <w:tab w:val="left" w:pos="1701"/>
                      <w:tab w:val="left" w:pos="1985"/>
                    </w:tabs>
                    <w:suppressAutoHyphens/>
                    <w:ind w:firstLine="709"/>
                    <w:jc w:val="both"/>
                  </w:pPr>
                  <w:sdt>
                    <w:sdtPr>
                      <w:alias w:val="Numeris"/>
                      <w:tag w:val="nr_f8376cc48fa649b28758ce3ef7a91131"/>
                      <w:lock w:val="sdtLocked"/>
                      <w:richText/>
                    </w:sdtPr>
                    <w:sdtContent>
                      <w:r>
                        <w:t>25</w:t>
                      </w:r>
                    </w:sdtContent>
                  </w:sdt>
                  <w:r>
                    <w:t>.</w:t>
                    <w:tab/>
                    <w:t>Straipsnyje „Trumpalaikės investicijos“ rodomos investicijos į nuosavybės vertybinius popierius, kurie apibrėžti 17-ajame VSAFAS „Finansinis turtas ir finansiniai įsipareigojimai“, ir ne nuosavybės vertybinius popierius (Vyriausybės vertybinius popierius, obligacijas ir kt.), kuriuos viešojo sektoriaus subjektas tikisi realizuoti per trumpesnį nei 12 mėnesių laikotarpį, skaičiuojant nuo paskutinės ataskaitinio laikotarpio dienos, išskyrus ne nuosavybės vertybinius popierius, kurie prilyginami pinigų ekvivalentams. Šiame straipsnyje taip pat rodomas ir išvestinių priemonių turtas ir trumpalaikiai terminuotieji indėliai, kurių terminas yra ilgesnis negu 3 mėnesiai, bet ne ilgesnis negu 12 mėnesių, taip pat už trumpalaikius terminuotuosius indėlius priskaičiuotos palūkanos.</w:t>
                  </w:r>
                </w:p>
              </w:sdtContent>
            </w:sdt>
            <w:sdt>
              <w:sdtPr>
                <w:alias w:val="26 p."/>
                <w:tag w:val="part_f9656abb715f460c8be125a7e02924e2"/>
                <w:lock w:val="sdtLocked"/>
                <w:richText/>
              </w:sdtPr>
              <w:sdtContent>
                <w:p>
                  <w:pPr>
                    <w:widowControl w:val="0"/>
                    <w:tabs>
                      <w:tab w:val="left" w:pos="1134"/>
                    </w:tabs>
                    <w:suppressAutoHyphens/>
                    <w:ind w:firstLine="709"/>
                    <w:jc w:val="both"/>
                  </w:pPr>
                  <w:sdt>
                    <w:sdtPr>
                      <w:alias w:val="Numeris"/>
                      <w:tag w:val="nr_f9656abb715f460c8be125a7e02924e2"/>
                      <w:lock w:val="sdtLocked"/>
                      <w:richText/>
                    </w:sdtPr>
                    <w:sdtContent>
                      <w:r>
                        <w:t>26</w:t>
                      </w:r>
                    </w:sdtContent>
                  </w:sdt>
                  <w:r>
                    <w:t>.</w:t>
                    <w:tab/>
                    <w:t xml:space="preserve">Straipsnyje „Pinigai ir pinigų ekvivalentai“ rodomi bankų ar valstybės iždo sąskaitose ir kasoje esantys pinigai ir pinigų ekvivalentai, pripažinti trumpalaikiu turtu pagal 17-ojo VSAFAS „Finansinis turtas ir finansiniai įsipareigojimai“ nuostatas, ir pinigai kelyje. Pinigais kelyje viešojo sektoriaus subjektas laiko iš jo sąskaitos pervestus ar sumokėtus, bet kito subjekto dar negautus pinigus. </w:t>
                  </w:r>
                </w:p>
                <w:p>
                  <w:pPr>
                    <w:widowControl w:val="0"/>
                    <w:tabs>
                      <w:tab w:val="left" w:pos="851"/>
                      <w:tab w:val="left" w:pos="993"/>
                    </w:tabs>
                    <w:suppressAutoHyphens/>
                    <w:ind w:firstLine="567"/>
                    <w:jc w:val="both"/>
                  </w:pPr>
                </w:p>
              </w:sdtContent>
            </w:sdt>
          </w:sdtContent>
        </w:sdt>
        <w:sdt>
          <w:sdtPr>
            <w:alias w:val="skyrius"/>
            <w:tag w:val="part_91e77a619e5343e68664119dcfa881a5"/>
            <w:lock w:val="sdtLocked"/>
            <w:richText/>
          </w:sdtPr>
          <w:sdtContent>
            <w:p>
              <w:pPr>
                <w:keepLines/>
                <w:widowControl w:val="0"/>
                <w:tabs>
                  <w:tab w:val="left" w:pos="851"/>
                  <w:tab w:val="left" w:pos="993"/>
                </w:tabs>
                <w:suppressAutoHyphens/>
                <w:jc w:val="center"/>
                <w:rPr>
                  <w:b/>
                  <w:bCs/>
                  <w:caps/>
                </w:rPr>
              </w:pPr>
              <w:sdt>
                <w:sdtPr>
                  <w:alias w:val="Numeris"/>
                  <w:tag w:val="nr_91e77a619e5343e68664119dcfa881a5"/>
                  <w:lock w:val="sdtLocked"/>
                  <w:richText/>
                </w:sdtPr>
                <w:sdtContent>
                  <w:r>
                    <w:rPr>
                      <w:b/>
                      <w:bCs/>
                      <w:caps/>
                    </w:rPr>
                    <w:t>V</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91e77a619e5343e68664119dcfa881a5"/>
                  <w:lock w:val="sdtLocked"/>
                  <w:richText/>
                </w:sdtPr>
                <w:sdtContent>
                  <w:r>
                    <w:rPr>
                      <w:b/>
                      <w:bCs/>
                      <w:caps/>
                    </w:rPr>
                    <w:t>FINANSAVIMO SUMŲ STRAIPSNIŲ PAAIŠKINIMAS</w:t>
                  </w:r>
                </w:sdtContent>
              </w:sdt>
            </w:p>
            <w:p>
              <w:pPr>
                <w:keepLines/>
                <w:widowControl w:val="0"/>
                <w:tabs>
                  <w:tab w:val="left" w:pos="851"/>
                  <w:tab w:val="left" w:pos="993"/>
                </w:tabs>
                <w:suppressAutoHyphens/>
                <w:ind w:firstLine="567"/>
                <w:jc w:val="center"/>
                <w:rPr>
                  <w:b/>
                  <w:bCs/>
                  <w:caps/>
                </w:rPr>
              </w:pPr>
            </w:p>
            <w:sdt>
              <w:sdtPr>
                <w:alias w:val="27 p."/>
                <w:tag w:val="part_0adf85270f064e1a99b1a8908bc970f6"/>
                <w:lock w:val="sdtLocked"/>
                <w:richText/>
              </w:sdtPr>
              <w:sdtContent>
                <w:p>
                  <w:pPr>
                    <w:widowControl w:val="0"/>
                    <w:tabs>
                      <w:tab w:val="left" w:pos="1134"/>
                    </w:tabs>
                    <w:suppressAutoHyphens/>
                    <w:ind w:firstLine="709"/>
                    <w:jc w:val="both"/>
                  </w:pPr>
                  <w:sdt>
                    <w:sdtPr>
                      <w:alias w:val="Numeris"/>
                      <w:tag w:val="nr_0adf85270f064e1a99b1a8908bc970f6"/>
                      <w:lock w:val="sdtLocked"/>
                      <w:richText/>
                    </w:sdtPr>
                    <w:sdtContent>
                      <w:r>
                        <w:t>27</w:t>
                      </w:r>
                    </w:sdtContent>
                  </w:sdt>
                  <w:r>
                    <w:t>.</w:t>
                    <w:tab/>
                    <w:t>Ataskaitos straipsnyje „Finansavimo sumos“ rodomos finansavimo sumos, gautinos ir gautos iš šaltinių, nurodytų 20-ajame VSAFAS „Finansavimo sumos“. Finansavimo sumų apskaita tvarkoma ir informacija teikiama pagal 20-ąjį VSAFAS „Finansavimo sumos“. Nurodomi šie finansavimo sumų straipsniai:</w:t>
                  </w:r>
                </w:p>
                <w:sdt>
                  <w:sdtPr>
                    <w:alias w:val="27.1 pp."/>
                    <w:tag w:val="part_a0a657238bae43b5a35ee5b75fcfd5c6"/>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a0a657238bae43b5a35ee5b75fcfd5c6"/>
                          <w:lock w:val="sdtLocked"/>
                          <w:richText/>
                        </w:sdtPr>
                        <w:sdtContent>
                          <w:r>
                            <w:t>27.1</w:t>
                          </w:r>
                        </w:sdtContent>
                      </w:sdt>
                      <w:r>
                        <w:t>.</w:t>
                        <w:tab/>
                        <w:t>straipsnis „Iš valstybės biudžeto“ – išskyrus Standarto 3 ir 5 prieduose nustatytų formų ataskaitas;</w:t>
                      </w:r>
                    </w:p>
                  </w:sdtContent>
                </w:sdt>
                <w:sdt>
                  <w:sdtPr>
                    <w:alias w:val="27.2 pp."/>
                    <w:tag w:val="part_257252d29ce14bcfb6587a82c5f3a73b"/>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257252d29ce14bcfb6587a82c5f3a73b"/>
                          <w:lock w:val="sdtLocked"/>
                          <w:richText/>
                        </w:sdtPr>
                        <w:sdtContent>
                          <w:r>
                            <w:t>27.2</w:t>
                          </w:r>
                        </w:sdtContent>
                      </w:sdt>
                      <w:r>
                        <w:t>.</w:t>
                        <w:tab/>
                        <w:t>straipsnis „Iš savivaldybės biudžeto“ – išskyrus Standarto 4 ir 5 prieduose nustatytų formų ataskaitas;</w:t>
                      </w:r>
                    </w:p>
                  </w:sdtContent>
                </w:sdt>
                <w:sdt>
                  <w:sdtPr>
                    <w:alias w:val="27.3 pp."/>
                    <w:tag w:val="part_497c58ffb0f34c22872a0d44fb4d5fb2"/>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497c58ffb0f34c22872a0d44fb4d5fb2"/>
                          <w:lock w:val="sdtLocked"/>
                          <w:richText/>
                        </w:sdtPr>
                        <w:sdtContent>
                          <w:r>
                            <w:t>27.3</w:t>
                          </w:r>
                        </w:sdtContent>
                      </w:sdt>
                      <w:r>
                        <w:t>.</w:t>
                        <w:tab/>
                        <w:t>straipsnis „Iš Europos Sąjungos, užsienio valstybių ir tarptautinių organizacijų“;</w:t>
                      </w:r>
                    </w:p>
                  </w:sdtContent>
                </w:sdt>
                <w:sdt>
                  <w:sdtPr>
                    <w:alias w:val="27.4 pp."/>
                    <w:tag w:val="part_55ae0aebf8704f7e979a436fa92a3ff7"/>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55ae0aebf8704f7e979a436fa92a3ff7"/>
                          <w:lock w:val="sdtLocked"/>
                          <w:richText/>
                        </w:sdtPr>
                        <w:sdtContent>
                          <w:r>
                            <w:t>27.4</w:t>
                          </w:r>
                        </w:sdtContent>
                      </w:sdt>
                      <w:r>
                        <w:t>.</w:t>
                        <w:tab/>
                        <w:t>straipsnis „Iš viešojo sektoriaus subjektų pajamų“ – išskyrus Standarto 5 priede nustatytos formos ataskaitą;</w:t>
                      </w:r>
                    </w:p>
                  </w:sdtContent>
                </w:sdt>
                <w:sdt>
                  <w:sdtPr>
                    <w:alias w:val="27.5 pp."/>
                    <w:tag w:val="part_8980d8f7c5264289b73f8073bf229044"/>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8980d8f7c5264289b73f8073bf229044"/>
                          <w:lock w:val="sdtLocked"/>
                          <w:richText/>
                        </w:sdtPr>
                        <w:sdtContent>
                          <w:r>
                            <w:t>27.5</w:t>
                          </w:r>
                        </w:sdtContent>
                      </w:sdt>
                      <w:r>
                        <w:t>.</w:t>
                        <w:tab/>
                        <w:t>straipsnis „Iš fizinių ir privačių juridinių asmenų“.</w:t>
                      </w:r>
                    </w:p>
                    <w:p>
                      <w:pPr>
                        <w:keepLines/>
                        <w:widowControl w:val="0"/>
                        <w:tabs>
                          <w:tab w:val="left" w:pos="851"/>
                          <w:tab w:val="left" w:pos="993"/>
                        </w:tabs>
                        <w:suppressAutoHyphens/>
                        <w:ind w:firstLine="567"/>
                        <w:jc w:val="center"/>
                        <w:rPr>
                          <w:b/>
                          <w:bCs/>
                          <w:caps/>
                        </w:rPr>
                      </w:pPr>
                    </w:p>
                  </w:sdtContent>
                </w:sdt>
              </w:sdtContent>
            </w:sdt>
          </w:sdtContent>
        </w:sdt>
        <w:sdt>
          <w:sdtPr>
            <w:alias w:val="skyrius"/>
            <w:tag w:val="part_5b5a3824f3b54b9b84d3b0e59a4316f2"/>
            <w:lock w:val="sdtLocked"/>
            <w:richText/>
          </w:sdtPr>
          <w:sdtContent>
            <w:p>
              <w:pPr>
                <w:keepLines/>
                <w:widowControl w:val="0"/>
                <w:tabs>
                  <w:tab w:val="left" w:pos="851"/>
                  <w:tab w:val="left" w:pos="993"/>
                </w:tabs>
                <w:suppressAutoHyphens/>
                <w:jc w:val="center"/>
                <w:rPr>
                  <w:b/>
                  <w:bCs/>
                  <w:caps/>
                </w:rPr>
              </w:pPr>
              <w:sdt>
                <w:sdtPr>
                  <w:alias w:val="Numeris"/>
                  <w:tag w:val="nr_5b5a3824f3b54b9b84d3b0e59a4316f2"/>
                  <w:lock w:val="sdtLocked"/>
                  <w:richText/>
                </w:sdtPr>
                <w:sdtContent>
                  <w:r>
                    <w:rPr>
                      <w:b/>
                      <w:bCs/>
                      <w:caps/>
                    </w:rPr>
                    <w:t>VI</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5b5a3824f3b54b9b84d3b0e59a4316f2"/>
                  <w:lock w:val="sdtLocked"/>
                  <w:richText/>
                </w:sdtPr>
                <w:sdtContent>
                  <w:r>
                    <w:rPr>
                      <w:b/>
                      <w:bCs/>
                      <w:caps/>
                    </w:rPr>
                    <w:t>ĮSIPAREIGOJIMŲ STRAIPSNIŲ PAAIŠKINIMAS</w:t>
                  </w:r>
                </w:sdtContent>
              </w:sdt>
            </w:p>
            <w:p>
              <w:pPr>
                <w:keepLines/>
                <w:widowControl w:val="0"/>
                <w:tabs>
                  <w:tab w:val="left" w:pos="851"/>
                  <w:tab w:val="left" w:pos="993"/>
                </w:tabs>
                <w:suppressAutoHyphens/>
                <w:ind w:firstLine="567"/>
                <w:jc w:val="center"/>
                <w:rPr>
                  <w:b/>
                  <w:bCs/>
                  <w:caps/>
                </w:rPr>
              </w:pPr>
            </w:p>
            <w:sdt>
              <w:sdtPr>
                <w:alias w:val="28 p."/>
                <w:tag w:val="part_d2479ecc82634bff897c36cb3af64c1a"/>
                <w:lock w:val="sdtLocked"/>
                <w:richText/>
              </w:sdtPr>
              <w:sdtContent>
                <w:p>
                  <w:pPr>
                    <w:widowControl w:val="0"/>
                    <w:tabs>
                      <w:tab w:val="left" w:pos="1134"/>
                    </w:tabs>
                    <w:suppressAutoHyphens/>
                    <w:ind w:firstLine="709"/>
                    <w:jc w:val="both"/>
                  </w:pPr>
                  <w:sdt>
                    <w:sdtPr>
                      <w:alias w:val="Numeris"/>
                      <w:tag w:val="nr_d2479ecc82634bff897c36cb3af64c1a"/>
                      <w:lock w:val="sdtLocked"/>
                      <w:richText/>
                    </w:sdtPr>
                    <w:sdtContent>
                      <w:r>
                        <w:t>28</w:t>
                      </w:r>
                    </w:sdtContent>
                  </w:sdt>
                  <w:r>
                    <w:t>.</w:t>
                    <w:tab/>
                    <w:t>Straipsnyje „Atidėjiniai“ rodomi įsipareigojimai, kurių galutinės padengimo sumos arba įvykdymo laiko negalima tiksliai nustatyti, tačiau padengimo sumą ar įvykdymo laiką galima patikimai įvertinti. Atidėjinių apskaita tvarkoma pagal viešojo sektoriaus apskaitos ir finansinės atskaitomybės standartą „Atidėjiniai, neapibrėžtieji įsipareigojimai, neapibrėžtasis turtas ir poataskaitiniai įvykiai“</w:t>
                  </w:r>
                  <w:r>
                    <w:rPr>
                      <w:lang w:eastAsia="lt-LT"/>
                    </w:rPr>
                    <w:t>,</w:t>
                  </w:r>
                  <w:r>
                    <w:t xml:space="preserve"> patvirtintą Lietuvos Respublikos finansų ministro 2008 m. rugpjūčio 21 d. įsakymu Nr. 1K-252 „Dėl viešojo sektoriaus apskaitos ir finansinės atskaitomybės 18-ojo standarto patvirtinimo“. Šiame straipsnyje rodomi visi atidėjiniai, neatsižvelgiant į jų apmokėjimo terminą.</w:t>
                  </w:r>
                </w:p>
              </w:sdtContent>
            </w:sdt>
            <w:sdt>
              <w:sdtPr>
                <w:alias w:val="29 p."/>
                <w:tag w:val="part_a8a1109099374321b80ff1f594915cdf"/>
                <w:lock w:val="sdtLocked"/>
                <w:richText/>
              </w:sdtPr>
              <w:sdtContent>
                <w:p>
                  <w:pPr>
                    <w:widowControl w:val="0"/>
                    <w:tabs>
                      <w:tab w:val="left" w:pos="1134"/>
                    </w:tabs>
                    <w:suppressAutoHyphens/>
                    <w:ind w:firstLine="709"/>
                    <w:jc w:val="both"/>
                  </w:pPr>
                  <w:sdt>
                    <w:sdtPr>
                      <w:alias w:val="Numeris"/>
                      <w:tag w:val="nr_a8a1109099374321b80ff1f594915cdf"/>
                      <w:lock w:val="sdtLocked"/>
                      <w:richText/>
                    </w:sdtPr>
                    <w:sdtContent>
                      <w:r>
                        <w:t>29</w:t>
                      </w:r>
                    </w:sdtContent>
                  </w:sdt>
                  <w:r>
                    <w:t>.</w:t>
                    <w:tab/>
                    <w:t>Standarto 5 priede nustatytos formos ataskaitos straipsnyje „Pensijų anuitetų fondo techniniai atidėjiniai“ pateikiami 29-ajame VSAFAS „Pensijų anuitetų fondo apskaita ir ataskaitų rinkinys“ nurodyti Pensijų anuitetų fondo techniniai atidėjiniai.</w:t>
                  </w:r>
                </w:p>
              </w:sdtContent>
            </w:sdt>
            <w:sdt>
              <w:sdtPr>
                <w:alias w:val="30 p."/>
                <w:tag w:val="part_7bdfaccdfef443be90307a3fd77ba382"/>
                <w:lock w:val="sdtLocked"/>
                <w:richText/>
              </w:sdtPr>
              <w:sdtContent>
                <w:p>
                  <w:pPr>
                    <w:widowControl w:val="0"/>
                    <w:tabs>
                      <w:tab w:val="left" w:pos="1134"/>
                    </w:tabs>
                    <w:suppressAutoHyphens/>
                    <w:ind w:firstLine="709"/>
                    <w:jc w:val="both"/>
                  </w:pPr>
                  <w:sdt>
                    <w:sdtPr>
                      <w:alias w:val="Numeris"/>
                      <w:tag w:val="nr_7bdfaccdfef443be90307a3fd77ba382"/>
                      <w:lock w:val="sdtLocked"/>
                      <w:richText/>
                    </w:sdtPr>
                    <w:sdtContent>
                      <w:r>
                        <w:t>30</w:t>
                      </w:r>
                    </w:sdtContent>
                  </w:sdt>
                  <w:r>
                    <w:t>.</w:t>
                    <w:tab/>
                    <w:t>Straipsnyje „Ilgalaikiai skoliniai įsipareigojimai“ rodomi įsipareigojimai pagal Vyriausybės vertybinius popierius, ilgalaikės užsienio ir vidaus paskolos, ilgalaikiai finansinės nuomos (lizingo) įsipareigojimai ir išvestinių finansinių priemonių įsipareigojimai, kurie</w:t>
                  </w:r>
                  <w:r>
                    <w:rPr>
                      <w:b/>
                      <w:bCs/>
                    </w:rPr>
                    <w:t xml:space="preserve"> </w:t>
                  </w:r>
                  <w:r>
                    <w:t>turės būti įvykdyti po 12 mėnesių nuo paskutinės ataskaitinio laikotarpio dienos, kurių apskaita tvarkoma pagal 17-ąjį VSAFAS „Finansinis turtas ir finansiniai įsipareigojimai“ ir 19-ąjį viešojo sektoriaus apskaitos ir finansinės atskaitomybės standartą „Nuoma, finansinė nuoma (lizingas) ir kitos turto perdavimo sutartys“, patvirtintą Lietuvos Respublikos finansų ministro 2008 m. gegužės 14 d. įsakymu Nr. 1K-176 „Dėl viešojo sektoriaus apskaitos ir finansinės atskaitomybės 19-ojo standarto patvirtinimo“, (toliau – 19-asis VSAFAS „Nuoma, finansinė nuoma (lizingas) ir kitos turto perdavimo sutartys“.</w:t>
                  </w:r>
                </w:p>
              </w:sdtContent>
            </w:sdt>
            <w:sdt>
              <w:sdtPr>
                <w:alias w:val="31 p."/>
                <w:tag w:val="part_611a85d11f45491f9b45e14ab0e34c88"/>
                <w:lock w:val="sdtLocked"/>
                <w:richText/>
              </w:sdtPr>
              <w:sdtContent>
                <w:p>
                  <w:pPr>
                    <w:widowControl w:val="0"/>
                    <w:tabs>
                      <w:tab w:val="left" w:pos="1134"/>
                    </w:tabs>
                    <w:suppressAutoHyphens/>
                    <w:ind w:firstLine="709"/>
                    <w:jc w:val="both"/>
                  </w:pPr>
                  <w:sdt>
                    <w:sdtPr>
                      <w:alias w:val="Numeris"/>
                      <w:tag w:val="nr_611a85d11f45491f9b45e14ab0e34c88"/>
                      <w:lock w:val="sdtLocked"/>
                      <w:richText/>
                    </w:sdtPr>
                    <w:sdtContent>
                      <w:r>
                        <w:t>31</w:t>
                      </w:r>
                    </w:sdtContent>
                  </w:sdt>
                  <w:r>
                    <w:t>.</w:t>
                    <w:tab/>
                    <w:t xml:space="preserve">Straipsnyje „Kiti ilgalaikiai įsipareigojimai“ rodomi ilgalaikės ateinančių laikotarpių pajamos, ilgalaikiai socialinių išmokų, santaupų atkūrimo ir kiti ilgalaikiai įsipareigojimai, kurie negali būti priskirti Standarto 30 punkte nurodytiems įsipareigojimams. </w:t>
                  </w:r>
                </w:p>
              </w:sdtContent>
            </w:sdt>
            <w:sdt>
              <w:sdtPr>
                <w:alias w:val="32 p."/>
                <w:tag w:val="part_f89e2bf616e442ca8911ff73252606fb"/>
                <w:lock w:val="sdtLocked"/>
                <w:richText/>
              </w:sdtPr>
              <w:sdtContent>
                <w:p>
                  <w:pPr>
                    <w:widowControl w:val="0"/>
                    <w:tabs>
                      <w:tab w:val="left" w:pos="1134"/>
                    </w:tabs>
                    <w:suppressAutoHyphens/>
                    <w:ind w:firstLine="709"/>
                    <w:jc w:val="both"/>
                  </w:pPr>
                  <w:sdt>
                    <w:sdtPr>
                      <w:alias w:val="Numeris"/>
                      <w:tag w:val="nr_f89e2bf616e442ca8911ff73252606fb"/>
                      <w:lock w:val="sdtLocked"/>
                      <w:richText/>
                    </w:sdtPr>
                    <w:sdtContent>
                      <w:r>
                        <w:t>32</w:t>
                      </w:r>
                    </w:sdtContent>
                  </w:sdt>
                  <w:r>
                    <w:t>.</w:t>
                    <w:tab/>
                    <w:t>Straipsnyje „Trumpalaikiai skoliniai įsipareigojimai“ rodomi įsipareigojimai pagal Vyriausybės vertybinius popierius, trumpalaikės užsienio ir vidaus paskolos, trumpalaikiai finansinės nuomos (lizingo) įsipareigojimai ir išvestinių finansinių priemonių įsipareigojimai, kurie</w:t>
                  </w:r>
                  <w:r>
                    <w:rPr>
                      <w:b/>
                      <w:bCs/>
                    </w:rPr>
                    <w:t xml:space="preserve"> </w:t>
                  </w:r>
                  <w:r>
                    <w:t>turės būti įvykdyti per 12 mėnesių nuo paskutinės ataskaitinio laikotarpio dienos, įskaitant po metų mokėtinų skolinių įsipareigojimų einamųjų metų dalį, kurių apskaita tvarkoma pagal 17-ąjį VSAFAS „Finansinis turtas ir finansiniai įsipareigojimai“ ir 19-ąjį VSAFAS „Nuoma, finansinė nuoma (lizingas) ir kitos turto perdavimo sutartys“.</w:t>
                  </w:r>
                </w:p>
              </w:sdtContent>
            </w:sdt>
            <w:sdt>
              <w:sdtPr>
                <w:alias w:val="33 p."/>
                <w:tag w:val="part_55dea41c951841fca07f2d4832c8d361"/>
                <w:lock w:val="sdtLocked"/>
                <w:richText/>
              </w:sdtPr>
              <w:sdtContent>
                <w:p>
                  <w:pPr>
                    <w:widowControl w:val="0"/>
                    <w:tabs>
                      <w:tab w:val="left" w:pos="1134"/>
                    </w:tabs>
                    <w:suppressAutoHyphens/>
                    <w:ind w:firstLine="709"/>
                    <w:jc w:val="both"/>
                  </w:pPr>
                  <w:sdt>
                    <w:sdtPr>
                      <w:alias w:val="Numeris"/>
                      <w:tag w:val="nr_55dea41c951841fca07f2d4832c8d361"/>
                      <w:lock w:val="sdtLocked"/>
                      <w:richText/>
                    </w:sdtPr>
                    <w:sdtContent>
                      <w:r>
                        <w:t>33</w:t>
                      </w:r>
                    </w:sdtContent>
                  </w:sdt>
                  <w:r>
                    <w:t>.</w:t>
                    <w:tab/>
                    <w:t>Straipsnyje „Mokėtinos socialinės išmokos ir stipendijos“ rodomos mokėtinos valstybinio socialinio draudimo išmokos, mokėtinos socialinės išmokos iš valstybės biudžeto, mokėtinos socialinės išmokos iš savivaldybės biudžeto, mokėtinos socialinės išmokos iš Privalomojo sveikatos draudimo fondo ir kitos mokėtinos socialinės išmokos, kurios</w:t>
                  </w:r>
                  <w:r>
                    <w:rPr>
                      <w:b/>
                      <w:bCs/>
                    </w:rPr>
                    <w:t xml:space="preserve"> </w:t>
                  </w:r>
                  <w:r>
                    <w:t xml:space="preserve">turės būti išmokėtos per 12 mėnesių nuo paskutinės ataskaitinio laikotarpio dienos, taip pat mokėtinos stipendijos. Šiame straipsnyje viešojo sektoriaus subjektas taip pat rodo darbdavio socialines išmokas darbuotojams (išmokos įvykus nelaimingam atsitikimui, vienkartinės pašalpos ir kitos darbdavio mokamos socialinio pobūdžio išmokos). </w:t>
                  </w:r>
                </w:p>
              </w:sdtContent>
            </w:sdt>
            <w:sdt>
              <w:sdtPr>
                <w:alias w:val="34 p."/>
                <w:tag w:val="part_22f1476d0e5d49bb96b43ad2f974e24c"/>
                <w:lock w:val="sdtLocked"/>
                <w:richText/>
              </w:sdtPr>
              <w:sdtContent>
                <w:p>
                  <w:pPr>
                    <w:widowControl w:val="0"/>
                    <w:tabs>
                      <w:tab w:val="left" w:pos="1134"/>
                    </w:tabs>
                    <w:suppressAutoHyphens/>
                    <w:ind w:firstLine="709"/>
                    <w:jc w:val="both"/>
                  </w:pPr>
                  <w:sdt>
                    <w:sdtPr>
                      <w:alias w:val="Numeris"/>
                      <w:tag w:val="nr_22f1476d0e5d49bb96b43ad2f974e24c"/>
                      <w:lock w:val="sdtLocked"/>
                      <w:richText/>
                    </w:sdtPr>
                    <w:sdtContent>
                      <w:r>
                        <w:t>34</w:t>
                      </w:r>
                    </w:sdtContent>
                  </w:sdt>
                  <w:r>
                    <w:t>.</w:t>
                    <w:tab/>
                    <w:t>Straipsnyje „Tiekėjams mokėtinos sumos“ rodomos mokėtinos sumos prekių tiekėjams, paslaugų teikėjams, rangovams už viešojo sektoriaus subjektui suteiktas paslaugas, įsigytą ilgalaikį turtą ar prekes, už kurias turi būti atsiskaityta per 12 mėnesių nuo paskutinės ataskaitinio laikotarpio dienos.</w:t>
                  </w:r>
                </w:p>
              </w:sdtContent>
            </w:sdt>
            <w:sdt>
              <w:sdtPr>
                <w:alias w:val="35 p."/>
                <w:tag w:val="part_ad4971650dce499c8d696d6d7084320c"/>
                <w:lock w:val="sdtLocked"/>
                <w:richText/>
              </w:sdtPr>
              <w:sdtContent>
                <w:p>
                  <w:pPr>
                    <w:widowControl w:val="0"/>
                    <w:tabs>
                      <w:tab w:val="left" w:pos="1134"/>
                    </w:tabs>
                    <w:suppressAutoHyphens/>
                    <w:ind w:firstLine="709"/>
                    <w:jc w:val="both"/>
                  </w:pPr>
                  <w:sdt>
                    <w:sdtPr>
                      <w:alias w:val="Numeris"/>
                      <w:tag w:val="nr_ad4971650dce499c8d696d6d7084320c"/>
                      <w:lock w:val="sdtLocked"/>
                      <w:richText/>
                    </w:sdtPr>
                    <w:sdtContent>
                      <w:r>
                        <w:t>35</w:t>
                      </w:r>
                    </w:sdtContent>
                  </w:sdt>
                  <w:r>
                    <w:t>.</w:t>
                    <w:tab/>
                    <w:t>Straipsnyje „Su darbo santykiais susiję įsipareigojimai“ rodomas</w:t>
                  </w:r>
                  <w:r>
                    <w:rPr>
                      <w:b/>
                      <w:bCs/>
                    </w:rPr>
                    <w:t xml:space="preserve"> </w:t>
                  </w:r>
                  <w:r>
                    <w:t>mokėtinas darbo užmokestis, nuo darbuotojams apskaičiuotų darbo užmokesčio ir kitų išmokų apskaičiuotos socialinio draudimo įmokos, gyventojų pajamų mokestis ir kiti su darbo santykiais susiję įsipareigojimai, kurie</w:t>
                  </w:r>
                  <w:r>
                    <w:rPr>
                      <w:bCs/>
                    </w:rPr>
                    <w:t xml:space="preserve"> </w:t>
                  </w:r>
                  <w:r>
                    <w:t>turės būti įvykdyti per 12 mėnesių nuo paskutinės ataskaitinio laikotarpio dienos.</w:t>
                  </w:r>
                </w:p>
              </w:sdtContent>
            </w:sdt>
            <w:sdt>
              <w:sdtPr>
                <w:alias w:val="36 p."/>
                <w:tag w:val="part_c6ddad0995be4c91acd59ec798bee22d"/>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c6ddad0995be4c91acd59ec798bee22d"/>
                      <w:lock w:val="sdtLocked"/>
                      <w:richText/>
                    </w:sdtPr>
                    <w:sdtContent>
                      <w:r>
                        <w:t>36</w:t>
                      </w:r>
                    </w:sdtContent>
                  </w:sdt>
                  <w:r>
                    <w:t>.</w:t>
                    <w:tab/>
                    <w:t>Standarto 3 ir 4 prieduose nustatytų formų ataskaitų straipsnyje „Mokėtinos sumos už fondų administravimą“ rodomos per 12 mėnesių nuo paskutinės ataskaitinio laikotarpio dienos mokėtinos sumos fondus administruojantiems subjektams.</w:t>
                  </w:r>
                </w:p>
              </w:sdtContent>
            </w:sdt>
            <w:sdt>
              <w:sdtPr>
                <w:alias w:val="37 p."/>
                <w:tag w:val="part_939f76abfdaf4ed991d923aa1c99db94"/>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939f76abfdaf4ed991d923aa1c99db94"/>
                      <w:lock w:val="sdtLocked"/>
                      <w:richText/>
                    </w:sdtPr>
                    <w:sdtContent>
                      <w:r>
                        <w:t>37</w:t>
                      </w:r>
                    </w:sdtContent>
                  </w:sdt>
                  <w:r>
                    <w:t>.</w:t>
                    <w:tab/>
                    <w:t xml:space="preserve">Standarto 1–4 prieduose nustatytų formų ataskaitų straipsnyje „Mokėtinos sumos tarptautinėms institucijoms, į biudžetus ir fondus“ rodomos </w:t>
                  </w:r>
                  <w:r>
                    <w:rPr>
                      <w:color w:val="000000"/>
                    </w:rPr>
                    <w:t xml:space="preserve">mokėtinos sumos </w:t>
                  </w:r>
                  <w:r>
                    <w:t>tarptautinėms institucijoms</w:t>
                  </w:r>
                  <w:r>
                    <w:rPr>
                      <w:color w:val="000000"/>
                    </w:rPr>
                    <w:t xml:space="preserve">, į Europos Sąjungos biudžetą iš muitų, pridėtinės vertės mokesčio pajamų ir panašiai, mokėtini mokesčiai ir rinkliavos bei mokėtinos sumos fondams. Taip pat čia rodomos ir viešojo sektoriaus subjektų grąžintinos finansavimo sumos, kurias sudaro viešojo sektoriaus subjektų sąskaitose esančios biudžetinės lėšos (biudžeto asignavimai), kurios metų pabaigoje yra nepanaudotos ir (arba) kurios teisės aktų nustatyta tvarka turi būti pervestos (grąžintos) į atitinkamus biudžetus. </w:t>
                  </w:r>
                  <w:r>
                    <w:t xml:space="preserve">Standarto 5 priede nustatytos formos ataskaitoje </w:t>
                  </w:r>
                  <w:r>
                    <w:rPr>
                      <w:color w:val="000000"/>
                    </w:rPr>
                    <w:t>grąžintinos finansavimo sumos</w:t>
                  </w:r>
                  <w:r>
                    <w:t xml:space="preserve"> atliekant finansinių ataskaitų konsolidavimą yra eliminuotos, todėl joje šis straipsnis vadinamas „Mokėtinos sumos tarptautinėms institucijoms, į Europos Sąjungos biudžetą“ ir jame rodomos </w:t>
                  </w:r>
                  <w:r>
                    <w:rPr>
                      <w:color w:val="000000"/>
                    </w:rPr>
                    <w:t xml:space="preserve">mokėtinos sumos </w:t>
                  </w:r>
                  <w:r>
                    <w:t>tarptautinėms institucijoms</w:t>
                  </w:r>
                  <w:r>
                    <w:rPr>
                      <w:color w:val="000000"/>
                    </w:rPr>
                    <w:t>, į Europos Sąjungos biudžetą.</w:t>
                  </w:r>
                </w:p>
              </w:sdtContent>
            </w:sdt>
            <w:sdt>
              <w:sdtPr>
                <w:alias w:val="38 p."/>
                <w:tag w:val="part_e5b4db19219846b9915aedd950d3b943"/>
                <w:lock w:val="sdtLocked"/>
                <w:richText/>
              </w:sdtPr>
              <w:sdtContent>
                <w:p>
                  <w:pPr>
                    <w:widowControl w:val="0"/>
                    <w:tabs>
                      <w:tab w:val="left" w:pos="1134"/>
                    </w:tabs>
                    <w:suppressAutoHyphens/>
                    <w:ind w:firstLine="709"/>
                    <w:jc w:val="both"/>
                  </w:pPr>
                  <w:sdt>
                    <w:sdtPr>
                      <w:alias w:val="Numeris"/>
                      <w:tag w:val="nr_e5b4db19219846b9915aedd950d3b943"/>
                      <w:lock w:val="sdtLocked"/>
                      <w:richText/>
                    </w:sdtPr>
                    <w:sdtContent>
                      <w:r>
                        <w:t>38</w:t>
                      </w:r>
                    </w:sdtContent>
                  </w:sdt>
                  <w:r>
                    <w:t>.</w:t>
                    <w:tab/>
                    <w:t>Kitos trumpalaikės mokėtinos sumos, kurios negali būti priskirtos Standarto 32</w:t>
                  </w:r>
                  <w:r>
                    <w:rPr>
                      <w:lang w:eastAsia="lt-LT"/>
                    </w:rPr>
                    <w:t>–</w:t>
                  </w:r>
                  <w:r>
                    <w:t>37 punktuose nurodytiems straipsniams, rodomos kitų trumpalaikių įsipareigojimų straipsnyje „Kiti įsipareigojimai“. Šiame straipsnyje rodomi tokie trumpalaikiai įsipareigojimai kaip ateinančių laikotarpių pajamos, gauti užstatai ir kitos įsipareigojimams užtikrinti gautos sumos, mokėtinos subsidijos, mokėtinos dotacijos, mokėtinos finansavimo sumos, sukauptos sąnaudos ir sukauptos mokėtinos sumos.</w:t>
                  </w:r>
                </w:p>
                <w:p>
                  <w:pPr>
                    <w:tabs>
                      <w:tab w:val="left" w:pos="851"/>
                      <w:tab w:val="left" w:pos="993"/>
                    </w:tabs>
                    <w:ind w:firstLine="567"/>
                  </w:pPr>
                </w:p>
              </w:sdtContent>
            </w:sdt>
          </w:sdtContent>
        </w:sdt>
        <w:sdt>
          <w:sdtPr>
            <w:alias w:val="skyrius"/>
            <w:tag w:val="part_8637efd476774eccbfd26bf53c779b00"/>
            <w:lock w:val="sdtLocked"/>
            <w:richText/>
          </w:sdtPr>
          <w:sdtContent>
            <w:p>
              <w:pPr>
                <w:keepLines/>
                <w:widowControl w:val="0"/>
                <w:tabs>
                  <w:tab w:val="left" w:pos="851"/>
                  <w:tab w:val="left" w:pos="993"/>
                </w:tabs>
                <w:suppressAutoHyphens/>
                <w:jc w:val="center"/>
                <w:rPr>
                  <w:b/>
                  <w:bCs/>
                  <w:caps/>
                </w:rPr>
              </w:pPr>
              <w:sdt>
                <w:sdtPr>
                  <w:alias w:val="Numeris"/>
                  <w:tag w:val="nr_8637efd476774eccbfd26bf53c779b00"/>
                  <w:lock w:val="sdtLocked"/>
                  <w:richText/>
                </w:sdtPr>
                <w:sdtContent>
                  <w:r>
                    <w:rPr>
                      <w:b/>
                      <w:bCs/>
                      <w:caps/>
                    </w:rPr>
                    <w:t>VII</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8637efd476774eccbfd26bf53c779b00"/>
                  <w:lock w:val="sdtLocked"/>
                  <w:richText/>
                </w:sdtPr>
                <w:sdtContent>
                  <w:r>
                    <w:rPr>
                      <w:b/>
                      <w:bCs/>
                      <w:caps/>
                    </w:rPr>
                    <w:t>GRYNOJO TURTO IR MAŽUMOS DALIES STRAIPSNIŲ PAAIŠKINIMAS</w:t>
                  </w:r>
                </w:sdtContent>
              </w:sdt>
            </w:p>
            <w:p>
              <w:pPr>
                <w:keepLines/>
                <w:widowControl w:val="0"/>
                <w:tabs>
                  <w:tab w:val="left" w:pos="851"/>
                  <w:tab w:val="left" w:pos="993"/>
                </w:tabs>
                <w:suppressAutoHyphens/>
                <w:ind w:firstLine="567"/>
                <w:jc w:val="center"/>
                <w:rPr>
                  <w:b/>
                  <w:bCs/>
                  <w:caps/>
                </w:rPr>
              </w:pPr>
            </w:p>
            <w:sdt>
              <w:sdtPr>
                <w:alias w:val="39 p."/>
                <w:tag w:val="part_50da551a3c7b47b99e7b1b67b9564d76"/>
                <w:lock w:val="sdtLocked"/>
                <w:richText/>
              </w:sdtPr>
              <w:sdtContent>
                <w:p>
                  <w:pPr>
                    <w:widowControl w:val="0"/>
                    <w:tabs>
                      <w:tab w:val="left" w:pos="1134"/>
                    </w:tabs>
                    <w:suppressAutoHyphens/>
                    <w:ind w:firstLine="709"/>
                    <w:jc w:val="both"/>
                  </w:pPr>
                  <w:sdt>
                    <w:sdtPr>
                      <w:alias w:val="Numeris"/>
                      <w:tag w:val="nr_50da551a3c7b47b99e7b1b67b9564d76"/>
                      <w:lock w:val="sdtLocked"/>
                      <w:richText/>
                    </w:sdtPr>
                    <w:sdtContent>
                      <w:r>
                        <w:t>39</w:t>
                      </w:r>
                    </w:sdtContent>
                  </w:sdt>
                  <w:r>
                    <w:t>.</w:t>
                    <w:tab/>
                    <w:t>Informacija apie grynąjį turtą grupuojama ir pateikiama finansinėse ataskaitose pagal 4-ąjį viešojo sektoriaus apskaitos ir finansinės atskaitomybės standartą „Grynojo turto pokyčių ataskaita“, patvirtintą Lietuvos Respublikos finansų ministro 2007 m. gruodžio 19 d. įsakymu Nr. 1K-380 „Dėl 4-ojo viešojo sektoriaus apskaitos ir finansinės atskaitomybės standarto patvirtinimo“, (toliau – 4-asis VSAFAS „Grynojo turto pokyčių ataskaita“). Straipsnis „Grynasis turtas“ išskaidomas taip:</w:t>
                  </w:r>
                </w:p>
                <w:sdt>
                  <w:sdtPr>
                    <w:alias w:val="39.1 pp."/>
                    <w:tag w:val="part_1d16495f3a8040f79c976b4b1534bfde"/>
                    <w:lock w:val="sdtLocked"/>
                    <w:richText/>
                  </w:sdtPr>
                  <w:sdtContent>
                    <w:p>
                      <w:pPr>
                        <w:widowControl w:val="0"/>
                        <w:tabs>
                          <w:tab w:val="left" w:pos="1134"/>
                        </w:tabs>
                        <w:suppressAutoHyphens/>
                        <w:ind w:firstLine="709"/>
                        <w:jc w:val="both"/>
                        <w:rPr>
                          <w:szCs w:val="24"/>
                        </w:rPr>
                      </w:pPr>
                      <w:sdt>
                        <w:sdtPr>
                          <w:alias w:val="Numeris"/>
                          <w:tag w:val="nr_1d16495f3a8040f79c976b4b1534bfde"/>
                          <w:lock w:val="sdtLocked"/>
                          <w:richText/>
                        </w:sdtPr>
                        <w:sdtContent>
                          <w:r>
                            <w:rPr>
                              <w:szCs w:val="24"/>
                            </w:rPr>
                            <w:t>39.1</w:t>
                          </w:r>
                        </w:sdtContent>
                      </w:sdt>
                      <w:r>
                        <w:rPr>
                          <w:szCs w:val="24"/>
                        </w:rPr>
                        <w:t>.</w:t>
                        <w:tab/>
                        <w:t xml:space="preserve">viešojo sektoriaus subjekto ataskaitoje – į straipsnius „Dalininkų kapitalas“, „Rezervai“ ir „Sukauptas perviršis ar deficitas“; </w:t>
                      </w:r>
                    </w:p>
                  </w:sdtContent>
                </w:sdt>
                <w:sdt>
                  <w:sdtPr>
                    <w:alias w:val="39.2 pp."/>
                    <w:tag w:val="part_9e367f3258b14b989897eb038035fe59"/>
                    <w:lock w:val="sdtLocked"/>
                    <w:richText/>
                  </w:sdtPr>
                  <w:sdtContent>
                    <w:p>
                      <w:pPr>
                        <w:widowControl w:val="0"/>
                        <w:tabs>
                          <w:tab w:val="left" w:pos="1134"/>
                        </w:tabs>
                        <w:suppressAutoHyphens/>
                        <w:ind w:firstLine="709"/>
                        <w:jc w:val="both"/>
                      </w:pPr>
                      <w:sdt>
                        <w:sdtPr>
                          <w:alias w:val="Numeris"/>
                          <w:tag w:val="nr_9e367f3258b14b989897eb038035fe59"/>
                          <w:lock w:val="sdtLocked"/>
                          <w:richText/>
                        </w:sdtPr>
                        <w:sdtContent>
                          <w:r>
                            <w:t>39.2</w:t>
                          </w:r>
                        </w:sdtContent>
                      </w:sdt>
                      <w:r>
                        <w:t>.</w:t>
                        <w:tab/>
                        <w:t>viešojo sektoriaus subjektų grupės ataskaitoje – į Standarto 39.1 papunktyje nurodytus straipsnius, išskyrus straipsnį „Dalininkų kapitalas“.</w:t>
                      </w:r>
                    </w:p>
                  </w:sdtContent>
                </w:sdt>
              </w:sdtContent>
            </w:sdt>
            <w:sdt>
              <w:sdtPr>
                <w:alias w:val="40 p."/>
                <w:tag w:val="part_f52bfc72dfc34d19afbbbbae7b0a1db0"/>
                <w:lock w:val="sdtLocked"/>
                <w:richText/>
              </w:sdtPr>
              <w:sdtContent>
                <w:p>
                  <w:pPr>
                    <w:widowControl w:val="0"/>
                    <w:tabs>
                      <w:tab w:val="left" w:pos="1134"/>
                    </w:tabs>
                    <w:suppressAutoHyphens/>
                    <w:ind w:firstLine="709"/>
                    <w:jc w:val="both"/>
                  </w:pPr>
                  <w:sdt>
                    <w:sdtPr>
                      <w:alias w:val="Numeris"/>
                      <w:tag w:val="nr_f52bfc72dfc34d19afbbbbae7b0a1db0"/>
                      <w:lock w:val="sdtLocked"/>
                      <w:richText/>
                    </w:sdtPr>
                    <w:sdtContent>
                      <w:r>
                        <w:t>40</w:t>
                      </w:r>
                    </w:sdtContent>
                  </w:sdt>
                  <w:r>
                    <w:t>.</w:t>
                    <w:tab/>
                    <w:t>Rengiant viešojo sektoriaus subjekto ir viešojo sektoriaus subjektų grupės, kurios kontroliuojantysis subjektas yra viešoji įstaiga, finansinių ataskaitų rinkinį, ataskaitos straipsnį „Dalininkų kapitalas“ pildo viešojo sektoriaus subjektams priskiriamos viešosios įstaigos, kurios jame rodo dalininkų kapitalą, kuris lygus dalininkų įnašų vertei.</w:t>
                  </w:r>
                </w:p>
              </w:sdtContent>
            </w:sdt>
            <w:sdt>
              <w:sdtPr>
                <w:alias w:val="41 p."/>
                <w:tag w:val="part_4fd50876d8d04dbdb46cc92bc4d332dc"/>
                <w:lock w:val="sdtLocked"/>
                <w:richText/>
              </w:sdtPr>
              <w:sdtContent>
                <w:p>
                  <w:pPr>
                    <w:widowControl w:val="0"/>
                    <w:tabs>
                      <w:tab w:val="left" w:pos="1134"/>
                    </w:tabs>
                    <w:suppressAutoHyphens/>
                    <w:ind w:firstLine="709"/>
                    <w:jc w:val="both"/>
                  </w:pPr>
                  <w:sdt>
                    <w:sdtPr>
                      <w:alias w:val="Numeris"/>
                      <w:tag w:val="nr_4fd50876d8d04dbdb46cc92bc4d332dc"/>
                      <w:lock w:val="sdtLocked"/>
                      <w:richText/>
                    </w:sdtPr>
                    <w:sdtContent>
                      <w:r>
                        <w:t>41</w:t>
                      </w:r>
                    </w:sdtContent>
                  </w:sdt>
                  <w:r>
                    <w:t>.</w:t>
                    <w:tab/>
                    <w:t>Kas įtraukiama į rezervus, paaiškinta 4-ajame VSAFAS „Grynojo turto pokyčių ataskaita“. Ataskaitose jie grupuojami į:</w:t>
                  </w:r>
                </w:p>
                <w:sdt>
                  <w:sdtPr>
                    <w:alias w:val="41.1 pp."/>
                    <w:tag w:val="part_281e25788d8c42058a165b10f3146488"/>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281e25788d8c42058a165b10f3146488"/>
                          <w:lock w:val="sdtLocked"/>
                          <w:richText/>
                        </w:sdtPr>
                        <w:sdtContent>
                          <w:r>
                            <w:t>41.1</w:t>
                          </w:r>
                        </w:sdtContent>
                      </w:sdt>
                      <w:r>
                        <w:t>.</w:t>
                        <w:tab/>
                        <w:t>tikrosios vertės rezervą. Šios sumos nurodomos Standarto 1–5 prieduose nustatytų formų ataskaitų straipsnyje „Tikrosios vertės rezervas“;</w:t>
                      </w:r>
                    </w:p>
                  </w:sdtContent>
                </w:sdt>
                <w:sdt>
                  <w:sdtPr>
                    <w:alias w:val="41.2 pp."/>
                    <w:tag w:val="part_a0ee7cb5b9e44656a15fc8d6b9ff1d88"/>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a0ee7cb5b9e44656a15fc8d6b9ff1d88"/>
                          <w:lock w:val="sdtLocked"/>
                          <w:richText/>
                        </w:sdtPr>
                        <w:sdtContent>
                          <w:r>
                            <w:t>41.2</w:t>
                          </w:r>
                        </w:sdtContent>
                      </w:sdt>
                      <w:r>
                        <w:t>.</w:t>
                        <w:tab/>
                        <w:t>mineralinių išteklių rezervą. Šios sumos nurodomos Standarto 1–3 ir 5 prieduose nustatytų formų ataskaitų straipsnyje „Mineralinių išteklių rezervas“;</w:t>
                      </w:r>
                    </w:p>
                  </w:sdtContent>
                </w:sdt>
                <w:sdt>
                  <w:sdtPr>
                    <w:alias w:val="41.3 pp."/>
                    <w:tag w:val="part_f9080a084ff2405591033078fd977d92"/>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f9080a084ff2405591033078fd977d92"/>
                          <w:lock w:val="sdtLocked"/>
                          <w:richText/>
                        </w:sdtPr>
                        <w:sdtContent>
                          <w:r>
                            <w:t>41.3</w:t>
                          </w:r>
                        </w:sdtContent>
                      </w:sdt>
                      <w:r>
                        <w:t>.</w:t>
                        <w:tab/>
                        <w:t>medynų rezervą. Šios sumos nurodomos Standarto 1–5 prieduose nustatytų formų ataskaitų straipsnyje „Medynų rezervas“;</w:t>
                      </w:r>
                    </w:p>
                  </w:sdtContent>
                </w:sdt>
                <w:sdt>
                  <w:sdtPr>
                    <w:alias w:val="41.4 pp."/>
                    <w:tag w:val="part_1b4565da495c4d92814ca79e6789a6eb"/>
                    <w:lock w:val="sdtLocked"/>
                    <w:richText/>
                  </w:sdtPr>
                  <w:sdtContent>
                    <w:p>
                      <w:pPr>
                        <w:tabs>
                          <w:tab w:val="left" w:pos="851"/>
                          <w:tab w:val="left" w:pos="1134"/>
                          <w:tab w:val="left" w:pos="1418"/>
                          <w:tab w:val="left" w:pos="1701"/>
                        </w:tabs>
                        <w:ind w:firstLine="709"/>
                        <w:jc w:val="both"/>
                      </w:pPr>
                      <w:sdt>
                        <w:sdtPr>
                          <w:alias w:val="Numeris"/>
                          <w:tag w:val="nr_1b4565da495c4d92814ca79e6789a6eb"/>
                          <w:lock w:val="sdtLocked"/>
                          <w:richText/>
                        </w:sdtPr>
                        <w:sdtContent>
                          <w:r>
                            <w:t>41.4</w:t>
                          </w:r>
                        </w:sdtContent>
                      </w:sdt>
                      <w:r>
                        <w:t>.</w:t>
                        <w:tab/>
                        <w:t>valdžios sektoriui priskiriamų įmonių rezervus, į kuriuos įtraukiamas valstybės kontroliuojamų pelno siekiančių subjektų ir (ar) savivaldybės kontroliuojamų pelno siekiančių subjektų (toliau kartu – pelno siekiantys subjektai) perkainojimo rezervas ir visi kiti pelno siekiančių subjektų rezervai, kurie nurodyti pelno siekiančių subjektų finansinių ataskaitų nuosavo kapitalo dalyje. Šios sumos nurodomos Standarto 2–5 prieduose nustatytų formų ataskaitų straipsnyje „Valdžios sektoriui priskiriamų įmonių rezervai“;</w:t>
                      </w:r>
                    </w:p>
                  </w:sdtContent>
                </w:sdt>
                <w:sdt>
                  <w:sdtPr>
                    <w:alias w:val="41.5 pp."/>
                    <w:tag w:val="part_37e3d91d5a8b4435b57c12a9ad9f9538"/>
                    <w:lock w:val="sdtLocked"/>
                    <w:richText/>
                  </w:sdtPr>
                  <w:sdtContent>
                    <w:p>
                      <w:pPr>
                        <w:widowControl w:val="0"/>
                        <w:tabs>
                          <w:tab w:val="left" w:pos="851"/>
                          <w:tab w:val="left" w:pos="1134"/>
                          <w:tab w:val="left" w:pos="1418"/>
                          <w:tab w:val="left" w:pos="1701"/>
                        </w:tabs>
                        <w:suppressAutoHyphens/>
                        <w:ind w:firstLine="709"/>
                        <w:jc w:val="both"/>
                      </w:pPr>
                      <w:sdt>
                        <w:sdtPr>
                          <w:alias w:val="Numeris"/>
                          <w:tag w:val="nr_37e3d91d5a8b4435b57c12a9ad9f9538"/>
                          <w:lock w:val="sdtLocked"/>
                          <w:richText/>
                        </w:sdtPr>
                        <w:sdtContent>
                          <w:r>
                            <w:t>41.5</w:t>
                          </w:r>
                        </w:sdtContent>
                      </w:sdt>
                      <w:r>
                        <w:t>.</w:t>
                        <w:tab/>
                        <w:t>kitus rezervus, nenurodytus Standarto 41.1–41.4 papunkčiuose. Šios sumos nurodomos Standarto 1–5 prieduose nustatytų formų ataskaitų straipsnyje „Kiti rezervai“.</w:t>
                      </w:r>
                    </w:p>
                  </w:sdtContent>
                </w:sdt>
              </w:sdtContent>
            </w:sdt>
            <w:sdt>
              <w:sdtPr>
                <w:alias w:val="42 p."/>
                <w:tag w:val="part_39a92b2389384e94b6f0d3a7c8aabb64"/>
                <w:lock w:val="sdtLocked"/>
                <w:richText/>
              </w:sdtPr>
              <w:sdtContent>
                <w:p>
                  <w:pPr>
                    <w:widowControl w:val="0"/>
                    <w:tabs>
                      <w:tab w:val="left" w:pos="1134"/>
                      <w:tab w:val="left" w:pos="1701"/>
                    </w:tabs>
                    <w:suppressAutoHyphens/>
                    <w:ind w:firstLine="709"/>
                    <w:jc w:val="both"/>
                  </w:pPr>
                  <w:sdt>
                    <w:sdtPr>
                      <w:alias w:val="Numeris"/>
                      <w:tag w:val="nr_39a92b2389384e94b6f0d3a7c8aabb64"/>
                      <w:lock w:val="sdtLocked"/>
                      <w:richText/>
                    </w:sdtPr>
                    <w:sdtContent>
                      <w:r>
                        <w:t>42</w:t>
                      </w:r>
                    </w:sdtContent>
                  </w:sdt>
                  <w:r>
                    <w:t>.</w:t>
                    <w:tab/>
                  </w:r>
                  <w:r>
                    <w:rPr>
                      <w:szCs w:val="24"/>
                      <w:lang w:eastAsia="lt-LT"/>
                    </w:rPr>
                    <w:t xml:space="preserve">Straipsnyje „Sukauptas perviršis ar deficitas“ rodoma sukaupto perviršio ir pelno ar deficito ir nuostolių suma. </w:t>
                  </w:r>
                  <w:r>
                    <w:t>Sukauptas perviršis ir deficitas grupuojamas į:</w:t>
                  </w:r>
                </w:p>
                <w:sdt>
                  <w:sdtPr>
                    <w:alias w:val="42.1 pp."/>
                    <w:tag w:val="part_8e0313a5a10b4520bf13707bf53a18f8"/>
                    <w:lock w:val="sdtLocked"/>
                    <w:richText/>
                  </w:sdtPr>
                  <w:sdtContent>
                    <w:p>
                      <w:pPr>
                        <w:widowControl w:val="0"/>
                        <w:tabs>
                          <w:tab w:val="left" w:pos="568"/>
                          <w:tab w:val="left" w:pos="1134"/>
                          <w:tab w:val="left" w:pos="1701"/>
                        </w:tabs>
                        <w:suppressAutoHyphens/>
                        <w:ind w:firstLine="709"/>
                        <w:jc w:val="both"/>
                      </w:pPr>
                      <w:sdt>
                        <w:sdtPr>
                          <w:alias w:val="Numeris"/>
                          <w:tag w:val="nr_8e0313a5a10b4520bf13707bf53a18f8"/>
                          <w:lock w:val="sdtLocked"/>
                          <w:richText/>
                        </w:sdtPr>
                        <w:sdtContent>
                          <w:r>
                            <w:t>42.1</w:t>
                          </w:r>
                        </w:sdtContent>
                      </w:sdt>
                      <w:r>
                        <w:t>.</w:t>
                        <w:tab/>
                        <w:t>viešojo sektoriaus subjektų sukauptą perviršį ir deficitą be nuosavybės metodo įtakos. Šios sumos nurodomos Standarto 1 priede nustatytos formos ataskaitų straipsnyje „Viešojo sektoriaus subjekto sukauptas perviršis ar deficitas be nuosavybės metodo įtakos“ ir Standarto 2–5 prieduose nustatytų formų ataskaitų straipsnyje „Viešojo sektoriaus subjektų sukauptas perviršis ar deficitas be nuosavybės metodo įtakos“;</w:t>
                      </w:r>
                    </w:p>
                  </w:sdtContent>
                </w:sdt>
                <w:sdt>
                  <w:sdtPr>
                    <w:alias w:val="42.2 pp."/>
                    <w:tag w:val="part_a4e938746d1440e796bbc3ab8cf44210"/>
                    <w:lock w:val="sdtLocked"/>
                    <w:richText/>
                  </w:sdtPr>
                  <w:sdtContent>
                    <w:p>
                      <w:pPr>
                        <w:widowControl w:val="0"/>
                        <w:tabs>
                          <w:tab w:val="left" w:pos="568"/>
                          <w:tab w:val="left" w:pos="1134"/>
                          <w:tab w:val="left" w:pos="1701"/>
                        </w:tabs>
                        <w:suppressAutoHyphens/>
                        <w:ind w:firstLine="709"/>
                        <w:jc w:val="both"/>
                      </w:pPr>
                      <w:sdt>
                        <w:sdtPr>
                          <w:alias w:val="Numeris"/>
                          <w:tag w:val="nr_a4e938746d1440e796bbc3ab8cf44210"/>
                          <w:lock w:val="sdtLocked"/>
                          <w:richText/>
                        </w:sdtPr>
                        <w:sdtContent>
                          <w:r>
                            <w:t>42.2</w:t>
                          </w:r>
                        </w:sdtContent>
                      </w:sdt>
                      <w:r>
                        <w:t>.</w:t>
                        <w:tab/>
                        <w:t>pelno siekiančių subjektų nepaskirstytąjį pelną ar nuostolius. Šios sumos nurodomos Standarto 2–5 prieduose nustatytų formų ataskaitų straipsnyje „Valdžios sektoriui priskiriamų įmonių nepaskirstytasis pelnas ar nuostoliai“;</w:t>
                      </w:r>
                    </w:p>
                  </w:sdtContent>
                </w:sdt>
                <w:sdt>
                  <w:sdtPr>
                    <w:alias w:val="42.3 pp."/>
                    <w:tag w:val="part_e22e6cb6771d4c02b3f7dbdc133e50b4"/>
                    <w:lock w:val="sdtLocked"/>
                    <w:richText/>
                  </w:sdtPr>
                  <w:sdtContent>
                    <w:p>
                      <w:pPr>
                        <w:widowControl w:val="0"/>
                        <w:tabs>
                          <w:tab w:val="left" w:pos="568"/>
                          <w:tab w:val="left" w:pos="1134"/>
                          <w:tab w:val="left" w:pos="1701"/>
                        </w:tabs>
                        <w:suppressAutoHyphens/>
                        <w:ind w:firstLine="709"/>
                        <w:jc w:val="both"/>
                      </w:pPr>
                      <w:sdt>
                        <w:sdtPr>
                          <w:alias w:val="Numeris"/>
                          <w:tag w:val="nr_e22e6cb6771d4c02b3f7dbdc133e50b4"/>
                          <w:lock w:val="sdtLocked"/>
                          <w:richText/>
                        </w:sdtPr>
                        <w:sdtContent>
                          <w:r>
                            <w:t>42.3</w:t>
                          </w:r>
                        </w:sdtContent>
                      </w:sdt>
                      <w:r>
                        <w:t>.</w:t>
                        <w:tab/>
                        <w:t xml:space="preserve">nuosavybės metodo įtaką. Standarto 1 priede nustatytos formos ataskaitos straipsnyje „Nuosavybės metodo įtaka“ rodoma viešojo sektoriaus subjektui tenkanti kontroliuojamųjų arba asocijuotųjų subjektų nuosavo kapitalo dalis, o Standarto 2–5 prieduose nustatytų formų ataskaitose – viešojo sektoriaus subjektų grupei tenkanti kontroliuojamųjų arba asocijuotųjų valdžios sektoriui nepriskiriamų akcinių bendrovių, viešųjų įstaigų, labdaros ir paramos fondų nuosavo kapitalo dalis. </w:t>
                      </w:r>
                    </w:p>
                  </w:sdtContent>
                </w:sdt>
              </w:sdtContent>
            </w:sdt>
            <w:sdt>
              <w:sdtPr>
                <w:alias w:val="43 p."/>
                <w:tag w:val="part_1856d382d6504d449e8f64ce1bad9a09"/>
                <w:lock w:val="sdtLocked"/>
                <w:richText/>
              </w:sdtPr>
              <w:sdtContent>
                <w:p>
                  <w:pPr>
                    <w:widowControl w:val="0"/>
                    <w:tabs>
                      <w:tab w:val="left" w:pos="1134"/>
                      <w:tab w:val="left" w:pos="1701"/>
                    </w:tabs>
                    <w:suppressAutoHyphens/>
                    <w:ind w:firstLine="709"/>
                    <w:jc w:val="both"/>
                  </w:pPr>
                  <w:sdt>
                    <w:sdtPr>
                      <w:alias w:val="Numeris"/>
                      <w:tag w:val="nr_1856d382d6504d449e8f64ce1bad9a09"/>
                      <w:lock w:val="sdtLocked"/>
                      <w:richText/>
                    </w:sdtPr>
                    <w:sdtContent>
                      <w:r>
                        <w:t>43</w:t>
                      </w:r>
                    </w:sdtContent>
                  </w:sdt>
                  <w:r>
                    <w:t>.</w:t>
                    <w:tab/>
                    <w:t>Informacija apie mažumos dalį pateikiama Standarto 2–5 prieduose nustatytų formų ataskaitų straipsnyje „Mažumos dalis“. Mažumos dalies apskaita tvarkoma ir viešojo sektoriaus subjektų grupės ataskaitoje informacija apie ją teikiama pagal 15-ąjį VSAFAS „Konsoliduotųjų finansinių ataskaitų rinkinys ir investicijos į kontroliuojamus subjektus“.</w:t>
                  </w:r>
                </w:p>
                <w:p>
                  <w:pPr>
                    <w:widowControl w:val="0"/>
                    <w:tabs>
                      <w:tab w:val="left" w:pos="851"/>
                      <w:tab w:val="left" w:pos="993"/>
                    </w:tabs>
                    <w:suppressAutoHyphens/>
                    <w:ind w:firstLine="567"/>
                    <w:jc w:val="both"/>
                  </w:pPr>
                </w:p>
              </w:sdtContent>
            </w:sdt>
          </w:sdtContent>
        </w:sdt>
        <w:sdt>
          <w:sdtPr>
            <w:alias w:val="skyrius"/>
            <w:tag w:val="part_ce0581c3d91d410d8b27c8f7ca396ce7"/>
            <w:lock w:val="sdtLocked"/>
            <w:richText/>
          </w:sdtPr>
          <w:sdtContent>
            <w:p>
              <w:pPr>
                <w:keepLines/>
                <w:widowControl w:val="0"/>
                <w:tabs>
                  <w:tab w:val="left" w:pos="851"/>
                  <w:tab w:val="left" w:pos="993"/>
                </w:tabs>
                <w:suppressAutoHyphens/>
                <w:jc w:val="center"/>
                <w:rPr>
                  <w:b/>
                  <w:bCs/>
                  <w:caps/>
                </w:rPr>
              </w:pPr>
              <w:sdt>
                <w:sdtPr>
                  <w:alias w:val="Numeris"/>
                  <w:tag w:val="nr_ce0581c3d91d410d8b27c8f7ca396ce7"/>
                  <w:lock w:val="sdtLocked"/>
                  <w:richText/>
                </w:sdtPr>
                <w:sdtContent>
                  <w:r>
                    <w:rPr>
                      <w:b/>
                      <w:bCs/>
                      <w:caps/>
                    </w:rPr>
                    <w:t>VIII</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ce0581c3d91d410d8b27c8f7ca396ce7"/>
                  <w:lock w:val="sdtLocked"/>
                  <w:richText/>
                </w:sdtPr>
                <w:sdtContent>
                  <w:r>
                    <w:rPr>
                      <w:b/>
                      <w:bCs/>
                      <w:caps/>
                    </w:rPr>
                    <w:t>PELNO SIEKIANČIŲ SUBJEKTŲ INFORMACIJOS PATEIKIMAS VIEŠOJO SEKTORIAUS SUBJEKTŲ GRUPĖS ATASKAITOJE</w:t>
                  </w:r>
                </w:sdtContent>
              </w:sdt>
            </w:p>
            <w:p>
              <w:pPr>
                <w:widowControl w:val="0"/>
                <w:tabs>
                  <w:tab w:val="left" w:pos="1134"/>
                </w:tabs>
                <w:suppressAutoHyphens/>
                <w:jc w:val="both"/>
                <w:rPr>
                  <w:szCs w:val="24"/>
                  <w:lang w:eastAsia="lt-LT"/>
                </w:rPr>
              </w:pPr>
            </w:p>
            <w:sdt>
              <w:sdtPr>
                <w:alias w:val="44 p."/>
                <w:tag w:val="part_a92e5d800e4f43d4b324418774aef860"/>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a92e5d800e4f43d4b324418774aef860"/>
                      <w:lock w:val="sdtLocked"/>
                      <w:richText/>
                    </w:sdtPr>
                    <w:sdtContent>
                      <w:r>
                        <w:t>44</w:t>
                      </w:r>
                    </w:sdtContent>
                  </w:sdt>
                  <w:r>
                    <w:t>.</w:t>
                    <w:tab/>
                    <w:t>Rengiant viešojo sektoriaus subjektų grupės ataskaitą, prie viešojo sektoriaus subjektų grupės priskiriamų pelno siekiančių subjektų:</w:t>
                  </w:r>
                </w:p>
                <w:sdt>
                  <w:sdtPr>
                    <w:alias w:val="44.1 pp."/>
                    <w:tag w:val="part_1a9292aaef3f4b97ad7655bea11a3cce"/>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1a9292aaef3f4b97ad7655bea11a3cce"/>
                          <w:lock w:val="sdtLocked"/>
                          <w:richText/>
                        </w:sdtPr>
                        <w:sdtContent>
                          <w:r>
                            <w:t>44.1</w:t>
                          </w:r>
                        </w:sdtContent>
                      </w:sdt>
                      <w:r>
                        <w:t>.</w:t>
                        <w:tab/>
                        <w:t>turtas, įsipareigojimai, nuosavas kapitalas įtraukiami į jų turinį atitinkančius viešojo sektoriaus subjektų grupės ataskaitos straipsnius;</w:t>
                      </w:r>
                    </w:p>
                  </w:sdtContent>
                </w:sdt>
                <w:sdt>
                  <w:sdtPr>
                    <w:alias w:val="44.2 pp."/>
                    <w:tag w:val="part_342ec46cc54245839ae771002ace39ac"/>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342ec46cc54245839ae771002ace39ac"/>
                          <w:lock w:val="sdtLocked"/>
                          <w:richText/>
                        </w:sdtPr>
                        <w:sdtContent>
                          <w:r>
                            <w:t>44.2</w:t>
                          </w:r>
                        </w:sdtContent>
                      </w:sdt>
                      <w:r>
                        <w:t>.</w:t>
                        <w:tab/>
                        <w:t>investicinis turtas priskiriamas ilgalaikio materialiojo turto straipsniams pagal ilgalaikio materialiojo turto grupę;</w:t>
                      </w:r>
                    </w:p>
                  </w:sdtContent>
                </w:sdt>
                <w:sdt>
                  <w:sdtPr>
                    <w:alias w:val="44.3 pp."/>
                    <w:tag w:val="part_73fcddd442b8475184c37687a99ec417"/>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73fcddd442b8475184c37687a99ec417"/>
                          <w:lock w:val="sdtLocked"/>
                          <w:richText/>
                        </w:sdtPr>
                        <w:sdtContent>
                          <w:r>
                            <w:t>44.3</w:t>
                          </w:r>
                        </w:sdtContent>
                      </w:sdt>
                      <w:r>
                        <w:t>.</w:t>
                        <w:tab/>
                        <w:t>dotacijos ilgalaikiam turtui įsigyti priskiriamos atitinkamiems finansavimo sumų straipsniams;</w:t>
                      </w:r>
                    </w:p>
                  </w:sdtContent>
                </w:sdt>
                <w:sdt>
                  <w:sdtPr>
                    <w:alias w:val="44.4 pp."/>
                    <w:tag w:val="part_d11d299919874f5f98b86e53b18eb229"/>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d11d299919874f5f98b86e53b18eb229"/>
                          <w:lock w:val="sdtLocked"/>
                          <w:richText/>
                        </w:sdtPr>
                        <w:sdtContent>
                          <w:r>
                            <w:t>44.4</w:t>
                          </w:r>
                        </w:sdtContent>
                      </w:sdt>
                      <w:r>
                        <w:t>.</w:t>
                        <w:tab/>
                        <w:t>atidėtojo pelno mokesčio turtas priskiriamas kitam ilgalaikiam turtui;</w:t>
                      </w:r>
                    </w:p>
                  </w:sdtContent>
                </w:sdt>
                <w:sdt>
                  <w:sdtPr>
                    <w:alias w:val="44.5 pp."/>
                    <w:tag w:val="part_9f4bbead4e3746b08c81a4df215359eb"/>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9f4bbead4e3746b08c81a4df215359eb"/>
                          <w:lock w:val="sdtLocked"/>
                          <w:richText/>
                        </w:sdtPr>
                        <w:sdtContent>
                          <w:r>
                            <w:t>44.5</w:t>
                          </w:r>
                        </w:sdtContent>
                      </w:sdt>
                      <w:r>
                        <w:t>.</w:t>
                        <w:tab/>
                        <w:t>atidėtojo pelno mokesčio įsipareigojimai priskiriami atidėjiniams;</w:t>
                      </w:r>
                    </w:p>
                  </w:sdtContent>
                </w:sdt>
                <w:sdt>
                  <w:sdtPr>
                    <w:alias w:val="44.6 pp."/>
                    <w:tag w:val="part_f871d664695845139952ac1083e88e26"/>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f871d664695845139952ac1083e88e26"/>
                          <w:lock w:val="sdtLocked"/>
                          <w:richText/>
                        </w:sdtPr>
                        <w:sdtContent>
                          <w:r>
                            <w:t>44.6</w:t>
                          </w:r>
                        </w:sdtContent>
                      </w:sdt>
                      <w:r>
                        <w:t>.</w:t>
                        <w:tab/>
                        <w:t>ilgalaikės ateinančių laikotarpių sąnaudos priskiriamos ilgalaikiam turtui ir pateikiamos straipsnyje „Kitas ilgalaikis turtas“;</w:t>
                      </w:r>
                    </w:p>
                  </w:sdtContent>
                </w:sdt>
                <w:sdt>
                  <w:sdtPr>
                    <w:alias w:val="44.7 pp."/>
                    <w:tag w:val="part_ef9d8322892b4c22843aa892bdcbb3b0"/>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ef9d8322892b4c22843aa892bdcbb3b0"/>
                          <w:lock w:val="sdtLocked"/>
                          <w:richText/>
                        </w:sdtPr>
                        <w:sdtContent>
                          <w:r>
                            <w:t>44.7</w:t>
                          </w:r>
                        </w:sdtContent>
                      </w:sdt>
                      <w:r>
                        <w:t>.</w:t>
                        <w:tab/>
                        <w:t>trumpalaikės ateinančių laikotarpių sąnaudos priskiriamos trumpalaikiam turtui ir pateikiamos straipsnyje „Iš anksto sumokėtos sumos“;</w:t>
                      </w:r>
                    </w:p>
                  </w:sdtContent>
                </w:sdt>
                <w:sdt>
                  <w:sdtPr>
                    <w:alias w:val="44.8 pp."/>
                    <w:tag w:val="part_886dc1a10a44417e80996e0132ec64c4"/>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886dc1a10a44417e80996e0132ec64c4"/>
                          <w:lock w:val="sdtLocked"/>
                          <w:richText/>
                        </w:sdtPr>
                        <w:sdtContent>
                          <w:r>
                            <w:t>44.8</w:t>
                          </w:r>
                        </w:sdtContent>
                      </w:sdt>
                      <w:r>
                        <w:t>.</w:t>
                        <w:tab/>
                        <w:t>ilgalaikės sukauptos pajamos priskiriamos ilgalaikiam finansiniam turtui ir pateikiamos straipsnyje „Kitas finansinis turtas“;</w:t>
                      </w:r>
                    </w:p>
                  </w:sdtContent>
                </w:sdt>
                <w:sdt>
                  <w:sdtPr>
                    <w:alias w:val="44.9 pp."/>
                    <w:tag w:val="part_b363cbca3a724126961ef95a4b5d45cd"/>
                    <w:lock w:val="sdtLocked"/>
                    <w:richText/>
                  </w:sdtPr>
                  <w:sdtContent>
                    <w:p>
                      <w:pPr>
                        <w:widowControl w:val="0"/>
                        <w:tabs>
                          <w:tab w:val="left" w:pos="709"/>
                          <w:tab w:val="left" w:pos="851"/>
                          <w:tab w:val="left" w:pos="1276"/>
                          <w:tab w:val="left" w:pos="1418"/>
                          <w:tab w:val="left" w:pos="1701"/>
                          <w:tab w:val="left" w:pos="1843"/>
                          <w:tab w:val="left" w:pos="1985"/>
                          <w:tab w:val="left" w:pos="2268"/>
                        </w:tabs>
                        <w:suppressAutoHyphens/>
                        <w:ind w:firstLine="709"/>
                        <w:jc w:val="both"/>
                      </w:pPr>
                      <w:sdt>
                        <w:sdtPr>
                          <w:alias w:val="Numeris"/>
                          <w:tag w:val="nr_b363cbca3a724126961ef95a4b5d45cd"/>
                          <w:lock w:val="sdtLocked"/>
                          <w:richText/>
                        </w:sdtPr>
                        <w:sdtContent>
                          <w:r>
                            <w:t>44.9</w:t>
                          </w:r>
                        </w:sdtContent>
                      </w:sdt>
                      <w:r>
                        <w:t>.</w:t>
                        <w:tab/>
                        <w:t xml:space="preserve"> trumpalaikės sukauptos pajamos priskiriamos per vienus metus gautinoms sumoms ir pateikiamos straipsnyje „Kitos gautinos sumos“;</w:t>
                      </w:r>
                    </w:p>
                  </w:sdtContent>
                </w:sdt>
                <w:sdt>
                  <w:sdtPr>
                    <w:alias w:val="44.10 pp."/>
                    <w:tag w:val="part_21b22df741804ecfacf5cbfc16cb9565"/>
                    <w:lock w:val="sdtLocked"/>
                    <w:richText/>
                  </w:sdtPr>
                  <w:sdtContent>
                    <w:p>
                      <w:pPr>
                        <w:widowControl w:val="0"/>
                        <w:tabs>
                          <w:tab w:val="left" w:pos="1134"/>
                        </w:tabs>
                        <w:suppressAutoHyphens/>
                        <w:ind w:firstLine="709"/>
                        <w:jc w:val="both"/>
                      </w:pPr>
                      <w:sdt>
                        <w:sdtPr>
                          <w:alias w:val="Numeris"/>
                          <w:tag w:val="nr_21b22df741804ecfacf5cbfc16cb9565"/>
                          <w:lock w:val="sdtLocked"/>
                          <w:richText/>
                        </w:sdtPr>
                        <w:sdtContent>
                          <w:r>
                            <w:t>44.10</w:t>
                          </w:r>
                        </w:sdtContent>
                      </w:sdt>
                      <w:r>
                        <w:t>.</w:t>
                        <w:tab/>
                        <w:t>ilgalaikės sukauptos sąnaudos priskiriamos ilgalaikiams įsipareigojimams ir pateikiamos straipsnyje „Kiti ilgalaikiai įsipareigojimai“;</w:t>
                      </w:r>
                      <w:r>
                        <w:rPr>
                          <w:sz w:val="16"/>
                          <w:szCs w:val="16"/>
                        </w:rPr>
                        <w:t xml:space="preserve"> </w:t>
                      </w:r>
                    </w:p>
                  </w:sdtContent>
                </w:sdt>
                <w:sdt>
                  <w:sdtPr>
                    <w:alias w:val="44.11 pp."/>
                    <w:tag w:val="part_9b6fbffb544c47468eea4693a1bf075c"/>
                    <w:lock w:val="sdtLocked"/>
                    <w:richText/>
                  </w:sdtPr>
                  <w:sdtContent>
                    <w:p>
                      <w:pPr>
                        <w:widowControl w:val="0"/>
                        <w:suppressAutoHyphens/>
                        <w:ind w:firstLine="709"/>
                        <w:jc w:val="both"/>
                      </w:pPr>
                      <w:sdt>
                        <w:sdtPr>
                          <w:alias w:val="Numeris"/>
                          <w:tag w:val="nr_9b6fbffb544c47468eea4693a1bf075c"/>
                          <w:lock w:val="sdtLocked"/>
                          <w:richText/>
                        </w:sdtPr>
                        <w:sdtContent>
                          <w:r>
                            <w:t>44.11</w:t>
                          </w:r>
                        </w:sdtContent>
                      </w:sdt>
                      <w:r>
                        <w:t>.</w:t>
                        <w:tab/>
                        <w:t>trumpalaikės sukauptos sąnaudos priskiriamos trumpalaikiams įsipareigojimams ir pateikiamos kitų trumpalaikių įsipareigojimų straipsnyje „Kiti įsipareigojimai“;</w:t>
                      </w:r>
                    </w:p>
                  </w:sdtContent>
                </w:sdt>
                <w:sdt>
                  <w:sdtPr>
                    <w:alias w:val="44.12 pp."/>
                    <w:tag w:val="part_8c81958c10b946d0a14753271b5b0439"/>
                    <w:lock w:val="sdtLocked"/>
                    <w:richText/>
                  </w:sdtPr>
                  <w:sdtContent>
                    <w:p>
                      <w:pPr>
                        <w:widowControl w:val="0"/>
                        <w:suppressAutoHyphens/>
                        <w:ind w:firstLine="709"/>
                        <w:jc w:val="both"/>
                      </w:pPr>
                      <w:sdt>
                        <w:sdtPr>
                          <w:alias w:val="Numeris"/>
                          <w:tag w:val="nr_8c81958c10b946d0a14753271b5b0439"/>
                          <w:lock w:val="sdtLocked"/>
                          <w:richText/>
                        </w:sdtPr>
                        <w:sdtContent>
                          <w:r>
                            <w:t>44.12</w:t>
                          </w:r>
                        </w:sdtContent>
                      </w:sdt>
                      <w:r>
                        <w:t>.</w:t>
                        <w:tab/>
                        <w:t>ilgalaikės ateinančių laikotarpių pajamos priskiriamos ilgalaikiams įsipareigojimams ir pateikiamos straipsnyje „Kiti ilgalaikiai įsipareigojimai“;</w:t>
                      </w:r>
                    </w:p>
                  </w:sdtContent>
                </w:sdt>
                <w:sdt>
                  <w:sdtPr>
                    <w:alias w:val="44.13 pp."/>
                    <w:tag w:val="part_69ae3ee792f74d2aac862d0939a8ac66"/>
                    <w:lock w:val="sdtLocked"/>
                    <w:richText/>
                  </w:sdtPr>
                  <w:sdtContent>
                    <w:p>
                      <w:pPr>
                        <w:widowControl w:val="0"/>
                        <w:suppressAutoHyphens/>
                        <w:ind w:firstLine="709"/>
                        <w:jc w:val="both"/>
                      </w:pPr>
                      <w:sdt>
                        <w:sdtPr>
                          <w:alias w:val="Numeris"/>
                          <w:tag w:val="nr_69ae3ee792f74d2aac862d0939a8ac66"/>
                          <w:lock w:val="sdtLocked"/>
                          <w:richText/>
                        </w:sdtPr>
                        <w:sdtContent>
                          <w:r>
                            <w:t>44.13</w:t>
                          </w:r>
                        </w:sdtContent>
                      </w:sdt>
                      <w:r>
                        <w:t>.</w:t>
                        <w:tab/>
                        <w:t>trumpalaikės ateinančių laikotarpių pajamos priskiriamos trumpalaikiams įsipareigojimams ir pateikiamos kitų trumpalaikių įsipareigojimų straipsnyje „Kiti įsipareigojimai“.</w:t>
                      </w:r>
                    </w:p>
                    <w:p>
                      <w:pPr>
                        <w:widowControl w:val="0"/>
                        <w:tabs>
                          <w:tab w:val="left" w:pos="1134"/>
                        </w:tabs>
                        <w:suppressAutoHyphens/>
                        <w:jc w:val="both"/>
                        <w:rPr>
                          <w:szCs w:val="24"/>
                          <w:lang w:eastAsia="lt-LT"/>
                        </w:rPr>
                      </w:pPr>
                    </w:p>
                  </w:sdtContent>
                </w:sdt>
              </w:sdtContent>
            </w:sdt>
          </w:sdtContent>
        </w:sdt>
        <w:sdt>
          <w:sdtPr>
            <w:alias w:val="skyrius"/>
            <w:tag w:val="part_baf9093a475c40e19d8a2e65874dd966"/>
            <w:lock w:val="sdtLocked"/>
            <w:richText/>
          </w:sdtPr>
          <w:sdtContent>
            <w:p>
              <w:pPr>
                <w:keepLines/>
                <w:widowControl w:val="0"/>
                <w:tabs>
                  <w:tab w:val="left" w:pos="851"/>
                  <w:tab w:val="left" w:pos="993"/>
                </w:tabs>
                <w:suppressAutoHyphens/>
                <w:jc w:val="center"/>
                <w:rPr>
                  <w:b/>
                  <w:bCs/>
                  <w:caps/>
                </w:rPr>
              </w:pPr>
              <w:sdt>
                <w:sdtPr>
                  <w:alias w:val="Numeris"/>
                  <w:tag w:val="nr_baf9093a475c40e19d8a2e65874dd966"/>
                  <w:lock w:val="sdtLocked"/>
                  <w:richText/>
                </w:sdtPr>
                <w:sdtContent>
                  <w:r>
                    <w:rPr>
                      <w:b/>
                      <w:bCs/>
                      <w:caps/>
                    </w:rPr>
                    <w:t>IX</w:t>
                  </w:r>
                </w:sdtContent>
              </w:sdt>
              <w:r>
                <w:rPr>
                  <w:b/>
                  <w:bCs/>
                  <w:caps/>
                </w:rPr>
                <w:t xml:space="preserve"> SKYRIUS</w:t>
              </w:r>
            </w:p>
            <w:p>
              <w:pPr>
                <w:keepLines/>
                <w:widowControl w:val="0"/>
                <w:tabs>
                  <w:tab w:val="left" w:pos="851"/>
                  <w:tab w:val="left" w:pos="993"/>
                </w:tabs>
                <w:suppressAutoHyphens/>
                <w:jc w:val="center"/>
                <w:rPr>
                  <w:b/>
                  <w:bCs/>
                  <w:caps/>
                </w:rPr>
              </w:pPr>
              <w:sdt>
                <w:sdtPr>
                  <w:alias w:val="Pavadinimas"/>
                  <w:tag w:val="title_baf9093a475c40e19d8a2e65874dd966"/>
                  <w:lock w:val="sdtLocked"/>
                  <w:richText/>
                </w:sdtPr>
                <w:sdtContent>
                  <w:r>
                    <w:rPr>
                      <w:b/>
                      <w:bCs/>
                      <w:caps/>
                    </w:rPr>
                    <w:t>INFORMACIJOS PATEIKIMAS FINANSINIŲ ATASKAITŲ AIŠKINAMAJAME RAŠTE</w:t>
                  </w:r>
                </w:sdtContent>
              </w:sdt>
            </w:p>
            <w:p>
              <w:pPr>
                <w:keepLines/>
                <w:widowControl w:val="0"/>
                <w:tabs>
                  <w:tab w:val="left" w:pos="851"/>
                  <w:tab w:val="left" w:pos="993"/>
                </w:tabs>
                <w:suppressAutoHyphens/>
                <w:ind w:firstLine="567"/>
                <w:jc w:val="both"/>
                <w:rPr>
                  <w:bCs/>
                  <w:caps/>
                </w:rPr>
              </w:pPr>
            </w:p>
            <w:sdt>
              <w:sdtPr>
                <w:alias w:val="45 p."/>
                <w:tag w:val="part_cdb20964f0a849a6aae70248ebe6bfd1"/>
                <w:lock w:val="sdtLocked"/>
                <w:richText/>
              </w:sdtPr>
              <w:sdtContent>
                <w:p>
                  <w:pPr>
                    <w:widowControl w:val="0"/>
                    <w:tabs>
                      <w:tab w:val="left" w:pos="1134"/>
                    </w:tabs>
                    <w:suppressAutoHyphens/>
                    <w:ind w:firstLine="709"/>
                    <w:jc w:val="both"/>
                    <w:rPr>
                      <w:szCs w:val="24"/>
                      <w:lang w:eastAsia="lt-LT"/>
                    </w:rPr>
                  </w:pPr>
                  <w:sdt>
                    <w:sdtPr>
                      <w:alias w:val="Numeris"/>
                      <w:tag w:val="nr_cdb20964f0a849a6aae70248ebe6bfd1"/>
                      <w:lock w:val="sdtLocked"/>
                      <w:richText/>
                    </w:sdtPr>
                    <w:sdtContent>
                      <w:r>
                        <w:rPr>
                          <w:szCs w:val="24"/>
                          <w:lang w:eastAsia="lt-LT"/>
                        </w:rPr>
                        <w:t>45</w:t>
                      </w:r>
                    </w:sdtContent>
                  </w:sdt>
                  <w:r>
                    <w:rPr>
                      <w:szCs w:val="24"/>
                      <w:lang w:eastAsia="lt-LT"/>
                    </w:rPr>
                    <w:t>.</w:t>
                    <w:tab/>
                    <w:t xml:space="preserve">Ataskaitos stulpelyje „Pastabos Nr.“ prie kiekvieno straipsnio turi būti nurodytas finansinių ataskaitų aiškinamojo rašto (toliau – aiškinamasis raštas) pastabos, t. y. detalizuojančios informacijos apie ataskaitos straipsnyje nurodytą finansinių ataskaitų elementą, numeris. Informacijai, kuri turi būti pateikiama aiškinamajame rašte, taikomi reikalavimai nurodyti 6-ajame </w:t>
                  </w:r>
                  <w:r>
                    <w:t>viešojo sektoriaus apskaitos ir finansinės atskaitomybės standarte</w:t>
                  </w:r>
                  <w:r>
                    <w:rPr>
                      <w:szCs w:val="24"/>
                      <w:lang w:eastAsia="lt-LT"/>
                    </w:rPr>
                    <w:t xml:space="preserve"> „Finansinių ataskaitų aiškinamasis raštas“</w:t>
                  </w:r>
                  <w:r>
                    <w:rPr>
                      <w:lang w:eastAsia="lt-LT"/>
                    </w:rPr>
                    <w:t>,</w:t>
                  </w:r>
                  <w:r>
                    <w:t xml:space="preserve"> patvirtintame Lietuvos Respublikos finansų ministro 2008 m. rugpjūčio 18 d. įsakymu Nr. 1K-247 „Dėl viešojo sektoriaus apskaitos ir finansinės atskaitomybės 6-ojo standarto patvirtinimo“,</w:t>
                  </w:r>
                  <w:r>
                    <w:rPr>
                      <w:szCs w:val="24"/>
                      <w:lang w:eastAsia="lt-LT"/>
                    </w:rPr>
                    <w:t xml:space="preserve"> (toliau – 6-asis VSAFAS „Finansinių ataskaitų aiškinamasis raštas“) ir kituose VSAFAS, reglamentuojančiuose informacijos pateikimą.</w:t>
                  </w:r>
                </w:p>
              </w:sdtContent>
            </w:sdt>
            <w:sdt>
              <w:sdtPr>
                <w:alias w:val="46 p."/>
                <w:tag w:val="part_d82e5ffeefdf448aa5848bd9eb9078b1"/>
                <w:lock w:val="sdtLocked"/>
                <w:richText/>
              </w:sdtPr>
              <w:sdtContent>
                <w:p>
                  <w:pPr>
                    <w:widowControl w:val="0"/>
                    <w:tabs>
                      <w:tab w:val="left" w:pos="1134"/>
                    </w:tabs>
                    <w:suppressAutoHyphens/>
                    <w:ind w:firstLine="709"/>
                    <w:jc w:val="both"/>
                    <w:rPr>
                      <w:szCs w:val="24"/>
                      <w:lang w:eastAsia="lt-LT"/>
                    </w:rPr>
                  </w:pPr>
                  <w:sdt>
                    <w:sdtPr>
                      <w:alias w:val="Numeris"/>
                      <w:tag w:val="nr_d82e5ffeefdf448aa5848bd9eb9078b1"/>
                      <w:lock w:val="sdtLocked"/>
                      <w:richText/>
                    </w:sdtPr>
                    <w:sdtContent>
                      <w:r>
                        <w:rPr>
                          <w:szCs w:val="24"/>
                          <w:lang w:eastAsia="lt-LT"/>
                        </w:rPr>
                        <w:t>46</w:t>
                      </w:r>
                    </w:sdtContent>
                  </w:sdt>
                  <w:r>
                    <w:rPr>
                      <w:szCs w:val="24"/>
                      <w:lang w:eastAsia="lt-LT"/>
                    </w:rPr>
                    <w:t>.</w:t>
                    <w:tab/>
                    <w:t xml:space="preserve">Jeigu 6-ajame </w:t>
                  </w:r>
                  <w:r>
                    <w:t>VSAFAS</w:t>
                  </w:r>
                  <w:r>
                    <w:rPr>
                      <w:szCs w:val="24"/>
                      <w:lang w:eastAsia="lt-LT"/>
                    </w:rPr>
                    <w:t xml:space="preserve"> „Finansinių ataskaitų aiškinamasis raštas“ ir kituose VSAFAS nėra reikalavimų detalizuoti kai kuriuose ataskaitos straipsniuose pateiktos informacijos, viešojo sektoriaus subjektas turi atsižvelgti į informacijos reikšmingumą, kuris paaiškintas 1-ajame </w:t>
                  </w:r>
                  <w:r>
                    <w:t>VSAFAS</w:t>
                  </w:r>
                  <w:r>
                    <w:rPr>
                      <w:szCs w:val="24"/>
                      <w:lang w:eastAsia="lt-LT"/>
                    </w:rPr>
                    <w:t xml:space="preserve"> „Informacijos pateikimas finansinių ataskaitų rinkinyje“, ir priimti sprendimą dėl papildomos informacijos pateikimo ar sumų detalizavimo aiškinamajame rašte.</w:t>
                  </w:r>
                </w:p>
                <w:p>
                  <w:pPr>
                    <w:widowControl w:val="0"/>
                    <w:tabs>
                      <w:tab w:val="left" w:pos="1134"/>
                    </w:tabs>
                    <w:suppressAutoHyphens/>
                    <w:jc w:val="center"/>
                    <w:rPr>
                      <w:szCs w:val="24"/>
                      <w:lang w:eastAsia="lt-LT"/>
                    </w:rPr>
                  </w:pPr>
                  <w:r>
                    <w:rPr>
                      <w:szCs w:val="24"/>
                      <w:lang w:eastAsia="lt-LT"/>
                    </w:rPr>
                    <w:t>__________________________</w:t>
                  </w:r>
                </w:p>
              </w:sdtContent>
            </w:sdt>
          </w:sdtContent>
        </w:sdt>
      </w:sdtContent>
    </w:sdt>
    <w:sdt>
      <w:sdtPr>
        <w:alias w:val="1 pr."/>
        <w:tag w:val="part_19978df4644c473dabf7c5e42ac49428"/>
        <w:lock w:val="sdtLocked"/>
        <w:richText/>
      </w:sdtPr>
      <w:sdtContent>
        <w:p>
          <w:pPr>
            <w:ind w:left="4536"/>
            <w:rPr>
              <w:szCs w:val="24"/>
              <w:lang w:eastAsia="lt-LT"/>
            </w:rPr>
          </w:pPr>
          <w:r>
            <w:br w:type="page"/>
          </w:r>
          <w:r>
            <w:rPr>
              <w:szCs w:val="24"/>
              <w:lang w:eastAsia="lt-LT"/>
            </w:rPr>
            <w:t>2-ojo viešojo sektoriaus apskaitos ir finansinės atskaitomybės standarto „Finansinės būklės ataskaita“</w:t>
          </w:r>
        </w:p>
        <w:p>
          <w:pPr>
            <w:tabs>
              <w:tab w:val="left" w:pos="933"/>
              <w:tab w:val="left" w:pos="4149"/>
              <w:tab w:val="left" w:pos="6103"/>
              <w:tab w:val="left" w:pos="7365"/>
              <w:tab w:val="left" w:pos="8901"/>
              <w:tab w:val="left" w:pos="10344"/>
            </w:tabs>
            <w:ind w:left="4536"/>
            <w:rPr>
              <w:szCs w:val="24"/>
              <w:lang w:eastAsia="lt-LT"/>
            </w:rPr>
          </w:pPr>
          <w:sdt>
            <w:sdtPr>
              <w:alias w:val="Numeris"/>
              <w:tag w:val="nr_19978df4644c473dabf7c5e42ac49428"/>
              <w:lock w:val="sdtLocked"/>
              <w:richText/>
            </w:sdtPr>
            <w:sdtContent>
              <w:r>
                <w:rPr>
                  <w:szCs w:val="24"/>
                  <w:lang w:eastAsia="lt-LT"/>
                </w:rPr>
                <w:t>1</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19978df4644c473dabf7c5e42ac49428"/>
              <w:lock w:val="sdtLocked"/>
              <w:richText/>
            </w:sdtPr>
            <w:sdtContent>
              <w:r>
                <w:rPr>
                  <w:b/>
                  <w:bCs/>
                  <w:szCs w:val="24"/>
                  <w:lang w:eastAsia="lt-LT"/>
                </w:rPr>
                <w:t>(Finansinės būklės ataskaitos forma)</w:t>
              </w:r>
            </w:sdtContent>
          </w:sdt>
        </w:p>
        <w:p>
          <w:pPr>
            <w:jc w:val="center"/>
            <w:rPr>
              <w:b/>
              <w:bCs/>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pavadinimas)</w:t>
          </w: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parengusio finansinės būklės ataskaitą, kodas, adresas)</w:t>
          </w:r>
        </w:p>
        <w:p>
          <w:pPr>
            <w:tabs>
              <w:tab w:val="left" w:pos="10344"/>
              <w:tab w:val="left" w:pos="11584"/>
            </w:tabs>
            <w:jc w:val="center"/>
            <w:rPr>
              <w:szCs w:val="24"/>
              <w:lang w:eastAsia="lt-LT"/>
            </w:rPr>
          </w:pPr>
        </w:p>
        <w:sdt>
          <w:sdtPr>
            <w:alias w:val="skirsnis"/>
            <w:tag w:val="part_bac93f15fef24d119aebb7fb209a0d14"/>
            <w:lock w:val="sdtLocked"/>
            <w:richText/>
          </w:sdtPr>
          <w:sdtContent>
            <w:sdt>
              <w:sdtPr>
                <w:alias w:val="Pavadinimas"/>
                <w:tag w:val="title_bac93f15fef24d119aebb7fb209a0d14"/>
                <w:lock w:val="sdtLocked"/>
                <w:richText/>
              </w:sdtPr>
              <w:sdtContent>
                <w:p>
                  <w:pPr>
                    <w:jc w:val="center"/>
                    <w:rPr>
                      <w:b/>
                      <w:bCs/>
                      <w:szCs w:val="24"/>
                      <w:lang w:eastAsia="lt-LT"/>
                    </w:rPr>
                  </w:pPr>
                  <w:r>
                    <w:rPr>
                      <w:b/>
                      <w:bCs/>
                      <w:szCs w:val="24"/>
                      <w:lang w:eastAsia="lt-LT"/>
                    </w:rPr>
                    <w:t>FINANSINĖS BŪKLĖS ATASKAITA</w:t>
                  </w:r>
                </w:p>
                <w:p>
                  <w:pPr>
                    <w:jc w:val="center"/>
                    <w:rPr>
                      <w:b/>
                      <w:bCs/>
                      <w:szCs w:val="24"/>
                      <w:lang w:eastAsia="lt-LT"/>
                    </w:rPr>
                  </w:pPr>
                  <w:r>
                    <w:rPr>
                      <w:b/>
                      <w:bCs/>
                      <w:szCs w:val="24"/>
                      <w:lang w:eastAsia="lt-LT"/>
                    </w:rPr>
                    <w:t>PAGAL 20_____M.______D. DUOMENIS</w:t>
                  </w:r>
                </w:p>
              </w:sdtContent>
            </w:sdt>
            <w:p>
              <w:pPr>
                <w:tabs>
                  <w:tab w:val="left" w:pos="913"/>
                  <w:tab w:val="left" w:pos="6320"/>
                  <w:tab w:val="left" w:pos="9372"/>
                  <w:tab w:val="left" w:pos="10344"/>
                  <w:tab w:val="left" w:pos="11584"/>
                </w:tabs>
                <w:jc w:val="center"/>
                <w:rPr>
                  <w:szCs w:val="24"/>
                  <w:lang w:eastAsia="lt-LT"/>
                </w:rPr>
              </w:pPr>
            </w:p>
            <w:p>
              <w:pPr>
                <w:jc w:val="center"/>
                <w:rPr>
                  <w:szCs w:val="24"/>
                  <w:lang w:eastAsia="lt-LT"/>
                </w:rPr>
              </w:pPr>
              <w:r>
                <w:rPr>
                  <w:szCs w:val="24"/>
                  <w:lang w:eastAsia="lt-LT"/>
                </w:rPr>
                <w:t>_____________________Nr. _____</w:t>
              </w:r>
            </w:p>
            <w:p>
              <w:pPr>
                <w:jc w:val="center"/>
                <w:rPr>
                  <w:szCs w:val="24"/>
                  <w:lang w:eastAsia="lt-LT"/>
                </w:rPr>
              </w:pPr>
              <w:r>
                <w:rPr>
                  <w:szCs w:val="24"/>
                  <w:lang w:eastAsia="lt-LT"/>
                </w:rPr>
                <w:t>(data)</w:t>
              </w:r>
            </w:p>
            <w:p>
              <w:pPr>
                <w:tabs>
                  <w:tab w:val="left" w:pos="913"/>
                  <w:tab w:val="left" w:pos="6320"/>
                </w:tabs>
                <w:jc w:val="right"/>
                <w:rPr>
                  <w:i/>
                  <w:iCs/>
                  <w:szCs w:val="24"/>
                  <w:lang w:eastAsia="lt-LT"/>
                </w:rPr>
              </w:pPr>
            </w:p>
            <w:p>
              <w:pPr>
                <w:tabs>
                  <w:tab w:val="left" w:pos="913"/>
                  <w:tab w:val="left" w:pos="6320"/>
                </w:tabs>
                <w:jc w:val="right"/>
                <w:rPr>
                  <w:i/>
                  <w:iCs/>
                  <w:szCs w:val="24"/>
                  <w:lang w:eastAsia="lt-LT"/>
                </w:rPr>
              </w:pPr>
              <w:r>
                <w:rPr>
                  <w:i/>
                  <w:iCs/>
                  <w:szCs w:val="24"/>
                  <w:lang w:eastAsia="lt-LT"/>
                </w:rPr>
                <w:t xml:space="preserve">Pateikimo valiuta ir tikslumas: eurais </w:t>
              </w:r>
            </w:p>
            <w:tbl>
              <w:tblPr>
                <w:tblW w:w="9070" w:type="dxa"/>
                <w:tblLook w:val="0000" w:firstRow="0" w:lastRow="0" w:firstColumn="0" w:lastColumn="0" w:noHBand="0" w:noVBand="0"/>
              </w:tblPr>
              <w:tblGrid>
                <w:gridCol w:w="1129"/>
                <w:gridCol w:w="4366"/>
                <w:gridCol w:w="1021"/>
                <w:gridCol w:w="1277"/>
                <w:gridCol w:w="1277"/>
              </w:tblGrid>
              <w:tr>
                <w:trPr>
                  <w:trHeight w:val="1350"/>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Eil. Nr.</w:t>
                    </w:r>
                  </w:p>
                </w:tc>
                <w:tc>
                  <w:tcPr>
                    <w:tcW w:w="4366" w:type="dxa"/>
                    <w:tcBorders>
                      <w:top w:val="single" w:sz="4" w:space="0" w:color="auto"/>
                      <w:left w:val="nil"/>
                      <w:bottom w:val="single" w:sz="4" w:space="0" w:color="auto"/>
                      <w:right w:val="single" w:sz="4" w:space="0" w:color="000000"/>
                    </w:tcBorders>
                    <w:shd w:val="clear" w:color="auto" w:fill="auto"/>
                    <w:noWrap/>
                    <w:vAlign w:val="center"/>
                  </w:tcPr>
                  <w:p>
                    <w:pPr>
                      <w:jc w:val="center"/>
                      <w:rPr>
                        <w:b/>
                        <w:bCs/>
                        <w:sz w:val="20"/>
                        <w:lang w:eastAsia="lt-LT"/>
                      </w:rPr>
                    </w:pPr>
                    <w:r>
                      <w:rPr>
                        <w:b/>
                        <w:bCs/>
                        <w:sz w:val="20"/>
                        <w:lang w:eastAsia="lt-LT"/>
                      </w:rPr>
                      <w:t>Straipsniai</w:t>
                    </w:r>
                  </w:p>
                </w:tc>
                <w:tc>
                  <w:tcPr>
                    <w:tcW w:w="1021" w:type="dxa"/>
                    <w:tcBorders>
                      <w:top w:val="single" w:sz="4" w:space="0" w:color="auto"/>
                      <w:left w:val="nil"/>
                      <w:bottom w:val="single" w:sz="4" w:space="0" w:color="auto"/>
                      <w:right w:val="nil"/>
                    </w:tcBorders>
                    <w:shd w:val="clear" w:color="auto" w:fill="auto"/>
                    <w:vAlign w:val="center"/>
                  </w:tcPr>
                  <w:p>
                    <w:pPr>
                      <w:jc w:val="center"/>
                      <w:rPr>
                        <w:b/>
                        <w:bCs/>
                        <w:sz w:val="20"/>
                        <w:lang w:eastAsia="lt-LT"/>
                      </w:rPr>
                    </w:pPr>
                    <w:r>
                      <w:rPr>
                        <w:b/>
                        <w:bCs/>
                        <w:sz w:val="20"/>
                        <w:lang w:eastAsia="lt-LT"/>
                      </w:rPr>
                      <w:t xml:space="preserve">Pastabos Nr. </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ataskaitinio laikotarpio diena</w:t>
                    </w:r>
                  </w:p>
                </w:tc>
                <w:tc>
                  <w:tcPr>
                    <w:tcW w:w="1277"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praėjusio ataskaitinio laikotarpio diena</w:t>
                    </w:r>
                  </w:p>
                </w:tc>
              </w:tr>
              <w:tr>
                <w:trPr>
                  <w:trHeight w:val="196"/>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4366" w:type="dxa"/>
                    <w:tcBorders>
                      <w:top w:val="single" w:sz="4" w:space="0" w:color="auto"/>
                      <w:left w:val="nil"/>
                      <w:bottom w:val="single" w:sz="4" w:space="0" w:color="auto"/>
                      <w:right w:val="single" w:sz="4" w:space="0" w:color="000000"/>
                    </w:tcBorders>
                    <w:shd w:val="clear" w:color="auto" w:fill="auto"/>
                    <w:noWrap/>
                    <w:vAlign w:val="center"/>
                  </w:tcPr>
                  <w:p>
                    <w:pPr>
                      <w:jc w:val="center"/>
                      <w:rPr>
                        <w:sz w:val="20"/>
                        <w:lang w:eastAsia="lt-LT"/>
                      </w:rPr>
                    </w:pPr>
                    <w:r>
                      <w:rPr>
                        <w:sz w:val="20"/>
                        <w:lang w:eastAsia="lt-LT"/>
                      </w:rPr>
                      <w:t>2</w:t>
                    </w:r>
                  </w:p>
                </w:tc>
                <w:tc>
                  <w:tcPr>
                    <w:tcW w:w="1021" w:type="dxa"/>
                    <w:tcBorders>
                      <w:top w:val="single" w:sz="4" w:space="0" w:color="auto"/>
                      <w:left w:val="nil"/>
                      <w:bottom w:val="single" w:sz="4" w:space="0" w:color="auto"/>
                      <w:right w:val="nil"/>
                    </w:tcBorders>
                    <w:shd w:val="clear" w:color="auto" w:fill="auto"/>
                    <w:vAlign w:val="center"/>
                  </w:tcPr>
                  <w:p>
                    <w:pPr>
                      <w:jc w:val="center"/>
                      <w:rPr>
                        <w:sz w:val="20"/>
                        <w:lang w:eastAsia="lt-LT"/>
                      </w:rPr>
                    </w:pPr>
                    <w:r>
                      <w:rPr>
                        <w:sz w:val="20"/>
                        <w:lang w:eastAsia="lt-LT"/>
                      </w:rPr>
                      <w:t>3</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1277" w:type="dxa"/>
                    <w:tcBorders>
                      <w:top w:val="single" w:sz="4" w:space="0" w:color="auto"/>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1.</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ILGALAIKIS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Nematerialusis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1.1.1.</w:t>
                    </w:r>
                  </w:p>
                </w:tc>
                <w:tc>
                  <w:tcPr>
                    <w:tcW w:w="4366" w:type="dxa"/>
                    <w:tcBorders>
                      <w:top w:val="nil"/>
                      <w:left w:val="nil"/>
                      <w:bottom w:val="single" w:sz="4" w:space="0" w:color="auto"/>
                      <w:right w:val="single" w:sz="4" w:space="0" w:color="auto"/>
                    </w:tcBorders>
                    <w:shd w:val="clear" w:color="auto" w:fill="auto"/>
                    <w:noWrap/>
                    <w:vAlign w:val="center"/>
                  </w:tcPr>
                  <w:p>
                    <w:pPr>
                      <w:ind w:firstLine="282"/>
                      <w:rPr>
                        <w:sz w:val="20"/>
                        <w:lang w:eastAsia="lt-LT"/>
                      </w:rPr>
                    </w:pPr>
                    <w:r>
                      <w:rPr>
                        <w:sz w:val="20"/>
                        <w:lang w:eastAsia="lt-LT"/>
                      </w:rPr>
                      <w:t>Plėtros darbai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1.1.2.</w:t>
                    </w:r>
                  </w:p>
                </w:tc>
                <w:tc>
                  <w:tcPr>
                    <w:tcW w:w="4366" w:type="dxa"/>
                    <w:tcBorders>
                      <w:top w:val="nil"/>
                      <w:left w:val="nil"/>
                      <w:bottom w:val="single" w:sz="4" w:space="0" w:color="auto"/>
                      <w:right w:val="single" w:sz="4" w:space="0" w:color="auto"/>
                    </w:tcBorders>
                    <w:shd w:val="clear" w:color="auto" w:fill="auto"/>
                    <w:noWrap/>
                    <w:vAlign w:val="center"/>
                  </w:tcPr>
                  <w:p>
                    <w:pPr>
                      <w:ind w:firstLine="282"/>
                      <w:rPr>
                        <w:sz w:val="20"/>
                        <w:lang w:eastAsia="lt-LT"/>
                      </w:rPr>
                    </w:pPr>
                    <w:r>
                      <w:rPr>
                        <w:sz w:val="20"/>
                        <w:lang w:eastAsia="lt-LT"/>
                      </w:rPr>
                      <w:t>Programinė įranga ir jos licencijos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1.1.3.</w:t>
                    </w:r>
                  </w:p>
                </w:tc>
                <w:tc>
                  <w:tcPr>
                    <w:tcW w:w="4366" w:type="dxa"/>
                    <w:tcBorders>
                      <w:top w:val="nil"/>
                      <w:left w:val="nil"/>
                      <w:bottom w:val="single" w:sz="4" w:space="0" w:color="auto"/>
                      <w:right w:val="single" w:sz="4" w:space="0" w:color="auto"/>
                    </w:tcBorders>
                    <w:shd w:val="clear" w:color="auto" w:fill="auto"/>
                    <w:noWrap/>
                    <w:vAlign w:val="center"/>
                  </w:tcPr>
                  <w:p>
                    <w:pPr>
                      <w:ind w:firstLine="282"/>
                      <w:rPr>
                        <w:sz w:val="20"/>
                        <w:lang w:eastAsia="lt-LT"/>
                      </w:rPr>
                    </w:pPr>
                    <w:r>
                      <w:rPr>
                        <w:sz w:val="20"/>
                        <w:lang w:eastAsia="lt-LT"/>
                      </w:rPr>
                      <w:t>Nebaigti projektai ir iš anksto sumokėtos sumos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1.1.4.</w:t>
                    </w:r>
                  </w:p>
                </w:tc>
                <w:tc>
                  <w:tcPr>
                    <w:tcW w:w="4366" w:type="dxa"/>
                    <w:tcBorders>
                      <w:top w:val="nil"/>
                      <w:left w:val="nil"/>
                      <w:bottom w:val="single" w:sz="4" w:space="0" w:color="auto"/>
                      <w:right w:val="single" w:sz="4" w:space="0" w:color="auto"/>
                    </w:tcBorders>
                    <w:shd w:val="clear" w:color="auto" w:fill="auto"/>
                    <w:noWrap/>
                    <w:vAlign w:val="center"/>
                  </w:tcPr>
                  <w:p>
                    <w:pPr>
                      <w:ind w:firstLine="282"/>
                      <w:rPr>
                        <w:sz w:val="20"/>
                        <w:lang w:eastAsia="lt-LT"/>
                      </w:rPr>
                    </w:pPr>
                    <w:r>
                      <w:rPr>
                        <w:sz w:val="20"/>
                        <w:lang w:eastAsia="lt-LT"/>
                      </w:rPr>
                      <w:t>Kitas nematerialusis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materialusis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1.2.1.</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Žemė</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1.2.2.</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Pastatai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1.2.3.</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Infrastruktūros statiniai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1.2.4.</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Kiti statiniai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1.2.5.</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Mašinos ir įrenginiai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1.2.6.</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Transporto priemonės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1.2.7.</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Baldai, biuro įranga ir kitas ilgalaikis materialusis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1.2.8.</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Kultūros ir kitos vertybės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1.2.9.</w:t>
                    </w:r>
                  </w:p>
                </w:tc>
                <w:tc>
                  <w:tcPr>
                    <w:tcW w:w="4366"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Nebaigta statyba ir iš anksto sumokėtos sumos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finansinis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1.4.</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Mineraliniai ištekliai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1.5.</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Kitas ilgalaikis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 xml:space="preserve">BIOLOGINIS TURTAS </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3.</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TRUMPALAIKIS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3.1.</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Atsargos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anksto sumokėtos sumos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Per vienus</w:t>
                    </w:r>
                    <w:r>
                      <w:rPr>
                        <w:b/>
                        <w:bCs/>
                        <w:sz w:val="20"/>
                        <w:lang w:eastAsia="lt-LT"/>
                      </w:rPr>
                      <w:t xml:space="preserve"> </w:t>
                    </w:r>
                    <w:r>
                      <w:rPr>
                        <w:sz w:val="20"/>
                        <w:lang w:eastAsia="lt-LT"/>
                      </w:rPr>
                      <w:t>metus gautinos sumos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3.3.1.</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ind w:firstLine="253"/>
                      <w:rPr>
                        <w:sz w:val="20"/>
                        <w:lang w:eastAsia="lt-LT"/>
                      </w:rPr>
                    </w:pPr>
                    <w:r>
                      <w:rPr>
                        <w:sz w:val="20"/>
                        <w:lang w:eastAsia="lt-LT"/>
                      </w:rPr>
                      <w:t>Suteiktos paskolos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3.3.2.</w:t>
                    </w:r>
                  </w:p>
                </w:tc>
                <w:tc>
                  <w:tcPr>
                    <w:tcW w:w="436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finansavimo sumos</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single" w:sz="4" w:space="0" w:color="auto"/>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3.3.3.</w:t>
                    </w:r>
                  </w:p>
                </w:tc>
                <w:tc>
                  <w:tcPr>
                    <w:tcW w:w="436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sumos iš biudžeto už pervestas pajamų įmokas</w:t>
                    </w:r>
                  </w:p>
                </w:tc>
                <w:tc>
                  <w:tcPr>
                    <w:tcW w:w="1021" w:type="dxa"/>
                    <w:tcBorders>
                      <w:top w:val="single" w:sz="4" w:space="0" w:color="auto"/>
                      <w:left w:val="nil"/>
                      <w:bottom w:val="single" w:sz="4" w:space="0" w:color="auto"/>
                      <w:right w:val="nil"/>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3.3.4.</w:t>
                    </w:r>
                  </w:p>
                </w:tc>
                <w:tc>
                  <w:tcPr>
                    <w:tcW w:w="436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sumos už turto naudojimą, parduotas prekes, turtą, paslaugas</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3.3.5.</w:t>
                    </w:r>
                  </w:p>
                </w:tc>
                <w:tc>
                  <w:tcPr>
                    <w:tcW w:w="436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Kitos gautinos sumos</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Trumpalaikės investicijos</w:t>
                    </w:r>
                  </w:p>
                </w:tc>
                <w:tc>
                  <w:tcPr>
                    <w:tcW w:w="1021" w:type="dxa"/>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w:t>
                    </w:r>
                  </w:p>
                </w:tc>
                <w:tc>
                  <w:tcPr>
                    <w:tcW w:w="4366"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Pinigai ir pinigų ekvivalentai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4.</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IŠ VISO TURTO:</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5.</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FINANSAVIMO SUMOS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5.1.</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 xml:space="preserve">Iš valstybės biudžeto </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5.2.</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savivaldybės biudžeto</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5.3.</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Europos Sąjungos, užsienio valstybių ir tarptautinių organizacijų</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5.4. </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viešojo sektoriaus subjektų pajamų</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5.5.</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fizinių ir privačių juridinių asmenų</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6.</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ĮSIPAREIGOJIMAI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6.1.</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Atidėjiniai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w:t>
                    </w:r>
                  </w:p>
                </w:tc>
                <w:tc>
                  <w:tcPr>
                    <w:tcW w:w="4366"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Ilgalaikiai įsipareigojimai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6.2.1.</w:t>
                    </w:r>
                  </w:p>
                </w:tc>
                <w:tc>
                  <w:tcPr>
                    <w:tcW w:w="436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Ilgalaikiai skoliniai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6.2.2.</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ilgalaikiai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6.3.</w:t>
                    </w:r>
                  </w:p>
                </w:tc>
                <w:tc>
                  <w:tcPr>
                    <w:tcW w:w="4366" w:type="dxa"/>
                    <w:tcBorders>
                      <w:top w:val="single" w:sz="4" w:space="0" w:color="auto"/>
                      <w:left w:val="single" w:sz="4" w:space="0" w:color="auto"/>
                      <w:bottom w:val="single" w:sz="4" w:space="0" w:color="auto"/>
                      <w:right w:val="single" w:sz="4" w:space="0" w:color="000000"/>
                    </w:tcBorders>
                    <w:shd w:val="clear" w:color="auto" w:fill="auto"/>
                    <w:noWrap/>
                    <w:vAlign w:val="center"/>
                  </w:tcPr>
                  <w:p>
                    <w:pPr>
                      <w:rPr>
                        <w:sz w:val="20"/>
                        <w:lang w:eastAsia="lt-LT"/>
                      </w:rPr>
                    </w:pPr>
                    <w:r>
                      <w:rPr>
                        <w:sz w:val="20"/>
                        <w:lang w:eastAsia="lt-LT"/>
                      </w:rPr>
                      <w:t>Trumpalaikiai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6.3.1.</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Trumpalaikiai skoliniai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6.3.2.</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socialinės išmokos ir stipendijos</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6.3.3.</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Tiekėjams mokėtinos sumos</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6.3.4.</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Su darbo santykiais susiję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trumpalaikiai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6.3.5.1.</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526"/>
                      <w:rPr>
                        <w:sz w:val="20"/>
                        <w:lang w:eastAsia="lt-LT"/>
                      </w:rPr>
                    </w:pPr>
                    <w:r>
                      <w:rPr>
                        <w:sz w:val="20"/>
                        <w:lang w:eastAsia="lt-LT"/>
                      </w:rPr>
                      <w:t>Mokėtinos sumos tarptautinėms institucijoms, į biudžetus ir fondus</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6.3.5.2.</w:t>
                    </w:r>
                  </w:p>
                </w:tc>
                <w:tc>
                  <w:tcPr>
                    <w:tcW w:w="4366" w:type="dxa"/>
                    <w:tcBorders>
                      <w:top w:val="nil"/>
                      <w:left w:val="single" w:sz="4" w:space="0" w:color="auto"/>
                      <w:bottom w:val="single" w:sz="4" w:space="0" w:color="auto"/>
                      <w:right w:val="single" w:sz="4" w:space="0" w:color="auto"/>
                    </w:tcBorders>
                    <w:shd w:val="clear" w:color="auto" w:fill="auto"/>
                    <w:noWrap/>
                    <w:vAlign w:val="center"/>
                  </w:tcPr>
                  <w:p>
                    <w:pPr>
                      <w:ind w:left="220" w:firstLine="306"/>
                      <w:rPr>
                        <w:sz w:val="20"/>
                        <w:lang w:eastAsia="lt-LT"/>
                      </w:rPr>
                    </w:pPr>
                    <w:r>
                      <w:rPr>
                        <w:sz w:val="20"/>
                        <w:lang w:eastAsia="lt-LT"/>
                      </w:rPr>
                      <w:t>Kiti įsipareigojimai</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7.</w:t>
                    </w:r>
                  </w:p>
                </w:tc>
                <w:tc>
                  <w:tcPr>
                    <w:tcW w:w="4366"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GRYNASIS TURTAS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Dalininkų kapitalas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w:t>
                    </w:r>
                  </w:p>
                </w:tc>
                <w:tc>
                  <w:tcPr>
                    <w:tcW w:w="4366"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Rezervai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7.2.1.</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Tikrosios vertės rezervas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7.2.2.</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Mineralinių išteklių rezervas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7.2.3.</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Medynų rezervas</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7.2.4.</w:t>
                    </w:r>
                  </w:p>
                </w:tc>
                <w:tc>
                  <w:tcPr>
                    <w:tcW w:w="4366"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Kiti rezervai</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7.3.</w:t>
                    </w:r>
                  </w:p>
                </w:tc>
                <w:tc>
                  <w:tcPr>
                    <w:tcW w:w="4366"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 xml:space="preserve">Sukauptas perviršis ar deficitas </w:t>
                    </w:r>
                  </w:p>
                </w:tc>
                <w:tc>
                  <w:tcPr>
                    <w:tcW w:w="1021"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7.3.1.</w:t>
                    </w:r>
                  </w:p>
                </w:tc>
                <w:tc>
                  <w:tcPr>
                    <w:tcW w:w="4366" w:type="dxa"/>
                    <w:tcBorders>
                      <w:top w:val="single" w:sz="4" w:space="0" w:color="auto"/>
                      <w:left w:val="single" w:sz="4" w:space="0" w:color="auto"/>
                      <w:bottom w:val="single" w:sz="4" w:space="0" w:color="auto"/>
                      <w:right w:val="single" w:sz="4" w:space="0" w:color="auto"/>
                    </w:tcBorders>
                    <w:shd w:val="clear" w:color="auto" w:fill="FFFFFF"/>
                    <w:noWrap/>
                  </w:tcPr>
                  <w:p>
                    <w:pPr>
                      <w:ind w:left="220"/>
                      <w:rPr>
                        <w:sz w:val="20"/>
                        <w:lang w:eastAsia="lt-LT"/>
                      </w:rPr>
                    </w:pPr>
                    <w:r>
                      <w:rPr>
                        <w:sz w:val="20"/>
                        <w:lang w:eastAsia="lt-LT"/>
                      </w:rPr>
                      <w:t>Viešojo sektoriaus subjekto sukauptas perviršis ar deficitas be nuosavybės metodo įtakos</w:t>
                    </w:r>
                  </w:p>
                </w:tc>
                <w:tc>
                  <w:tcPr>
                    <w:tcW w:w="1021" w:type="dxa"/>
                    <w:tcBorders>
                      <w:top w:val="nil"/>
                      <w:left w:val="nil"/>
                      <w:bottom w:val="single" w:sz="4" w:space="0" w:color="auto"/>
                      <w:right w:val="nil"/>
                    </w:tcBorders>
                    <w:shd w:val="clear" w:color="auto" w:fill="FFFFFF"/>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2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7.3.2.</w:t>
                    </w:r>
                  </w:p>
                </w:tc>
                <w:tc>
                  <w:tcPr>
                    <w:tcW w:w="4366" w:type="dxa"/>
                    <w:tcBorders>
                      <w:top w:val="nil"/>
                      <w:left w:val="single" w:sz="4" w:space="0" w:color="auto"/>
                      <w:bottom w:val="single" w:sz="4" w:space="0" w:color="auto"/>
                      <w:right w:val="single" w:sz="4" w:space="0" w:color="auto"/>
                    </w:tcBorders>
                    <w:shd w:val="clear" w:color="auto" w:fill="FFFFFF"/>
                    <w:noWrap/>
                  </w:tcPr>
                  <w:p>
                    <w:pPr>
                      <w:ind w:left="220"/>
                      <w:rPr>
                        <w:sz w:val="20"/>
                        <w:lang w:eastAsia="lt-LT"/>
                      </w:rPr>
                    </w:pPr>
                    <w:r>
                      <w:rPr>
                        <w:sz w:val="20"/>
                        <w:lang w:eastAsia="lt-LT"/>
                      </w:rPr>
                      <w:t>Nuosavybės metodo įtaka</w:t>
                    </w:r>
                  </w:p>
                </w:tc>
                <w:tc>
                  <w:tcPr>
                    <w:tcW w:w="1021" w:type="dxa"/>
                    <w:tcBorders>
                      <w:top w:val="nil"/>
                      <w:left w:val="nil"/>
                      <w:bottom w:val="single" w:sz="4" w:space="0" w:color="auto"/>
                      <w:right w:val="nil"/>
                    </w:tcBorders>
                    <w:shd w:val="clear" w:color="auto" w:fill="FFFFFF"/>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495"/>
                </w:trPr>
                <w:tc>
                  <w:tcPr>
                    <w:tcW w:w="1129"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8.</w:t>
                    </w:r>
                  </w:p>
                </w:tc>
                <w:tc>
                  <w:tcPr>
                    <w:tcW w:w="4366" w:type="dxa"/>
                    <w:tcBorders>
                      <w:top w:val="single" w:sz="4" w:space="0" w:color="auto"/>
                      <w:left w:val="nil"/>
                      <w:bottom w:val="single" w:sz="4" w:space="0" w:color="auto"/>
                      <w:right w:val="single" w:sz="4" w:space="0" w:color="000000"/>
                    </w:tcBorders>
                    <w:shd w:val="clear" w:color="auto" w:fill="auto"/>
                    <w:vAlign w:val="center"/>
                  </w:tcPr>
                  <w:p>
                    <w:pPr>
                      <w:rPr>
                        <w:b/>
                        <w:bCs/>
                        <w:sz w:val="20"/>
                        <w:lang w:eastAsia="lt-LT"/>
                      </w:rPr>
                    </w:pPr>
                    <w:r>
                      <w:rPr>
                        <w:b/>
                        <w:bCs/>
                        <w:sz w:val="20"/>
                        <w:lang w:eastAsia="lt-LT"/>
                      </w:rPr>
                      <w:t>IŠ VISO FINANSAVIMO SUMŲ, ĮSIPAREIGOJIMŲ IR GRYNOJO TURTO:</w:t>
                    </w:r>
                  </w:p>
                </w:tc>
                <w:tc>
                  <w:tcPr>
                    <w:tcW w:w="1021" w:type="dxa"/>
                    <w:tcBorders>
                      <w:top w:val="nil"/>
                      <w:left w:val="nil"/>
                      <w:bottom w:val="single" w:sz="4" w:space="0" w:color="auto"/>
                      <w:right w:val="nil"/>
                    </w:tcBorders>
                    <w:shd w:val="clear" w:color="auto" w:fill="auto"/>
                    <w:vAlign w:val="center"/>
                  </w:tcPr>
                  <w:p>
                    <w:pPr>
                      <w:ind w:firstLine="50"/>
                      <w:rPr>
                        <w:sz w:val="20"/>
                        <w:lang w:eastAsia="lt-LT"/>
                      </w:rPr>
                    </w:pPr>
                  </w:p>
                </w:tc>
                <w:tc>
                  <w:tcPr>
                    <w:tcW w:w="12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27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bl>
            <w:p>
              <w:pPr>
                <w:jc w:val="both"/>
                <w:rPr>
                  <w:bCs/>
                  <w:szCs w:val="24"/>
                  <w:lang w:eastAsia="lt-LT"/>
                </w:rPr>
              </w:pPr>
              <w:r>
                <w:rPr>
                  <w:b/>
                  <w:szCs w:val="24"/>
                  <w:lang w:eastAsia="lt-LT"/>
                </w:rPr>
                <w:t xml:space="preserve">Pastaba. </w:t>
              </w:r>
              <w:r>
                <w:rPr>
                  <w:bCs/>
                  <w:szCs w:val="24"/>
                  <w:lang w:eastAsia="lt-LT"/>
                </w:rPr>
                <w:t xml:space="preserve">Forma pildoma rengiant viešojo sektoriaus subjektų, išskyrus išteklių fondus, mokesčių fondus ir fondų fondus, finansinės būklės ataskaitą. </w:t>
              </w:r>
            </w:p>
            <w:p>
              <w:pPr>
                <w:jc w:val="center"/>
              </w:pPr>
              <w:r>
                <w:rPr>
                  <w:bCs/>
                  <w:szCs w:val="24"/>
                  <w:lang w:eastAsia="lt-LT"/>
                </w:rPr>
                <w:t>_______________________</w:t>
              </w:r>
            </w:p>
            <w:p>
              <w:pPr>
                <w:jc w:val="center"/>
                <w:rPr>
                  <w:b/>
                  <w:bCs/>
                  <w:szCs w:val="24"/>
                  <w:lang w:eastAsia="lt-LT"/>
                </w:rPr>
              </w:pPr>
            </w:p>
            <w:p>
              <w:pPr>
                <w:jc w:val="center"/>
                <w:rPr>
                  <w:b/>
                  <w:bCs/>
                  <w:szCs w:val="24"/>
                  <w:lang w:eastAsia="lt-LT"/>
                </w:rPr>
              </w:pPr>
            </w:p>
            <w:p>
              <w:pPr>
                <w:jc w:val="center"/>
                <w:rPr>
                  <w:b/>
                  <w:bCs/>
                  <w:szCs w:val="24"/>
                  <w:lang w:eastAsia="lt-LT"/>
                </w:rPr>
              </w:pPr>
            </w:p>
            <w:p>
              <w:pPr>
                <w:spacing w:line="259" w:lineRule="auto"/>
                <w:rPr>
                  <w:b/>
                  <w:bCs/>
                  <w:szCs w:val="24"/>
                  <w:lang w:eastAsia="lt-LT"/>
                </w:rPr>
              </w:pPr>
              <w:r>
                <w:rPr>
                  <w:b/>
                  <w:bCs/>
                  <w:szCs w:val="24"/>
                  <w:lang w:eastAsia="lt-LT"/>
                </w:rPr>
                <w:br w:type="page"/>
              </w:r>
            </w:p>
            <w:p>
              <w:pPr>
                <w:rPr>
                  <w:sz w:val="14"/>
                  <w:szCs w:val="14"/>
                </w:rPr>
              </w:pPr>
            </w:p>
          </w:sdtContent>
        </w:sdt>
      </w:sdtContent>
    </w:sdt>
    <w:sdt>
      <w:sdtPr>
        <w:alias w:val="2 pr."/>
        <w:tag w:val="part_224627863b164ea5934951242dbd442a"/>
        <w:lock w:val="sdtLocked"/>
        <w:richText/>
      </w:sdtPr>
      <w:sdtContent>
        <w:p>
          <w:pPr>
            <w:tabs>
              <w:tab w:val="left" w:pos="933"/>
              <w:tab w:val="left" w:pos="4149"/>
              <w:tab w:val="left" w:pos="6103"/>
              <w:tab w:val="left" w:pos="7365"/>
              <w:tab w:val="left" w:pos="8901"/>
              <w:tab w:val="left" w:pos="10344"/>
            </w:tabs>
            <w:ind w:left="4536"/>
            <w:rPr>
              <w:szCs w:val="24"/>
              <w:lang w:eastAsia="lt-LT"/>
            </w:rPr>
          </w:pPr>
          <w:r>
            <w:rPr>
              <w:szCs w:val="24"/>
              <w:lang w:eastAsia="lt-LT"/>
            </w:rPr>
            <w:t xml:space="preserve">2-ojo </w:t>
          </w:r>
          <w:r>
            <w:t>viešojo sektoriaus apskaitos ir finansinės atskaitomybės standarto</w:t>
          </w:r>
          <w:r>
            <w:rPr>
              <w:szCs w:val="24"/>
              <w:lang w:eastAsia="lt-LT"/>
            </w:rPr>
            <w:t xml:space="preserve"> „Finansinės būklės ataskaita“</w:t>
          </w:r>
        </w:p>
        <w:p>
          <w:pPr>
            <w:tabs>
              <w:tab w:val="left" w:pos="933"/>
              <w:tab w:val="left" w:pos="4149"/>
              <w:tab w:val="left" w:pos="6103"/>
              <w:tab w:val="left" w:pos="7365"/>
              <w:tab w:val="left" w:pos="8901"/>
              <w:tab w:val="left" w:pos="10344"/>
            </w:tabs>
            <w:ind w:left="4536"/>
            <w:rPr>
              <w:szCs w:val="24"/>
              <w:lang w:eastAsia="lt-LT"/>
            </w:rPr>
          </w:pPr>
          <w:sdt>
            <w:sdtPr>
              <w:alias w:val="Numeris"/>
              <w:tag w:val="nr_224627863b164ea5934951242dbd442a"/>
              <w:lock w:val="sdtLocked"/>
              <w:richText/>
            </w:sdtPr>
            <w:sdtContent>
              <w:r>
                <w:rPr>
                  <w:szCs w:val="24"/>
                  <w:lang w:eastAsia="lt-LT"/>
                </w:rPr>
                <w:t>2</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224627863b164ea5934951242dbd442a"/>
              <w:lock w:val="sdtLocked"/>
              <w:richText/>
            </w:sdtPr>
            <w:sdtContent>
              <w:r>
                <w:rPr>
                  <w:b/>
                  <w:bCs/>
                  <w:szCs w:val="24"/>
                  <w:lang w:eastAsia="lt-LT"/>
                </w:rPr>
                <w:t xml:space="preserve">(Finansinės būklės ataskaitos forma) </w:t>
              </w:r>
            </w:sdtContent>
          </w:sdt>
        </w:p>
        <w:p>
          <w:pPr>
            <w:jc w:val="center"/>
            <w:rPr>
              <w:b/>
              <w:bCs/>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subjektų grupės pavadinimas)</w:t>
          </w: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parengusio viešojo sektoriaus subjektų grupės finansinės būklės ataskaitą, kodas, adresas)</w:t>
          </w:r>
        </w:p>
        <w:p>
          <w:pPr>
            <w:tabs>
              <w:tab w:val="left" w:pos="10344"/>
              <w:tab w:val="left" w:pos="11584"/>
            </w:tabs>
            <w:jc w:val="center"/>
            <w:rPr>
              <w:szCs w:val="24"/>
              <w:lang w:eastAsia="lt-LT"/>
            </w:rPr>
          </w:pPr>
        </w:p>
        <w:sdt>
          <w:sdtPr>
            <w:alias w:val="skirsnis"/>
            <w:tag w:val="part_0a869e63df80460e8726e3142eb8d0d3"/>
            <w:lock w:val="sdtLocked"/>
            <w:richText/>
          </w:sdtPr>
          <w:sdtContent>
            <w:sdt>
              <w:sdtPr>
                <w:alias w:val="Pavadinimas"/>
                <w:tag w:val="title_0a869e63df80460e8726e3142eb8d0d3"/>
                <w:lock w:val="sdtLocked"/>
                <w:richText/>
              </w:sdtPr>
              <w:sdtContent>
                <w:p>
                  <w:pPr>
                    <w:jc w:val="center"/>
                    <w:rPr>
                      <w:b/>
                      <w:bCs/>
                      <w:szCs w:val="24"/>
                      <w:lang w:eastAsia="lt-LT"/>
                    </w:rPr>
                  </w:pPr>
                  <w:r>
                    <w:rPr>
                      <w:b/>
                      <w:bCs/>
                      <w:szCs w:val="24"/>
                      <w:lang w:eastAsia="lt-LT"/>
                    </w:rPr>
                    <w:t>FINANSINĖS BŪKLĖS ATASKAITA</w:t>
                  </w:r>
                </w:p>
                <w:p>
                  <w:pPr>
                    <w:jc w:val="center"/>
                    <w:rPr>
                      <w:b/>
                      <w:bCs/>
                      <w:szCs w:val="24"/>
                      <w:lang w:eastAsia="lt-LT"/>
                    </w:rPr>
                  </w:pPr>
                  <w:r>
                    <w:rPr>
                      <w:b/>
                      <w:bCs/>
                      <w:szCs w:val="24"/>
                      <w:lang w:eastAsia="lt-LT"/>
                    </w:rPr>
                    <w:t>PAGAL 20_____M.______D. DUOMENIS</w:t>
                  </w:r>
                </w:p>
              </w:sdtContent>
            </w:sdt>
            <w:p>
              <w:pPr>
                <w:tabs>
                  <w:tab w:val="left" w:pos="913"/>
                  <w:tab w:val="left" w:pos="6320"/>
                  <w:tab w:val="left" w:pos="9372"/>
                  <w:tab w:val="left" w:pos="10344"/>
                  <w:tab w:val="left" w:pos="11584"/>
                </w:tabs>
                <w:jc w:val="center"/>
                <w:rPr>
                  <w:szCs w:val="24"/>
                  <w:lang w:eastAsia="lt-LT"/>
                </w:rPr>
              </w:pPr>
            </w:p>
            <w:p>
              <w:pPr>
                <w:jc w:val="center"/>
                <w:rPr>
                  <w:szCs w:val="24"/>
                  <w:lang w:eastAsia="lt-LT"/>
                </w:rPr>
              </w:pPr>
              <w:r>
                <w:rPr>
                  <w:szCs w:val="24"/>
                  <w:lang w:eastAsia="lt-LT"/>
                </w:rPr>
                <w:t>_____________________Nr. _____</w:t>
              </w:r>
            </w:p>
            <w:p>
              <w:pPr>
                <w:jc w:val="center"/>
                <w:rPr>
                  <w:szCs w:val="24"/>
                  <w:lang w:eastAsia="lt-LT"/>
                </w:rPr>
              </w:pPr>
              <w:r>
                <w:rPr>
                  <w:szCs w:val="24"/>
                  <w:lang w:eastAsia="lt-LT"/>
                </w:rPr>
                <w:t>(data)</w:t>
              </w:r>
            </w:p>
            <w:p>
              <w:pPr>
                <w:tabs>
                  <w:tab w:val="left" w:pos="913"/>
                  <w:tab w:val="left" w:pos="6320"/>
                </w:tabs>
                <w:jc w:val="right"/>
                <w:rPr>
                  <w:i/>
                  <w:iCs/>
                  <w:szCs w:val="24"/>
                  <w:lang w:eastAsia="lt-LT"/>
                </w:rPr>
              </w:pPr>
            </w:p>
            <w:p>
              <w:pPr>
                <w:tabs>
                  <w:tab w:val="left" w:pos="913"/>
                  <w:tab w:val="left" w:pos="6320"/>
                </w:tabs>
                <w:jc w:val="right"/>
                <w:rPr>
                  <w:i/>
                  <w:iCs/>
                  <w:szCs w:val="24"/>
                  <w:lang w:eastAsia="lt-LT"/>
                </w:rPr>
              </w:pPr>
              <w:r>
                <w:rPr>
                  <w:i/>
                  <w:iCs/>
                  <w:szCs w:val="24"/>
                  <w:lang w:eastAsia="lt-LT"/>
                </w:rPr>
                <w:t xml:space="preserve">Pateikimo valiuta ir tikslumas: eurais </w:t>
              </w:r>
            </w:p>
            <w:tbl>
              <w:tblPr>
                <w:tblW w:w="9209" w:type="dxa"/>
                <w:tblLook w:val="0000" w:firstRow="0" w:lastRow="0" w:firstColumn="0" w:lastColumn="0" w:noHBand="0" w:noVBand="0"/>
              </w:tblPr>
              <w:tblGrid>
                <w:gridCol w:w="816"/>
                <w:gridCol w:w="4282"/>
                <w:gridCol w:w="1038"/>
                <w:gridCol w:w="1467"/>
                <w:gridCol w:w="1606"/>
              </w:tblGrid>
              <w:tr>
                <w:trPr>
                  <w:trHeight w:val="1122"/>
                </w:trPr>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Eil. Nr.</w:t>
                    </w:r>
                  </w:p>
                </w:tc>
                <w:tc>
                  <w:tcPr>
                    <w:tcW w:w="4282" w:type="dxa"/>
                    <w:tcBorders>
                      <w:top w:val="single" w:sz="4" w:space="0" w:color="auto"/>
                      <w:left w:val="nil"/>
                      <w:bottom w:val="single" w:sz="4" w:space="0" w:color="auto"/>
                      <w:right w:val="single" w:sz="4" w:space="0" w:color="000000"/>
                    </w:tcBorders>
                    <w:shd w:val="clear" w:color="auto" w:fill="auto"/>
                    <w:noWrap/>
                    <w:vAlign w:val="center"/>
                  </w:tcPr>
                  <w:p>
                    <w:pPr>
                      <w:jc w:val="center"/>
                      <w:rPr>
                        <w:b/>
                        <w:bCs/>
                        <w:sz w:val="20"/>
                        <w:lang w:eastAsia="lt-LT"/>
                      </w:rPr>
                    </w:pPr>
                    <w:r>
                      <w:rPr>
                        <w:b/>
                        <w:bCs/>
                        <w:sz w:val="20"/>
                        <w:lang w:eastAsia="lt-LT"/>
                      </w:rPr>
                      <w:t>Straipsniai</w:t>
                    </w:r>
                  </w:p>
                </w:tc>
                <w:tc>
                  <w:tcPr>
                    <w:tcW w:w="1038" w:type="dxa"/>
                    <w:tcBorders>
                      <w:top w:val="single" w:sz="4" w:space="0" w:color="auto"/>
                      <w:left w:val="nil"/>
                      <w:bottom w:val="single" w:sz="4" w:space="0" w:color="auto"/>
                      <w:right w:val="nil"/>
                    </w:tcBorders>
                    <w:shd w:val="clear" w:color="auto" w:fill="auto"/>
                    <w:vAlign w:val="center"/>
                  </w:tcPr>
                  <w:p>
                    <w:pPr>
                      <w:jc w:val="center"/>
                      <w:rPr>
                        <w:b/>
                        <w:bCs/>
                        <w:sz w:val="20"/>
                        <w:lang w:eastAsia="lt-LT"/>
                      </w:rPr>
                    </w:pPr>
                    <w:r>
                      <w:rPr>
                        <w:b/>
                        <w:bCs/>
                        <w:sz w:val="20"/>
                        <w:lang w:eastAsia="lt-LT"/>
                      </w:rPr>
                      <w:t xml:space="preserve">Pastabos Nr. </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ataskaitinio laikotarpio diena</w:t>
                    </w:r>
                  </w:p>
                </w:tc>
                <w:tc>
                  <w:tcPr>
                    <w:tcW w:w="1606"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praėjusio ataskaitinio laikotarpio diena</w:t>
                    </w:r>
                  </w:p>
                </w:tc>
              </w:tr>
              <w:tr>
                <w:trPr>
                  <w:trHeight w:val="63"/>
                </w:trPr>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4282" w:type="dxa"/>
                    <w:tcBorders>
                      <w:top w:val="single" w:sz="4" w:space="0" w:color="auto"/>
                      <w:left w:val="nil"/>
                      <w:bottom w:val="single" w:sz="4" w:space="0" w:color="auto"/>
                      <w:right w:val="single" w:sz="4" w:space="0" w:color="000000"/>
                    </w:tcBorders>
                    <w:shd w:val="clear" w:color="auto" w:fill="auto"/>
                    <w:noWrap/>
                    <w:vAlign w:val="center"/>
                  </w:tcPr>
                  <w:p>
                    <w:pPr>
                      <w:jc w:val="center"/>
                      <w:rPr>
                        <w:sz w:val="20"/>
                        <w:lang w:eastAsia="lt-LT"/>
                      </w:rPr>
                    </w:pPr>
                    <w:r>
                      <w:rPr>
                        <w:sz w:val="20"/>
                        <w:lang w:eastAsia="lt-LT"/>
                      </w:rPr>
                      <w:t>2</w:t>
                    </w:r>
                  </w:p>
                </w:tc>
                <w:tc>
                  <w:tcPr>
                    <w:tcW w:w="1038" w:type="dxa"/>
                    <w:tcBorders>
                      <w:top w:val="single" w:sz="4" w:space="0" w:color="auto"/>
                      <w:left w:val="nil"/>
                      <w:bottom w:val="single" w:sz="4" w:space="0" w:color="auto"/>
                      <w:right w:val="nil"/>
                    </w:tcBorders>
                    <w:shd w:val="clear" w:color="auto" w:fill="auto"/>
                    <w:vAlign w:val="center"/>
                  </w:tcPr>
                  <w:p>
                    <w:pPr>
                      <w:jc w:val="center"/>
                      <w:rPr>
                        <w:sz w:val="20"/>
                        <w:lang w:eastAsia="lt-LT"/>
                      </w:rPr>
                    </w:pPr>
                    <w:r>
                      <w:rPr>
                        <w:sz w:val="20"/>
                        <w:lang w:eastAsia="lt-LT"/>
                      </w:rPr>
                      <w:t>3</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1606" w:type="dxa"/>
                    <w:tcBorders>
                      <w:top w:val="single" w:sz="4" w:space="0" w:color="auto"/>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1.</w:t>
                    </w:r>
                  </w:p>
                </w:tc>
                <w:tc>
                  <w:tcPr>
                    <w:tcW w:w="4282"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ILGALAIKIS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Nematerialusis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94"/>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1.1.1.</w:t>
                    </w:r>
                  </w:p>
                </w:tc>
                <w:tc>
                  <w:tcPr>
                    <w:tcW w:w="4282" w:type="dxa"/>
                    <w:tcBorders>
                      <w:top w:val="nil"/>
                      <w:left w:val="nil"/>
                      <w:bottom w:val="single" w:sz="4" w:space="0" w:color="auto"/>
                      <w:right w:val="single" w:sz="4" w:space="0" w:color="auto"/>
                    </w:tcBorders>
                    <w:shd w:val="clear" w:color="auto" w:fill="auto"/>
                    <w:noWrap/>
                    <w:vAlign w:val="center"/>
                  </w:tcPr>
                  <w:p>
                    <w:pPr>
                      <w:ind w:firstLine="141"/>
                      <w:rPr>
                        <w:sz w:val="20"/>
                        <w:lang w:eastAsia="lt-LT"/>
                      </w:rPr>
                    </w:pPr>
                    <w:r>
                      <w:rPr>
                        <w:sz w:val="20"/>
                        <w:lang w:eastAsia="lt-LT"/>
                      </w:rPr>
                      <w:t>Plėtros darbai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98"/>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1.1.2.</w:t>
                    </w:r>
                  </w:p>
                </w:tc>
                <w:tc>
                  <w:tcPr>
                    <w:tcW w:w="4282" w:type="dxa"/>
                    <w:tcBorders>
                      <w:top w:val="nil"/>
                      <w:left w:val="nil"/>
                      <w:bottom w:val="single" w:sz="4" w:space="0" w:color="auto"/>
                      <w:right w:val="single" w:sz="4" w:space="0" w:color="auto"/>
                    </w:tcBorders>
                    <w:shd w:val="clear" w:color="auto" w:fill="auto"/>
                    <w:noWrap/>
                    <w:vAlign w:val="center"/>
                  </w:tcPr>
                  <w:p>
                    <w:pPr>
                      <w:ind w:firstLine="141"/>
                      <w:rPr>
                        <w:sz w:val="20"/>
                        <w:lang w:eastAsia="lt-LT"/>
                      </w:rPr>
                    </w:pPr>
                    <w:r>
                      <w:rPr>
                        <w:sz w:val="20"/>
                        <w:lang w:eastAsia="lt-LT"/>
                      </w:rPr>
                      <w:t>Programinė įranga ir jos licencijos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1.1.3.</w:t>
                    </w:r>
                  </w:p>
                </w:tc>
                <w:tc>
                  <w:tcPr>
                    <w:tcW w:w="4282" w:type="dxa"/>
                    <w:tcBorders>
                      <w:top w:val="nil"/>
                      <w:left w:val="nil"/>
                      <w:bottom w:val="single" w:sz="4" w:space="0" w:color="auto"/>
                      <w:right w:val="single" w:sz="4" w:space="0" w:color="auto"/>
                    </w:tcBorders>
                    <w:shd w:val="clear" w:color="auto" w:fill="auto"/>
                    <w:noWrap/>
                    <w:vAlign w:val="center"/>
                  </w:tcPr>
                  <w:p>
                    <w:pPr>
                      <w:ind w:firstLine="141"/>
                      <w:rPr>
                        <w:sz w:val="20"/>
                        <w:lang w:eastAsia="lt-LT"/>
                      </w:rPr>
                    </w:pPr>
                    <w:r>
                      <w:rPr>
                        <w:sz w:val="20"/>
                        <w:lang w:eastAsia="lt-LT"/>
                      </w:rPr>
                      <w:t>Nebaigti projektai ir iš anksto sumokėtos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48"/>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1.1.4.</w:t>
                    </w:r>
                  </w:p>
                </w:tc>
                <w:tc>
                  <w:tcPr>
                    <w:tcW w:w="4282" w:type="dxa"/>
                    <w:tcBorders>
                      <w:top w:val="nil"/>
                      <w:left w:val="nil"/>
                      <w:bottom w:val="single" w:sz="4" w:space="0" w:color="auto"/>
                      <w:right w:val="single" w:sz="4" w:space="0" w:color="auto"/>
                    </w:tcBorders>
                    <w:shd w:val="clear" w:color="auto" w:fill="auto"/>
                    <w:noWrap/>
                    <w:vAlign w:val="center"/>
                  </w:tcPr>
                  <w:p>
                    <w:pPr>
                      <w:ind w:firstLine="141"/>
                      <w:rPr>
                        <w:sz w:val="20"/>
                        <w:lang w:eastAsia="lt-LT"/>
                      </w:rPr>
                    </w:pPr>
                    <w:r>
                      <w:rPr>
                        <w:sz w:val="20"/>
                        <w:lang w:eastAsia="lt-LT"/>
                      </w:rPr>
                      <w:t>Kitas nematerialusis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1.1.5.</w:t>
                    </w:r>
                  </w:p>
                </w:tc>
                <w:tc>
                  <w:tcPr>
                    <w:tcW w:w="4282" w:type="dxa"/>
                    <w:tcBorders>
                      <w:top w:val="nil"/>
                      <w:left w:val="nil"/>
                      <w:bottom w:val="single" w:sz="4" w:space="0" w:color="auto"/>
                      <w:right w:val="single" w:sz="4" w:space="0" w:color="auto"/>
                    </w:tcBorders>
                    <w:shd w:val="clear" w:color="auto" w:fill="auto"/>
                    <w:noWrap/>
                    <w:vAlign w:val="center"/>
                  </w:tcPr>
                  <w:p>
                    <w:pPr>
                      <w:ind w:firstLine="141"/>
                      <w:rPr>
                        <w:sz w:val="20"/>
                        <w:lang w:eastAsia="lt-LT"/>
                      </w:rPr>
                    </w:pPr>
                    <w:r>
                      <w:rPr>
                        <w:sz w:val="20"/>
                        <w:lang w:eastAsia="lt-LT"/>
                      </w:rPr>
                      <w:t>Prestižas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materialusis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1.2.1.</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Žemė</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1.2.2.</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Pastatai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1.2.3.</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Infrastruktūros statiniai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1.2.4.</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Kiti statiniai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1.2.5.</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Mašinos ir įrenginiai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1.2.6.</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Transporto priemonės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351"/>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1.2.7.</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Baldai, biuro įranga ir kitas ilgalaikis materialusis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1.2.8.</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Kultūros ir kitos vertybės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1.2.9.</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Nebaigta statyba ir iš anksto sumokėtos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finansinis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1.3.1.</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Investicijos į nuosavybės vertybinius popierius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Išvestinių finansinių priemonių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1.3.3.</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Obligacijos, vekseliai, kiti ne nuosavybės vertybiniai popieriai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1.3.4.</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Ilgalaikiai terminuotieji indėliai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374"/>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1.3.5.</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Suteiktos ilgalaikės paskolos ir kitos ilgalaikės gautinos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1.3.6.</w:t>
                    </w:r>
                  </w:p>
                </w:tc>
                <w:tc>
                  <w:tcPr>
                    <w:tcW w:w="4282"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 xml:space="preserve">Kitas finansinis turtas </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1.4.</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 xml:space="preserve">Mineraliniai ištekliai </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1.5.</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Kitas ilgalaikis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 xml:space="preserve">BIOLOGINIS TURTAS </w:t>
                    </w:r>
                  </w:p>
                </w:tc>
                <w:tc>
                  <w:tcPr>
                    <w:tcW w:w="103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3.</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TRUMPALAIKIS TURTAS</w:t>
                    </w:r>
                  </w:p>
                </w:tc>
                <w:tc>
                  <w:tcPr>
                    <w:tcW w:w="103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3.1.</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Atsargos</w:t>
                    </w:r>
                  </w:p>
                </w:tc>
                <w:tc>
                  <w:tcPr>
                    <w:tcW w:w="1038" w:type="dxa"/>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anksto sumokėtos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w:t>
                    </w:r>
                  </w:p>
                </w:tc>
                <w:tc>
                  <w:tcPr>
                    <w:tcW w:w="4282" w:type="dxa"/>
                    <w:tcBorders>
                      <w:top w:val="single" w:sz="4" w:space="0" w:color="auto"/>
                      <w:left w:val="nil"/>
                      <w:bottom w:val="nil"/>
                      <w:right w:val="single" w:sz="4" w:space="0" w:color="auto"/>
                    </w:tcBorders>
                    <w:shd w:val="clear" w:color="auto" w:fill="auto"/>
                    <w:noWrap/>
                    <w:vAlign w:val="center"/>
                  </w:tcPr>
                  <w:p>
                    <w:pPr>
                      <w:rPr>
                        <w:sz w:val="20"/>
                        <w:lang w:eastAsia="lt-LT"/>
                      </w:rPr>
                    </w:pPr>
                    <w:r>
                      <w:rPr>
                        <w:sz w:val="20"/>
                        <w:lang w:eastAsia="lt-LT"/>
                      </w:rPr>
                      <w:t>Per vienus</w:t>
                    </w:r>
                    <w:r>
                      <w:rPr>
                        <w:b/>
                        <w:bCs/>
                        <w:sz w:val="20"/>
                        <w:lang w:eastAsia="lt-LT"/>
                      </w:rPr>
                      <w:t xml:space="preserve"> </w:t>
                    </w:r>
                    <w:r>
                      <w:rPr>
                        <w:sz w:val="20"/>
                        <w:lang w:eastAsia="lt-LT"/>
                      </w:rPr>
                      <w:t>metus gautinos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3.3.1.</w:t>
                    </w:r>
                  </w:p>
                </w:tc>
                <w:tc>
                  <w:tcPr>
                    <w:tcW w:w="4282" w:type="dxa"/>
                    <w:tcBorders>
                      <w:top w:val="single" w:sz="4" w:space="0" w:color="auto"/>
                      <w:left w:val="single" w:sz="4" w:space="0" w:color="auto"/>
                      <w:bottom w:val="nil"/>
                      <w:right w:val="nil"/>
                    </w:tcBorders>
                    <w:shd w:val="clear" w:color="auto" w:fill="auto"/>
                    <w:noWrap/>
                    <w:vAlign w:val="center"/>
                  </w:tcPr>
                  <w:p>
                    <w:pPr>
                      <w:ind w:left="220"/>
                      <w:rPr>
                        <w:sz w:val="20"/>
                        <w:lang w:eastAsia="lt-LT"/>
                      </w:rPr>
                    </w:pPr>
                    <w:r>
                      <w:rPr>
                        <w:sz w:val="20"/>
                        <w:lang w:eastAsia="lt-LT"/>
                      </w:rPr>
                      <w:t>Suteiktos paskolos</w:t>
                    </w:r>
                  </w:p>
                </w:tc>
                <w:tc>
                  <w:tcPr>
                    <w:tcW w:w="103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67"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3.3.2.</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įmokų į fondus sumos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3.3.3.</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finansavimo sumos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3.3.4.</w:t>
                    </w:r>
                  </w:p>
                </w:tc>
                <w:tc>
                  <w:tcPr>
                    <w:tcW w:w="4282" w:type="dxa"/>
                    <w:tcBorders>
                      <w:top w:val="single" w:sz="4" w:space="0" w:color="auto"/>
                      <w:left w:val="single" w:sz="4" w:space="0" w:color="auto"/>
                      <w:bottom w:val="nil"/>
                      <w:right w:val="single" w:sz="4" w:space="0" w:color="auto"/>
                    </w:tcBorders>
                    <w:shd w:val="clear" w:color="auto" w:fill="auto"/>
                    <w:noWrap/>
                    <w:vAlign w:val="center"/>
                  </w:tcPr>
                  <w:p>
                    <w:pPr>
                      <w:ind w:left="220"/>
                      <w:rPr>
                        <w:sz w:val="20"/>
                        <w:lang w:eastAsia="lt-LT"/>
                      </w:rPr>
                    </w:pPr>
                    <w:r>
                      <w:rPr>
                        <w:sz w:val="20"/>
                        <w:lang w:eastAsia="lt-LT"/>
                      </w:rPr>
                      <w:t>Gautinos sumos iš biudžeto už pervestas pajamų įmokas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3.3.5.</w:t>
                    </w:r>
                  </w:p>
                </w:tc>
                <w:tc>
                  <w:tcPr>
                    <w:tcW w:w="4282" w:type="dxa"/>
                    <w:tcBorders>
                      <w:top w:val="single" w:sz="4" w:space="0" w:color="auto"/>
                      <w:left w:val="single" w:sz="4" w:space="0" w:color="auto"/>
                      <w:bottom w:val="nil"/>
                      <w:right w:val="single" w:sz="4" w:space="0" w:color="auto"/>
                    </w:tcBorders>
                    <w:shd w:val="clear" w:color="auto" w:fill="auto"/>
                    <w:noWrap/>
                    <w:vAlign w:val="center"/>
                  </w:tcPr>
                  <w:p>
                    <w:pPr>
                      <w:ind w:left="220"/>
                      <w:rPr>
                        <w:sz w:val="20"/>
                        <w:lang w:eastAsia="lt-LT"/>
                      </w:rPr>
                    </w:pPr>
                    <w:r>
                      <w:rPr>
                        <w:sz w:val="20"/>
                        <w:lang w:eastAsia="lt-LT"/>
                      </w:rPr>
                      <w:t>Gautinos sumos už turto naudojimą, parduotas prekes, turtą, paslaugas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3.3.6.</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Kitos gautinos sumos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Trumpalaikės investicijos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38"/>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w:t>
                    </w:r>
                  </w:p>
                </w:tc>
                <w:tc>
                  <w:tcPr>
                    <w:tcW w:w="4282"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Pinigai ir pinigų ekvivalentai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13"/>
                </w:trPr>
                <w:tc>
                  <w:tcPr>
                    <w:tcW w:w="816"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4.</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IŠ VISO TURTO:</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24"/>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5.</w:t>
                    </w:r>
                  </w:p>
                </w:tc>
                <w:tc>
                  <w:tcPr>
                    <w:tcW w:w="4282"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FINANSAVIMO SUMOS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41"/>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5.1.</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 xml:space="preserve">Iš valstybės biudžeto </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82"/>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5.2.</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savivaldybės biudžeto</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69"/>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5.3.</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Europos Sąjungos, užsienio valstybių ir tarptautinių organizacijų</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5.4. </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viešojo sektoriaus subjektų pajamų</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5.5.</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fizinių ir privačių juridinių asmenų</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14"/>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6.</w:t>
                    </w:r>
                  </w:p>
                </w:tc>
                <w:tc>
                  <w:tcPr>
                    <w:tcW w:w="4282"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ĮSIPAREIGOJIMAI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32"/>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6.1.</w:t>
                    </w:r>
                  </w:p>
                </w:tc>
                <w:tc>
                  <w:tcPr>
                    <w:tcW w:w="4282"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Atidėjiniai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w:t>
                    </w:r>
                  </w:p>
                </w:tc>
                <w:tc>
                  <w:tcPr>
                    <w:tcW w:w="4282"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Ilgalaikiai įsipareigojimai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6.2.1.</w:t>
                    </w:r>
                  </w:p>
                </w:tc>
                <w:tc>
                  <w:tcPr>
                    <w:tcW w:w="4282"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Ilgalaikiai skoliniai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82"/>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6.2.2.</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ilgalaikiai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00"/>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6.3.</w:t>
                    </w:r>
                  </w:p>
                </w:tc>
                <w:tc>
                  <w:tcPr>
                    <w:tcW w:w="4282" w:type="dxa"/>
                    <w:tcBorders>
                      <w:top w:val="single" w:sz="4" w:space="0" w:color="auto"/>
                      <w:left w:val="single" w:sz="4" w:space="0" w:color="auto"/>
                      <w:bottom w:val="single" w:sz="4" w:space="0" w:color="auto"/>
                      <w:right w:val="single" w:sz="4" w:space="0" w:color="000000"/>
                    </w:tcBorders>
                    <w:shd w:val="clear" w:color="auto" w:fill="auto"/>
                    <w:noWrap/>
                    <w:vAlign w:val="center"/>
                  </w:tcPr>
                  <w:p>
                    <w:pPr>
                      <w:rPr>
                        <w:sz w:val="20"/>
                        <w:lang w:eastAsia="lt-LT"/>
                      </w:rPr>
                    </w:pPr>
                    <w:r>
                      <w:rPr>
                        <w:sz w:val="20"/>
                        <w:lang w:eastAsia="lt-LT"/>
                      </w:rPr>
                      <w:t>Trumpalaikiai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6.3.1.</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Trumpalaikiai skoliniai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6.3.2.</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socialinės išmokos ir stipendijos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6.3.3.</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Tiekėjams mokėtinos sumos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6.3.4.</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Su darbo santykiais susiję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sumos už fondų administravimą</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46"/>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trumpalaikiai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7"/>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6.3.6.1.</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526"/>
                      <w:rPr>
                        <w:sz w:val="20"/>
                        <w:lang w:eastAsia="lt-LT"/>
                      </w:rPr>
                    </w:pPr>
                    <w:r>
                      <w:rPr>
                        <w:sz w:val="20"/>
                        <w:lang w:eastAsia="lt-LT"/>
                      </w:rPr>
                      <w:t>Mokėtinos sumos tarptautinėms institucijoms, į biudžetus ir fondus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66"/>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6.3.6.2.</w:t>
                    </w:r>
                  </w:p>
                </w:tc>
                <w:tc>
                  <w:tcPr>
                    <w:tcW w:w="4282" w:type="dxa"/>
                    <w:tcBorders>
                      <w:top w:val="nil"/>
                      <w:left w:val="single" w:sz="4" w:space="0" w:color="auto"/>
                      <w:bottom w:val="single" w:sz="4" w:space="0" w:color="auto"/>
                      <w:right w:val="single" w:sz="4" w:space="0" w:color="auto"/>
                    </w:tcBorders>
                    <w:shd w:val="clear" w:color="auto" w:fill="auto"/>
                    <w:noWrap/>
                    <w:vAlign w:val="center"/>
                  </w:tcPr>
                  <w:p>
                    <w:pPr>
                      <w:ind w:left="220" w:firstLine="306"/>
                      <w:rPr>
                        <w:sz w:val="20"/>
                        <w:lang w:eastAsia="lt-LT"/>
                      </w:rPr>
                    </w:pPr>
                    <w:r>
                      <w:rPr>
                        <w:sz w:val="20"/>
                        <w:lang w:eastAsia="lt-LT"/>
                      </w:rPr>
                      <w:t>Kiti įsipareigojimai</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7.</w:t>
                    </w:r>
                  </w:p>
                </w:tc>
                <w:tc>
                  <w:tcPr>
                    <w:tcW w:w="4282"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GRYNASIS TURTAS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02"/>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Rezervai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62"/>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Tikrosios vertės rezervas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36"/>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7.1.2.</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Mineralinių išteklių rezervas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54"/>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7.1.3.</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Medynų rezervas</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72"/>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7.1.4.</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left="282" w:hanging="2"/>
                      <w:rPr>
                        <w:sz w:val="20"/>
                        <w:lang w:eastAsia="lt-LT"/>
                      </w:rPr>
                    </w:pPr>
                    <w:r>
                      <w:rPr>
                        <w:sz w:val="20"/>
                        <w:lang w:eastAsia="lt-LT"/>
                      </w:rPr>
                      <w:t>Valdžios sektoriui priskiriamų įmonių rezervai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90"/>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7.1.5.</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left="282" w:hanging="2"/>
                      <w:rPr>
                        <w:sz w:val="20"/>
                        <w:lang w:eastAsia="lt-LT"/>
                      </w:rPr>
                    </w:pPr>
                    <w:r>
                      <w:rPr>
                        <w:sz w:val="20"/>
                        <w:lang w:eastAsia="lt-LT"/>
                      </w:rPr>
                      <w:t>Kiti rezervai</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w:t>
                    </w:r>
                  </w:p>
                </w:tc>
                <w:tc>
                  <w:tcPr>
                    <w:tcW w:w="4282"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 xml:space="preserve">Sukauptas perviršis ar deficitas </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321"/>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7.2.1.</w:t>
                    </w:r>
                  </w:p>
                </w:tc>
                <w:tc>
                  <w:tcPr>
                    <w:tcW w:w="4282"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Viešojo sektoriaus subjektų sukauptas perviršis ar deficitas be nuosavybės metodo įtakos</w:t>
                    </w:r>
                  </w:p>
                </w:tc>
                <w:tc>
                  <w:tcPr>
                    <w:tcW w:w="1038" w:type="dxa"/>
                    <w:tcBorders>
                      <w:top w:val="nil"/>
                      <w:left w:val="nil"/>
                      <w:bottom w:val="single" w:sz="4" w:space="0" w:color="auto"/>
                      <w:right w:val="nil"/>
                    </w:tcBorders>
                    <w:shd w:val="clear" w:color="auto" w:fill="FFFFFF"/>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71"/>
                </w:trPr>
                <w:tc>
                  <w:tcPr>
                    <w:tcW w:w="81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7.2.2.</w:t>
                    </w:r>
                  </w:p>
                </w:tc>
                <w:tc>
                  <w:tcPr>
                    <w:tcW w:w="4282"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Valdžios sektoriui priskiriamų įmonių nepaskirstytasis pelnas ar nuostoliai</w:t>
                    </w:r>
                  </w:p>
                </w:tc>
                <w:tc>
                  <w:tcPr>
                    <w:tcW w:w="1038" w:type="dxa"/>
                    <w:tcBorders>
                      <w:top w:val="nil"/>
                      <w:left w:val="nil"/>
                      <w:bottom w:val="single" w:sz="4" w:space="0" w:color="auto"/>
                      <w:right w:val="nil"/>
                    </w:tcBorders>
                    <w:shd w:val="clear" w:color="auto" w:fill="FFFFFF"/>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1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7.2.3.</w:t>
                    </w:r>
                  </w:p>
                </w:tc>
                <w:tc>
                  <w:tcPr>
                    <w:tcW w:w="4282" w:type="dxa"/>
                    <w:tcBorders>
                      <w:top w:val="single" w:sz="4" w:space="0" w:color="auto"/>
                      <w:left w:val="nil"/>
                      <w:bottom w:val="single" w:sz="4" w:space="0" w:color="auto"/>
                      <w:right w:val="single" w:sz="4" w:space="0" w:color="auto"/>
                    </w:tcBorders>
                    <w:shd w:val="clear" w:color="auto" w:fill="auto"/>
                    <w:noWrap/>
                    <w:vAlign w:val="center"/>
                  </w:tcPr>
                  <w:p>
                    <w:pPr>
                      <w:ind w:left="205"/>
                      <w:rPr>
                        <w:sz w:val="20"/>
                        <w:lang w:eastAsia="lt-LT"/>
                      </w:rPr>
                    </w:pPr>
                    <w:r>
                      <w:rPr>
                        <w:sz w:val="20"/>
                        <w:lang w:eastAsia="lt-LT"/>
                      </w:rPr>
                      <w:t>Nuosavybės metodo įtaka</w:t>
                    </w:r>
                  </w:p>
                </w:tc>
                <w:tc>
                  <w:tcPr>
                    <w:tcW w:w="1038"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114"/>
                </w:trPr>
                <w:tc>
                  <w:tcPr>
                    <w:tcW w:w="816" w:type="dxa"/>
                    <w:tcBorders>
                      <w:top w:val="nil"/>
                      <w:left w:val="single" w:sz="4" w:space="0" w:color="auto"/>
                      <w:bottom w:val="single" w:sz="4" w:space="0" w:color="auto"/>
                      <w:right w:val="nil"/>
                    </w:tcBorders>
                    <w:shd w:val="clear" w:color="auto" w:fill="auto"/>
                    <w:vAlign w:val="center"/>
                  </w:tcPr>
                  <w:p>
                    <w:pPr>
                      <w:jc w:val="center"/>
                      <w:rPr>
                        <w:b/>
                        <w:sz w:val="20"/>
                        <w:lang w:eastAsia="lt-LT"/>
                      </w:rPr>
                    </w:pPr>
                    <w:r>
                      <w:rPr>
                        <w:b/>
                        <w:sz w:val="20"/>
                        <w:lang w:eastAsia="lt-LT"/>
                      </w:rPr>
                      <w:t>8.</w:t>
                    </w:r>
                  </w:p>
                </w:tc>
                <w:tc>
                  <w:tcPr>
                    <w:tcW w:w="4282" w:type="dxa"/>
                    <w:tcBorders>
                      <w:top w:val="nil"/>
                      <w:left w:val="single" w:sz="4" w:space="0" w:color="auto"/>
                      <w:bottom w:val="single" w:sz="4" w:space="0" w:color="auto"/>
                      <w:right w:val="single" w:sz="4" w:space="0" w:color="auto"/>
                    </w:tcBorders>
                    <w:shd w:val="clear" w:color="auto" w:fill="FFFFFF"/>
                    <w:noWrap/>
                    <w:vAlign w:val="center"/>
                  </w:tcPr>
                  <w:p>
                    <w:pPr>
                      <w:rPr>
                        <w:b/>
                        <w:sz w:val="20"/>
                        <w:lang w:eastAsia="lt-LT"/>
                      </w:rPr>
                    </w:pPr>
                    <w:r>
                      <w:rPr>
                        <w:b/>
                        <w:sz w:val="20"/>
                        <w:lang w:eastAsia="lt-LT"/>
                      </w:rPr>
                      <w:t>MAŽUMOS DALIS</w:t>
                    </w:r>
                  </w:p>
                </w:tc>
                <w:tc>
                  <w:tcPr>
                    <w:tcW w:w="1038" w:type="dxa"/>
                    <w:tcBorders>
                      <w:top w:val="nil"/>
                      <w:left w:val="nil"/>
                      <w:bottom w:val="single" w:sz="4" w:space="0" w:color="auto"/>
                      <w:right w:val="nil"/>
                    </w:tcBorders>
                    <w:shd w:val="clear" w:color="auto" w:fill="FFFFFF"/>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557"/>
                </w:trPr>
                <w:tc>
                  <w:tcPr>
                    <w:tcW w:w="816"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9.</w:t>
                    </w:r>
                  </w:p>
                </w:tc>
                <w:tc>
                  <w:tcPr>
                    <w:tcW w:w="4282" w:type="dxa"/>
                    <w:tcBorders>
                      <w:top w:val="single" w:sz="4" w:space="0" w:color="auto"/>
                      <w:left w:val="nil"/>
                      <w:bottom w:val="single" w:sz="4" w:space="0" w:color="auto"/>
                      <w:right w:val="single" w:sz="4" w:space="0" w:color="000000"/>
                    </w:tcBorders>
                    <w:shd w:val="clear" w:color="auto" w:fill="auto"/>
                    <w:vAlign w:val="center"/>
                  </w:tcPr>
                  <w:p>
                    <w:pPr>
                      <w:rPr>
                        <w:b/>
                        <w:bCs/>
                        <w:sz w:val="20"/>
                        <w:lang w:eastAsia="lt-LT"/>
                      </w:rPr>
                    </w:pPr>
                    <w:r>
                      <w:rPr>
                        <w:b/>
                        <w:bCs/>
                        <w:sz w:val="20"/>
                        <w:lang w:eastAsia="lt-LT"/>
                      </w:rPr>
                      <w:t>IŠ VISO FINANSAVIMO SUMŲ, ĮSIPAREIGOJIMŲ, GRYNOJO TURTO IR MAŽUMOS DALIES:</w:t>
                    </w:r>
                  </w:p>
                </w:tc>
                <w:tc>
                  <w:tcPr>
                    <w:tcW w:w="1038" w:type="dxa"/>
                    <w:tcBorders>
                      <w:top w:val="nil"/>
                      <w:left w:val="nil"/>
                      <w:bottom w:val="single" w:sz="4" w:space="0" w:color="auto"/>
                      <w:right w:val="nil"/>
                    </w:tcBorders>
                    <w:shd w:val="clear" w:color="auto" w:fill="auto"/>
                    <w:vAlign w:val="center"/>
                  </w:tcPr>
                  <w:p>
                    <w:pPr>
                      <w:ind w:firstLine="50"/>
                      <w:rPr>
                        <w:sz w:val="20"/>
                        <w:lang w:eastAsia="lt-LT"/>
                      </w:rPr>
                    </w:pPr>
                  </w:p>
                </w:tc>
                <w:tc>
                  <w:tcPr>
                    <w:tcW w:w="146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606"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bl>
            <w:p>
              <w:pPr>
                <w:jc w:val="both"/>
                <w:rPr>
                  <w:bCs/>
                  <w:szCs w:val="24"/>
                  <w:lang w:eastAsia="lt-LT"/>
                </w:rPr>
              </w:pPr>
              <w:r>
                <w:rPr>
                  <w:b/>
                  <w:szCs w:val="24"/>
                  <w:lang w:eastAsia="lt-LT"/>
                </w:rPr>
                <w:t xml:space="preserve">Pastaba. </w:t>
              </w:r>
              <w:r>
                <w:rPr>
                  <w:bCs/>
                  <w:szCs w:val="24"/>
                  <w:lang w:eastAsia="lt-LT"/>
                </w:rPr>
                <w:t xml:space="preserve">Forma pildoma rengiant viešojo sektoriaus subjektų grupės žemesniojo lygio finansinių ataskaitų rinkinio finansinės būklės ataskaitą. </w:t>
              </w:r>
            </w:p>
            <w:p>
              <w:pPr>
                <w:jc w:val="center"/>
              </w:pPr>
              <w:r>
                <w:rPr>
                  <w:bCs/>
                  <w:szCs w:val="24"/>
                  <w:lang w:eastAsia="lt-LT"/>
                </w:rPr>
                <w:t>____________________________________</w:t>
                <w:br w:type="page"/>
              </w:r>
            </w:p>
          </w:sdtContent>
        </w:sdt>
      </w:sdtContent>
    </w:sdt>
    <w:sdt>
      <w:sdtPr>
        <w:alias w:val="3 pr."/>
        <w:tag w:val="part_85159cce5da845f888b878b17495b344"/>
        <w:lock w:val="sdtLocked"/>
        <w:richText/>
      </w:sdtPr>
      <w:sdtContent>
        <w:p>
          <w:pPr>
            <w:tabs>
              <w:tab w:val="left" w:pos="933"/>
              <w:tab w:val="left" w:pos="4149"/>
              <w:tab w:val="left" w:pos="6103"/>
              <w:tab w:val="left" w:pos="7365"/>
              <w:tab w:val="left" w:pos="8901"/>
              <w:tab w:val="left" w:pos="10344"/>
            </w:tabs>
            <w:ind w:left="4536"/>
            <w:rPr>
              <w:szCs w:val="24"/>
              <w:lang w:eastAsia="lt-LT"/>
            </w:rPr>
          </w:pPr>
          <w:r>
            <w:rPr>
              <w:szCs w:val="24"/>
              <w:lang w:eastAsia="lt-LT"/>
            </w:rPr>
            <w:t xml:space="preserve">2-ojo </w:t>
          </w:r>
          <w:r>
            <w:t>viešojo sektoriaus apskaitos ir finansinės atskaitomybės standarto</w:t>
          </w:r>
          <w:r>
            <w:rPr>
              <w:szCs w:val="24"/>
              <w:lang w:eastAsia="lt-LT"/>
            </w:rPr>
            <w:t xml:space="preserve"> „Finansinės būklės ataskaita“</w:t>
          </w:r>
        </w:p>
        <w:p>
          <w:pPr>
            <w:tabs>
              <w:tab w:val="left" w:pos="933"/>
              <w:tab w:val="left" w:pos="4149"/>
              <w:tab w:val="left" w:pos="6103"/>
              <w:tab w:val="left" w:pos="7365"/>
              <w:tab w:val="left" w:pos="8901"/>
              <w:tab w:val="left" w:pos="10344"/>
            </w:tabs>
            <w:ind w:left="4536"/>
            <w:rPr>
              <w:szCs w:val="24"/>
              <w:lang w:eastAsia="lt-LT"/>
            </w:rPr>
          </w:pPr>
          <w:sdt>
            <w:sdtPr>
              <w:alias w:val="Numeris"/>
              <w:tag w:val="nr_85159cce5da845f888b878b17495b344"/>
              <w:lock w:val="sdtLocked"/>
              <w:richText/>
            </w:sdtPr>
            <w:sdtContent>
              <w:r>
                <w:rPr>
                  <w:szCs w:val="24"/>
                  <w:lang w:eastAsia="lt-LT"/>
                </w:rPr>
                <w:t>3</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85159cce5da845f888b878b17495b344"/>
              <w:lock w:val="sdtLocked"/>
              <w:richText/>
            </w:sdtPr>
            <w:sdtContent>
              <w:r>
                <w:rPr>
                  <w:b/>
                  <w:bCs/>
                  <w:szCs w:val="24"/>
                  <w:lang w:eastAsia="lt-LT"/>
                </w:rPr>
                <w:t xml:space="preserve">(Valstybės finansinės būklės ataskaitos forma) </w:t>
              </w:r>
            </w:sdtContent>
          </w:sdt>
        </w:p>
        <w:p>
          <w:pPr>
            <w:tabs>
              <w:tab w:val="left" w:leader="underscore" w:pos="8901"/>
            </w:tabs>
            <w:jc w:val="center"/>
            <w:rPr>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(valstybės)</w:t>
          </w:r>
        </w:p>
        <w:p>
          <w:pPr>
            <w:jc w:val="center"/>
            <w:rPr>
              <w:szCs w:val="24"/>
              <w:lang w:eastAsia="lt-LT"/>
            </w:rPr>
          </w:pPr>
        </w:p>
        <w:p>
          <w:pPr>
            <w:jc w:val="center"/>
            <w:rPr>
              <w:szCs w:val="24"/>
              <w:lang w:eastAsia="lt-LT"/>
            </w:rPr>
          </w:pPr>
          <w:r>
            <w:rPr>
              <w:szCs w:val="24"/>
              <w:lang w:eastAsia="lt-LT"/>
            </w:rPr>
            <w:t>(viešojo sektoriaus subjekto, parengusio valstybės finansinės būklės ataskaitą, kodas, adresas)</w:t>
          </w:r>
        </w:p>
        <w:p>
          <w:pPr>
            <w:tabs>
              <w:tab w:val="left" w:pos="10344"/>
              <w:tab w:val="left" w:pos="11584"/>
            </w:tabs>
            <w:rPr>
              <w:szCs w:val="24"/>
              <w:lang w:eastAsia="lt-LT"/>
            </w:rPr>
          </w:pPr>
        </w:p>
        <w:sdt>
          <w:sdtPr>
            <w:alias w:val="skirsnis"/>
            <w:tag w:val="part_8472ef916e1d4487a7517e00f87d9be1"/>
            <w:lock w:val="sdtLocked"/>
            <w:richText/>
          </w:sdtPr>
          <w:sdtContent>
            <w:sdt>
              <w:sdtPr>
                <w:alias w:val="Pavadinimas"/>
                <w:tag w:val="title_8472ef916e1d4487a7517e00f87d9be1"/>
                <w:lock w:val="sdtLocked"/>
                <w:richText/>
              </w:sdtPr>
              <w:sdtContent>
                <w:p>
                  <w:pPr>
                    <w:jc w:val="center"/>
                    <w:rPr>
                      <w:b/>
                      <w:bCs/>
                      <w:szCs w:val="24"/>
                      <w:lang w:eastAsia="lt-LT"/>
                    </w:rPr>
                  </w:pPr>
                  <w:r>
                    <w:rPr>
                      <w:b/>
                      <w:bCs/>
                      <w:szCs w:val="24"/>
                      <w:lang w:eastAsia="lt-LT"/>
                    </w:rPr>
                    <w:t>VALSTYBĖS FINANSINĖS BŪKLĖS ATASKAITA</w:t>
                  </w:r>
                </w:p>
                <w:p>
                  <w:pPr>
                    <w:jc w:val="center"/>
                    <w:rPr>
                      <w:b/>
                      <w:bCs/>
                      <w:szCs w:val="24"/>
                      <w:lang w:eastAsia="lt-LT"/>
                    </w:rPr>
                  </w:pPr>
                  <w:r>
                    <w:rPr>
                      <w:b/>
                      <w:bCs/>
                      <w:szCs w:val="24"/>
                      <w:lang w:eastAsia="lt-LT"/>
                    </w:rPr>
                    <w:t>PAGAL 20_____M.______D. DUOMENIS</w:t>
                  </w:r>
                </w:p>
              </w:sdtContent>
            </w:sdt>
            <w:p>
              <w:pPr>
                <w:tabs>
                  <w:tab w:val="left" w:pos="913"/>
                  <w:tab w:val="left" w:pos="6320"/>
                  <w:tab w:val="left" w:pos="9372"/>
                  <w:tab w:val="left" w:pos="10344"/>
                  <w:tab w:val="left" w:pos="11584"/>
                </w:tabs>
                <w:jc w:val="center"/>
                <w:rPr>
                  <w:szCs w:val="24"/>
                  <w:lang w:eastAsia="lt-LT"/>
                </w:rPr>
              </w:pPr>
            </w:p>
            <w:p>
              <w:pPr>
                <w:jc w:val="center"/>
                <w:rPr>
                  <w:szCs w:val="24"/>
                  <w:lang w:eastAsia="lt-LT"/>
                </w:rPr>
              </w:pPr>
              <w:r>
                <w:rPr>
                  <w:szCs w:val="24"/>
                  <w:lang w:eastAsia="lt-LT"/>
                </w:rPr>
                <w:t>_____________________Nr. _____</w:t>
              </w:r>
            </w:p>
            <w:p>
              <w:pPr>
                <w:jc w:val="center"/>
                <w:rPr>
                  <w:szCs w:val="24"/>
                  <w:lang w:eastAsia="lt-LT"/>
                </w:rPr>
              </w:pPr>
              <w:r>
                <w:rPr>
                  <w:szCs w:val="24"/>
                  <w:lang w:eastAsia="lt-LT"/>
                </w:rPr>
                <w:t>(data)</w:t>
              </w:r>
            </w:p>
            <w:p>
              <w:pPr>
                <w:tabs>
                  <w:tab w:val="left" w:pos="913"/>
                  <w:tab w:val="left" w:pos="6320"/>
                </w:tabs>
                <w:jc w:val="right"/>
                <w:rPr>
                  <w:i/>
                  <w:iCs/>
                  <w:szCs w:val="24"/>
                  <w:lang w:eastAsia="lt-LT"/>
                </w:rPr>
              </w:pPr>
            </w:p>
            <w:p>
              <w:pPr>
                <w:tabs>
                  <w:tab w:val="left" w:pos="913"/>
                  <w:tab w:val="left" w:pos="6320"/>
                </w:tabs>
                <w:jc w:val="right"/>
                <w:rPr>
                  <w:i/>
                  <w:iCs/>
                  <w:szCs w:val="24"/>
                  <w:lang w:eastAsia="lt-LT"/>
                </w:rPr>
              </w:pPr>
              <w:r>
                <w:rPr>
                  <w:i/>
                  <w:iCs/>
                  <w:szCs w:val="24"/>
                  <w:lang w:eastAsia="lt-LT"/>
                </w:rPr>
                <w:t>Pateikimo valiuta ir tikslumas: tūkstančiais eurų</w:t>
              </w:r>
            </w:p>
            <w:tbl>
              <w:tblPr>
                <w:tblW w:w="9070" w:type="dxa"/>
                <w:tblLook w:val="0000" w:firstRow="0" w:lastRow="0" w:firstColumn="0" w:lastColumn="0" w:noHBand="0" w:noVBand="0"/>
              </w:tblPr>
              <w:tblGrid>
                <w:gridCol w:w="1166"/>
                <w:gridCol w:w="4129"/>
                <w:gridCol w:w="1077"/>
                <w:gridCol w:w="1370"/>
                <w:gridCol w:w="1328"/>
              </w:tblGrid>
              <w:tr>
                <w:trPr>
                  <w:trHeight w:val="1350"/>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Eil. Nr.</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b/>
                        <w:bCs/>
                        <w:sz w:val="20"/>
                        <w:lang w:eastAsia="lt-LT"/>
                      </w:rPr>
                    </w:pPr>
                    <w:r>
                      <w:rPr>
                        <w:b/>
                        <w:bCs/>
                        <w:sz w:val="20"/>
                        <w:lang w:eastAsia="lt-LT"/>
                      </w:rPr>
                      <w:t>Straipsniai</w:t>
                    </w:r>
                  </w:p>
                </w:tc>
                <w:tc>
                  <w:tcPr>
                    <w:tcW w:w="1077" w:type="dxa"/>
                    <w:tcBorders>
                      <w:top w:val="single" w:sz="4" w:space="0" w:color="auto"/>
                      <w:left w:val="nil"/>
                      <w:bottom w:val="single" w:sz="4" w:space="0" w:color="auto"/>
                      <w:right w:val="nil"/>
                    </w:tcBorders>
                    <w:shd w:val="clear" w:color="auto" w:fill="auto"/>
                    <w:vAlign w:val="center"/>
                  </w:tcPr>
                  <w:p>
                    <w:pPr>
                      <w:jc w:val="center"/>
                      <w:rPr>
                        <w:b/>
                        <w:bCs/>
                        <w:sz w:val="20"/>
                        <w:lang w:eastAsia="lt-LT"/>
                      </w:rPr>
                    </w:pPr>
                    <w:r>
                      <w:rPr>
                        <w:b/>
                        <w:bCs/>
                        <w:sz w:val="20"/>
                        <w:lang w:eastAsia="lt-LT"/>
                      </w:rPr>
                      <w:t xml:space="preserve">Pastabos Nr. </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ataskaitinio laikotarpio diena</w:t>
                    </w:r>
                  </w:p>
                </w:tc>
                <w:tc>
                  <w:tcPr>
                    <w:tcW w:w="1328"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praėjusio ataskaitinio laikotarpio diena</w:t>
                    </w:r>
                  </w:p>
                </w:tc>
              </w:tr>
              <w:tr>
                <w:trPr>
                  <w:trHeight w:val="174"/>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sz w:val="20"/>
                        <w:lang w:eastAsia="lt-LT"/>
                      </w:rPr>
                    </w:pPr>
                    <w:r>
                      <w:rPr>
                        <w:sz w:val="20"/>
                        <w:lang w:eastAsia="lt-LT"/>
                      </w:rPr>
                      <w:t>2</w:t>
                    </w:r>
                  </w:p>
                </w:tc>
                <w:tc>
                  <w:tcPr>
                    <w:tcW w:w="1077" w:type="dxa"/>
                    <w:tcBorders>
                      <w:top w:val="single" w:sz="4" w:space="0" w:color="auto"/>
                      <w:left w:val="nil"/>
                      <w:bottom w:val="single" w:sz="4" w:space="0" w:color="auto"/>
                      <w:right w:val="nil"/>
                    </w:tcBorders>
                    <w:shd w:val="clear" w:color="auto" w:fill="auto"/>
                    <w:vAlign w:val="center"/>
                  </w:tcPr>
                  <w:p>
                    <w:pPr>
                      <w:jc w:val="center"/>
                      <w:rPr>
                        <w:sz w:val="20"/>
                        <w:lang w:eastAsia="lt-LT"/>
                      </w:rPr>
                    </w:pPr>
                    <w:r>
                      <w:rPr>
                        <w:sz w:val="20"/>
                        <w:lang w:eastAsia="lt-LT"/>
                      </w:rPr>
                      <w:t>3</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1328" w:type="dxa"/>
                    <w:tcBorders>
                      <w:top w:val="single" w:sz="4" w:space="0" w:color="auto"/>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1.</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ILGALAIKIS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Nematerialusis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1.2.1.</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Žemė</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1.2.2.</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Pastatai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1.2.3.</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Infrastruktūros statiniai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1.2.4.</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Kiti statiniai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1.2.5.</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Mašinos ir įrenginiai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1.2.6.</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Transporto priemonės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1.2.7.</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Baldai, biuro įranga ir kitas ilgalaikis 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1.2.8.</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Kultūros ir kitos vertybės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1.2.9.</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Nebaigta statyba ir iš anksto sumokėtos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finansinis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1.3.1.</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Investicijos į nuosavybės vertybinius popierius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Išvestinių finansinių priemonių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1.3.3.</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Obligacijos, vekseliai, kiti ne nuosavybės vertybiniai popieriai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1.3.4.</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Ilgalaikiai terminuotieji indėliai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1.3.5.</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Suteiktos ilgalaikės paskolos ir kitos ilgalaikės gautinos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1.3.6.</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Kitas finansinis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1.4.</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Mineraliniai ištekliai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1.5.</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Kitas ilgalaikis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 xml:space="preserve">BIOLOGINIS TURTAS </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3.</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TRUMPALAIKIS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Atsargos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anksto sumokėtos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Per vienus</w:t>
                    </w:r>
                    <w:r>
                      <w:rPr>
                        <w:b/>
                        <w:bCs/>
                        <w:sz w:val="20"/>
                        <w:lang w:eastAsia="lt-LT"/>
                      </w:rPr>
                      <w:t xml:space="preserve"> </w:t>
                    </w:r>
                    <w:r>
                      <w:rPr>
                        <w:sz w:val="20"/>
                        <w:lang w:eastAsia="lt-LT"/>
                      </w:rPr>
                      <w:t>metus gautinos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3.3.1.</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Suteiktos paskolos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3.3.2.</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Gautini mokesčiai, socialinės įmokos ir kitos įmokų į fondus sumos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3.3.3.</w:t>
                    </w:r>
                  </w:p>
                </w:tc>
                <w:tc>
                  <w:tcPr>
                    <w:tcW w:w="4129" w:type="dxa"/>
                    <w:tcBorders>
                      <w:top w:val="single" w:sz="4" w:space="0" w:color="auto"/>
                      <w:left w:val="single" w:sz="4" w:space="0" w:color="auto"/>
                      <w:bottom w:val="nil"/>
                      <w:right w:val="nil"/>
                    </w:tcBorders>
                    <w:shd w:val="clear" w:color="auto" w:fill="auto"/>
                    <w:noWrap/>
                    <w:vAlign w:val="center"/>
                  </w:tcPr>
                  <w:p>
                    <w:pPr>
                      <w:ind w:firstLine="280"/>
                      <w:rPr>
                        <w:sz w:val="20"/>
                        <w:lang w:eastAsia="lt-LT"/>
                      </w:rPr>
                    </w:pPr>
                    <w:r>
                      <w:rPr>
                        <w:sz w:val="20"/>
                        <w:lang w:eastAsia="lt-LT"/>
                      </w:rPr>
                      <w:t>Gautinos finansavimo sumos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3.3.4.</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Gautinos sumos už turto naudojimą, parduotas prekes, turtą, paslaugas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76"/>
                      <w:rPr>
                        <w:sz w:val="20"/>
                        <w:lang w:eastAsia="lt-LT"/>
                      </w:rPr>
                    </w:pPr>
                    <w:r>
                      <w:rPr>
                        <w:sz w:val="20"/>
                        <w:lang w:eastAsia="lt-LT"/>
                      </w:rPr>
                      <w:t>Kitos gautinos sumos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lang w:eastAsia="lt-LT"/>
                      </w:rPr>
                    </w:pPr>
                    <w:r>
                      <w:rPr>
                        <w:sz w:val="20"/>
                        <w:lang w:eastAsia="lt-LT"/>
                      </w:rPr>
                      <w:t>Trumpalaikės investicijos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lang w:eastAsia="lt-LT"/>
                      </w:rPr>
                    </w:pPr>
                    <w:r>
                      <w:rPr>
                        <w:sz w:val="20"/>
                        <w:lang w:eastAsia="lt-LT"/>
                      </w:rPr>
                      <w:t>Pinigai ir pinigų ekvivalentai</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4.</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IŠ VISO TURTO:</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FINANSAVIMO SUMOS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savivaldybės biudžeto</w:t>
                    </w:r>
                  </w:p>
                </w:tc>
                <w:tc>
                  <w:tcPr>
                    <w:tcW w:w="1077" w:type="dxa"/>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Europos Sąjungos, užsienio valstybių ir tarptautinių organizacijų</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5.3. </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viešojo sektoriaus subjektų pajamų</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5.4.</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fizinių ir privačių juridinių asmenų</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6.</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ĮSIPAREIGOJIMAI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Atidėjiniai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w:t>
                    </w:r>
                  </w:p>
                </w:tc>
                <w:tc>
                  <w:tcPr>
                    <w:tcW w:w="4129"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Ilgalaikiai įsipareigojimai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6.2.1.</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Ilgalaikiai skoliniai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ilgalaikiai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6.3.</w:t>
                    </w:r>
                  </w:p>
                </w:tc>
                <w:tc>
                  <w:tcPr>
                    <w:tcW w:w="4129" w:type="dxa"/>
                    <w:tcBorders>
                      <w:top w:val="single" w:sz="4" w:space="0" w:color="auto"/>
                      <w:left w:val="single" w:sz="4" w:space="0" w:color="auto"/>
                      <w:bottom w:val="single" w:sz="4" w:space="0" w:color="auto"/>
                      <w:right w:val="single" w:sz="4" w:space="0" w:color="000000"/>
                    </w:tcBorders>
                    <w:shd w:val="clear" w:color="auto" w:fill="auto"/>
                    <w:noWrap/>
                    <w:vAlign w:val="center"/>
                  </w:tcPr>
                  <w:p>
                    <w:pPr>
                      <w:rPr>
                        <w:sz w:val="20"/>
                        <w:lang w:eastAsia="lt-LT"/>
                      </w:rPr>
                    </w:pPr>
                    <w:r>
                      <w:rPr>
                        <w:sz w:val="20"/>
                        <w:lang w:eastAsia="lt-LT"/>
                      </w:rPr>
                      <w:t>Trumpalaikiai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Trumpalaikiai skoliniai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socialinės išmokos ir stipendijos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6.3.3.</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Tiekėjams mokėtinos sumos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6.3.4.</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Su darbo santykiais susiję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sumos už fondų administravimą</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trumpalaikiai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526"/>
                      <w:rPr>
                        <w:sz w:val="20"/>
                        <w:lang w:eastAsia="lt-LT"/>
                      </w:rPr>
                    </w:pPr>
                    <w:r>
                      <w:rPr>
                        <w:sz w:val="20"/>
                        <w:lang w:eastAsia="lt-LT"/>
                      </w:rPr>
                      <w:t>Mokėtinos sumos tarptautinėms institucijoms, į biudžetus ir fondus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6.3.6.2.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firstLine="306"/>
                      <w:rPr>
                        <w:sz w:val="20"/>
                        <w:lang w:eastAsia="lt-LT"/>
                      </w:rPr>
                    </w:pPr>
                    <w:r>
                      <w:rPr>
                        <w:sz w:val="20"/>
                        <w:lang w:eastAsia="lt-LT"/>
                      </w:rPr>
                      <w:t>Kiti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7.</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GRYNASIS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Tikrosios vertės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Mineralinių išteklių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7.1.3.</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Medynų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7.1.4.</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left="252"/>
                      <w:rPr>
                        <w:sz w:val="20"/>
                        <w:lang w:eastAsia="lt-LT"/>
                      </w:rPr>
                    </w:pPr>
                    <w:r>
                      <w:rPr>
                        <w:sz w:val="20"/>
                        <w:lang w:eastAsia="lt-LT"/>
                      </w:rPr>
                      <w:t>Valdžios sektoriui priskiriamų įmonių 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7.1..5.</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left="286" w:hanging="6"/>
                      <w:rPr>
                        <w:sz w:val="20"/>
                        <w:lang w:eastAsia="lt-LT"/>
                      </w:rPr>
                    </w:pPr>
                    <w:r>
                      <w:rPr>
                        <w:sz w:val="20"/>
                        <w:lang w:eastAsia="lt-LT"/>
                      </w:rPr>
                      <w:t>Kiti 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w:t>
                    </w:r>
                  </w:p>
                </w:tc>
                <w:tc>
                  <w:tcPr>
                    <w:tcW w:w="4129"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 xml:space="preserve">Sukauptas perviršis ar deficitas </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7.2.1.</w:t>
                    </w:r>
                  </w:p>
                </w:tc>
                <w:tc>
                  <w:tcPr>
                    <w:tcW w:w="4129"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Viešojo sektoriaus subjektų sukauptas perviršis ar deficitas be nuosavybės metodo įtakos</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7.2.2.</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Valdžios sektoriui priskiriamų įmonių nepaskirstytasis pelnas ar nuostoliai</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7.2.3.</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Nuosavybės metodo įtaka</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b/>
                        <w:bCs/>
                        <w:sz w:val="20"/>
                        <w:lang w:eastAsia="lt-LT"/>
                      </w:rPr>
                    </w:pPr>
                    <w:r>
                      <w:rPr>
                        <w:b/>
                        <w:bCs/>
                        <w:sz w:val="20"/>
                        <w:lang w:eastAsia="lt-LT"/>
                      </w:rPr>
                      <w:t>8.</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3"/>
                      <w:rPr>
                        <w:b/>
                        <w:bCs/>
                        <w:sz w:val="20"/>
                        <w:lang w:eastAsia="lt-LT"/>
                      </w:rPr>
                    </w:pPr>
                    <w:r>
                      <w:rPr>
                        <w:b/>
                        <w:bCs/>
                        <w:sz w:val="20"/>
                        <w:lang w:eastAsia="lt-LT"/>
                      </w:rPr>
                      <w:t>MAŽUMOS DALIS</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495"/>
                </w:trPr>
                <w:tc>
                  <w:tcPr>
                    <w:tcW w:w="1166"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9.</w:t>
                    </w:r>
                  </w:p>
                </w:tc>
                <w:tc>
                  <w:tcPr>
                    <w:tcW w:w="4129" w:type="dxa"/>
                    <w:tcBorders>
                      <w:top w:val="single" w:sz="4" w:space="0" w:color="auto"/>
                      <w:left w:val="nil"/>
                      <w:bottom w:val="single" w:sz="4" w:space="0" w:color="auto"/>
                      <w:right w:val="single" w:sz="4" w:space="0" w:color="000000"/>
                    </w:tcBorders>
                    <w:shd w:val="clear" w:color="auto" w:fill="auto"/>
                    <w:vAlign w:val="center"/>
                  </w:tcPr>
                  <w:p>
                    <w:pPr>
                      <w:rPr>
                        <w:b/>
                        <w:bCs/>
                        <w:sz w:val="20"/>
                        <w:lang w:eastAsia="lt-LT"/>
                      </w:rPr>
                    </w:pPr>
                    <w:r>
                      <w:rPr>
                        <w:b/>
                        <w:bCs/>
                        <w:sz w:val="20"/>
                        <w:lang w:eastAsia="lt-LT"/>
                      </w:rPr>
                      <w:t>IŠ VISO FINANSAVIMO SUMŲ, ĮSIPAREIGOJIMŲ, GRYNOJO TURTO IR MAŽUMOS DALIES: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bl>
            <w:p>
              <w:pPr>
                <w:jc w:val="center"/>
                <w:rPr>
                  <w:szCs w:val="24"/>
                  <w:lang w:eastAsia="lt-LT"/>
                </w:rPr>
              </w:pPr>
            </w:p>
            <w:p>
              <w:pPr>
                <w:jc w:val="center"/>
                <w:rPr>
                  <w:szCs w:val="24"/>
                  <w:lang w:eastAsia="lt-LT"/>
                </w:rPr>
              </w:pPr>
              <w:r>
                <w:rPr>
                  <w:szCs w:val="24"/>
                  <w:lang w:eastAsia="lt-LT"/>
                </w:rPr>
                <w:t>__________________________</w:t>
              </w:r>
            </w:p>
            <w:p>
              <w:pPr>
                <w:rPr>
                  <w:szCs w:val="24"/>
                  <w:lang w:eastAsia="lt-LT"/>
                </w:rPr>
              </w:pPr>
              <w:r>
                <w:rPr>
                  <w:szCs w:val="24"/>
                  <w:lang w:eastAsia="lt-LT"/>
                </w:rPr>
                <w:br w:type="page"/>
              </w:r>
            </w:p>
          </w:sdtContent>
        </w:sdt>
      </w:sdtContent>
    </w:sdt>
    <w:sdt>
      <w:sdtPr>
        <w:alias w:val="4 pr."/>
        <w:tag w:val="part_efed7daa8d98456db78311d25d043b23"/>
        <w:lock w:val="sdtLocked"/>
        <w:richText/>
      </w:sdtPr>
      <w:sdtContent>
        <w:p>
          <w:pPr>
            <w:tabs>
              <w:tab w:val="left" w:pos="933"/>
              <w:tab w:val="left" w:pos="4149"/>
              <w:tab w:val="left" w:pos="6103"/>
              <w:tab w:val="left" w:pos="7365"/>
              <w:tab w:val="left" w:pos="8901"/>
              <w:tab w:val="left" w:pos="10344"/>
            </w:tabs>
            <w:ind w:left="4536"/>
            <w:rPr>
              <w:szCs w:val="24"/>
              <w:lang w:eastAsia="lt-LT"/>
            </w:rPr>
          </w:pPr>
          <w:r>
            <w:rPr>
              <w:szCs w:val="24"/>
              <w:lang w:eastAsia="lt-LT"/>
            </w:rPr>
            <w:t xml:space="preserve">2-ojo </w:t>
          </w:r>
          <w:r>
            <w:t>viešojo sektoriaus apskaitos ir finansinės atskaitomybės standarto</w:t>
          </w:r>
          <w:r>
            <w:rPr>
              <w:szCs w:val="24"/>
              <w:lang w:eastAsia="lt-LT"/>
            </w:rPr>
            <w:t xml:space="preserve"> „Finansinės būklės ataskaita“</w:t>
          </w:r>
        </w:p>
        <w:p>
          <w:pPr>
            <w:tabs>
              <w:tab w:val="left" w:pos="933"/>
              <w:tab w:val="left" w:pos="4149"/>
              <w:tab w:val="left" w:pos="6103"/>
              <w:tab w:val="left" w:pos="7365"/>
              <w:tab w:val="left" w:pos="8901"/>
              <w:tab w:val="left" w:pos="10344"/>
            </w:tabs>
            <w:ind w:left="4536"/>
            <w:rPr>
              <w:szCs w:val="24"/>
              <w:lang w:eastAsia="lt-LT"/>
            </w:rPr>
          </w:pPr>
          <w:sdt>
            <w:sdtPr>
              <w:alias w:val="Numeris"/>
              <w:tag w:val="nr_efed7daa8d98456db78311d25d043b23"/>
              <w:lock w:val="sdtLocked"/>
              <w:richText/>
            </w:sdtPr>
            <w:sdtContent>
              <w:r>
                <w:rPr>
                  <w:szCs w:val="24"/>
                  <w:lang w:eastAsia="lt-LT"/>
                </w:rPr>
                <w:t>4</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efed7daa8d98456db78311d25d043b23"/>
              <w:lock w:val="sdtLocked"/>
              <w:richText/>
            </w:sdtPr>
            <w:sdtContent>
              <w:r>
                <w:rPr>
                  <w:b/>
                  <w:bCs/>
                  <w:szCs w:val="24"/>
                  <w:lang w:eastAsia="lt-LT"/>
                </w:rPr>
                <w:t xml:space="preserve">(Savivaldybės finansinės būklės ataskaitos forma) </w:t>
              </w:r>
            </w:sdtContent>
          </w:sdt>
        </w:p>
        <w:p>
          <w:pPr>
            <w:jc w:val="center"/>
            <w:rPr>
              <w:b/>
              <w:bCs/>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(savivaldybės pavadinimas)</w:t>
          </w: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(viešojo sektoriaus subjekto, parengusio viešojo sektoriaus subjektų grupės finansinės būklės ataskaitą, kodas, adresas)</w:t>
          </w:r>
        </w:p>
        <w:p>
          <w:pPr>
            <w:tabs>
              <w:tab w:val="left" w:pos="10344"/>
              <w:tab w:val="left" w:pos="11584"/>
            </w:tabs>
            <w:jc w:val="center"/>
            <w:rPr>
              <w:szCs w:val="24"/>
              <w:lang w:eastAsia="lt-LT"/>
            </w:rPr>
          </w:pPr>
        </w:p>
        <w:sdt>
          <w:sdtPr>
            <w:alias w:val="skirsnis"/>
            <w:tag w:val="part_6f2e8482f6644a0b85369f5f6a282d3b"/>
            <w:lock w:val="sdtLocked"/>
            <w:richText/>
          </w:sdtPr>
          <w:sdtContent>
            <w:sdt>
              <w:sdtPr>
                <w:alias w:val="Pavadinimas"/>
                <w:tag w:val="title_6f2e8482f6644a0b85369f5f6a282d3b"/>
                <w:lock w:val="sdtLocked"/>
                <w:richText/>
              </w:sdtPr>
              <w:sdtContent>
                <w:p>
                  <w:pPr>
                    <w:jc w:val="center"/>
                    <w:rPr>
                      <w:b/>
                      <w:bCs/>
                      <w:szCs w:val="24"/>
                      <w:lang w:eastAsia="lt-LT"/>
                    </w:rPr>
                  </w:pPr>
                  <w:r>
                    <w:rPr>
                      <w:b/>
                      <w:bCs/>
                      <w:szCs w:val="24"/>
                      <w:lang w:eastAsia="lt-LT"/>
                    </w:rPr>
                    <w:t>SAVIVALDYBĖS FINANSINĖS BŪKLĖS ATASKAITA</w:t>
                  </w:r>
                </w:p>
                <w:p>
                  <w:pPr>
                    <w:jc w:val="center"/>
                    <w:rPr>
                      <w:b/>
                      <w:bCs/>
                      <w:szCs w:val="24"/>
                      <w:lang w:eastAsia="lt-LT"/>
                    </w:rPr>
                  </w:pPr>
                  <w:r>
                    <w:rPr>
                      <w:b/>
                      <w:bCs/>
                      <w:szCs w:val="24"/>
                      <w:lang w:eastAsia="lt-LT"/>
                    </w:rPr>
                    <w:t>PAGAL 20_____M.______D. DUOMENIS</w:t>
                  </w:r>
                </w:p>
              </w:sdtContent>
            </w:sdt>
            <w:p>
              <w:pPr>
                <w:tabs>
                  <w:tab w:val="left" w:pos="913"/>
                  <w:tab w:val="left" w:pos="6320"/>
                  <w:tab w:val="left" w:pos="9372"/>
                  <w:tab w:val="left" w:pos="10344"/>
                  <w:tab w:val="left" w:pos="11584"/>
                </w:tabs>
                <w:jc w:val="center"/>
                <w:rPr>
                  <w:szCs w:val="24"/>
                  <w:lang w:eastAsia="lt-LT"/>
                </w:rPr>
              </w:pPr>
            </w:p>
            <w:p>
              <w:pPr>
                <w:jc w:val="center"/>
                <w:rPr>
                  <w:szCs w:val="24"/>
                  <w:lang w:eastAsia="lt-LT"/>
                </w:rPr>
              </w:pPr>
              <w:r>
                <w:rPr>
                  <w:szCs w:val="24"/>
                  <w:lang w:eastAsia="lt-LT"/>
                </w:rPr>
                <w:t>_____________________Nr. _____</w:t>
              </w:r>
            </w:p>
            <w:p>
              <w:pPr>
                <w:jc w:val="center"/>
                <w:rPr>
                  <w:szCs w:val="24"/>
                  <w:lang w:eastAsia="lt-LT"/>
                </w:rPr>
              </w:pPr>
              <w:r>
                <w:rPr>
                  <w:szCs w:val="24"/>
                  <w:lang w:eastAsia="lt-LT"/>
                </w:rPr>
                <w:t>(data)</w:t>
              </w:r>
            </w:p>
            <w:p>
              <w:pPr>
                <w:tabs>
                  <w:tab w:val="left" w:pos="913"/>
                  <w:tab w:val="left" w:pos="6320"/>
                </w:tabs>
                <w:jc w:val="right"/>
                <w:rPr>
                  <w:i/>
                  <w:iCs/>
                  <w:szCs w:val="24"/>
                  <w:lang w:eastAsia="lt-LT"/>
                </w:rPr>
              </w:pPr>
            </w:p>
            <w:p>
              <w:pPr>
                <w:tabs>
                  <w:tab w:val="left" w:pos="913"/>
                  <w:tab w:val="left" w:pos="6320"/>
                </w:tabs>
                <w:jc w:val="right"/>
                <w:rPr>
                  <w:i/>
                  <w:iCs/>
                  <w:szCs w:val="24"/>
                  <w:lang w:eastAsia="lt-LT"/>
                </w:rPr>
              </w:pPr>
              <w:r>
                <w:rPr>
                  <w:i/>
                  <w:iCs/>
                  <w:szCs w:val="24"/>
                  <w:lang w:eastAsia="lt-LT"/>
                </w:rPr>
                <w:t>Pateikimo valiuta ir tikslumas: tūkstančiais eurų</w:t>
              </w:r>
            </w:p>
            <w:tbl>
              <w:tblPr>
                <w:tblW w:w="9070" w:type="dxa"/>
                <w:tblLook w:val="0000" w:firstRow="0" w:lastRow="0" w:firstColumn="0" w:lastColumn="0" w:noHBand="0" w:noVBand="0"/>
              </w:tblPr>
              <w:tblGrid>
                <w:gridCol w:w="827"/>
                <w:gridCol w:w="4129"/>
                <w:gridCol w:w="1135"/>
                <w:gridCol w:w="12"/>
                <w:gridCol w:w="1508"/>
                <w:gridCol w:w="1459"/>
              </w:tblGrid>
              <w:tr>
                <w:trPr>
                  <w:trHeight w:val="1350"/>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Eil. Nr.</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b/>
                        <w:bCs/>
                        <w:sz w:val="20"/>
                        <w:lang w:eastAsia="lt-LT"/>
                      </w:rPr>
                    </w:pPr>
                    <w:r>
                      <w:rPr>
                        <w:b/>
                        <w:bCs/>
                        <w:sz w:val="20"/>
                        <w:lang w:eastAsia="lt-LT"/>
                      </w:rPr>
                      <w:t>Straipsniai</w:t>
                    </w:r>
                  </w:p>
                </w:tc>
                <w:tc>
                  <w:tcPr>
                    <w:tcW w:w="1147" w:type="dxa"/>
                    <w:gridSpan w:val="2"/>
                    <w:tcBorders>
                      <w:top w:val="single" w:sz="4" w:space="0" w:color="auto"/>
                      <w:left w:val="nil"/>
                      <w:bottom w:val="single" w:sz="4" w:space="0" w:color="auto"/>
                      <w:right w:val="nil"/>
                    </w:tcBorders>
                    <w:shd w:val="clear" w:color="auto" w:fill="auto"/>
                    <w:vAlign w:val="center"/>
                  </w:tcPr>
                  <w:p>
                    <w:pPr>
                      <w:jc w:val="center"/>
                      <w:rPr>
                        <w:b/>
                        <w:bCs/>
                        <w:sz w:val="20"/>
                        <w:lang w:eastAsia="lt-LT"/>
                      </w:rPr>
                    </w:pPr>
                    <w:r>
                      <w:rPr>
                        <w:b/>
                        <w:bCs/>
                        <w:sz w:val="20"/>
                        <w:lang w:eastAsia="lt-LT"/>
                      </w:rPr>
                      <w:t xml:space="preserve">Pastabos Nr. </w:t>
                    </w: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ataskaitinio laikotarpio diena</w:t>
                    </w:r>
                  </w:p>
                </w:tc>
                <w:tc>
                  <w:tcPr>
                    <w:tcW w:w="1459"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praėjusio ataskaitinio laikotarpio diena</w:t>
                    </w:r>
                  </w:p>
                </w:tc>
              </w:tr>
              <w:tr>
                <w:trPr>
                  <w:trHeight w:val="63"/>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sz w:val="20"/>
                        <w:lang w:eastAsia="lt-LT"/>
                      </w:rPr>
                    </w:pPr>
                    <w:r>
                      <w:rPr>
                        <w:sz w:val="20"/>
                        <w:lang w:eastAsia="lt-LT"/>
                      </w:rPr>
                      <w:t>2</w:t>
                    </w:r>
                  </w:p>
                </w:tc>
                <w:tc>
                  <w:tcPr>
                    <w:tcW w:w="1147" w:type="dxa"/>
                    <w:gridSpan w:val="2"/>
                    <w:tcBorders>
                      <w:top w:val="single" w:sz="4" w:space="0" w:color="auto"/>
                      <w:left w:val="nil"/>
                      <w:bottom w:val="single" w:sz="4" w:space="0" w:color="auto"/>
                      <w:right w:val="nil"/>
                    </w:tcBorders>
                    <w:shd w:val="clear" w:color="auto" w:fill="auto"/>
                    <w:vAlign w:val="center"/>
                  </w:tcPr>
                  <w:p>
                    <w:pPr>
                      <w:jc w:val="center"/>
                      <w:rPr>
                        <w:sz w:val="20"/>
                        <w:lang w:eastAsia="lt-LT"/>
                      </w:rPr>
                    </w:pPr>
                    <w:r>
                      <w:rPr>
                        <w:sz w:val="20"/>
                        <w:lang w:eastAsia="lt-LT"/>
                      </w:rPr>
                      <w:t>3</w:t>
                    </w: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1459" w:type="dxa"/>
                    <w:tcBorders>
                      <w:top w:val="single" w:sz="4" w:space="0" w:color="auto"/>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1.</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ILGALAIKIS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Nematerialusis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materialusis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1.2.1.</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Žemė</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1.2.2.</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Pastatai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1.2.3.</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Infrastruktūros statiniai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1.2.4.</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Kiti statiniai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1.2.5.</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Mašinos ir įrenginiai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1.2.6.</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Transporto priemonės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1.2.7.</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Baldai, biuro įranga ir kitas ilgalaikis materialusis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1.2.8.</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Kultūros ir kitos vertybės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1.2.9.</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Nebaigta statyba ir iš anksto sumokėtos sumos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finansinis turtas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1.3.1.</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Investicijos į nuosavybės vertybinius popierius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Išvestinių finansinių priemonių turtas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1.3.3.</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Obligacijos, vekseliai, kiti ne nuosavybės vertybiniai popieriai</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1.3.4.</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Ilgalaikiai terminuotieji indėliai</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1.3.5.</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Suteiktos ilgalaikės paskolos ir kitos ilgalaikės gautinos sumos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1.3.6.</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Kitas finansinis turtas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1.4.</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Kitas ilgalaikis turtas</w:t>
                    </w:r>
                  </w:p>
                </w:tc>
                <w:tc>
                  <w:tcPr>
                    <w:tcW w:w="1135"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 xml:space="preserve">BIOLOGINIS TURTAS </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3.</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TRUMPALAIKIS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Atsargos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anksto sumokėtos sumos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lang w:eastAsia="lt-LT"/>
                      </w:rPr>
                    </w:pPr>
                    <w:r>
                      <w:rPr>
                        <w:sz w:val="20"/>
                        <w:lang w:eastAsia="lt-LT"/>
                      </w:rPr>
                      <w:t>Per vienus</w:t>
                    </w:r>
                    <w:r>
                      <w:rPr>
                        <w:b/>
                        <w:bCs/>
                        <w:sz w:val="20"/>
                        <w:lang w:eastAsia="lt-LT"/>
                      </w:rPr>
                      <w:t xml:space="preserve"> </w:t>
                    </w:r>
                    <w:r>
                      <w:rPr>
                        <w:sz w:val="20"/>
                        <w:lang w:eastAsia="lt-LT"/>
                      </w:rPr>
                      <w:t>metus gautinos sumos</w:t>
                    </w:r>
                  </w:p>
                </w:tc>
                <w:tc>
                  <w:tcPr>
                    <w:tcW w:w="114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Suteiktos paskolos</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 xml:space="preserve">Gautini mokesčiai </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3.3.3.</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Gautinos finansavimo sumos</w:t>
                    </w:r>
                  </w:p>
                </w:tc>
                <w:tc>
                  <w:tcPr>
                    <w:tcW w:w="114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3.3.4.</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Gautinos sumos už turto naudojimą, parduotas prekes, turtą, paslaugas</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Kitos gautinos sumos</w:t>
                    </w:r>
                  </w:p>
                </w:tc>
                <w:tc>
                  <w:tcPr>
                    <w:tcW w:w="1135" w:type="dxa"/>
                    <w:tcBorders>
                      <w:top w:val="single" w:sz="4" w:space="0" w:color="auto"/>
                      <w:left w:val="nil"/>
                      <w:bottom w:val="single" w:sz="4" w:space="0" w:color="auto"/>
                      <w:right w:val="nil"/>
                    </w:tcBorders>
                    <w:shd w:val="clear" w:color="auto" w:fill="auto"/>
                    <w:vAlign w:val="center"/>
                  </w:tcPr>
                  <w:p>
                    <w:pPr>
                      <w:ind w:firstLine="50"/>
                      <w:rPr>
                        <w:sz w:val="20"/>
                        <w:lang w:eastAsia="lt-LT"/>
                      </w:rPr>
                    </w:pPr>
                  </w:p>
                </w:tc>
                <w:tc>
                  <w:tcPr>
                    <w:tcW w:w="152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Trumpalaikės investicijos</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Pinigai ir pinigų ekvivalentai</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4.</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IŠ VISO TURTO:</w:t>
                    </w:r>
                  </w:p>
                </w:tc>
                <w:tc>
                  <w:tcPr>
                    <w:tcW w:w="1147" w:type="dxa"/>
                    <w:gridSpan w:val="2"/>
                    <w:tcBorders>
                      <w:top w:val="single" w:sz="4" w:space="0" w:color="auto"/>
                      <w:left w:val="nil"/>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5.</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FINANSAVIMO SUMOS</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valstybės biudžeto</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Europos Sąjungos, užsienio valstybių ir tarptautinių organizacijų</w:t>
                    </w:r>
                  </w:p>
                </w:tc>
                <w:tc>
                  <w:tcPr>
                    <w:tcW w:w="1147" w:type="dxa"/>
                    <w:gridSpan w:val="2"/>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5.3. </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viešojo sektoriaus subjektų pajamų</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5.4.</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fizinių ir privačių juridinių asmenų</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6.</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ĮSIPAREIGOJIMAI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Atidėjiniai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w:t>
                    </w:r>
                  </w:p>
                </w:tc>
                <w:tc>
                  <w:tcPr>
                    <w:tcW w:w="4129"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Ilgalaikiai įsipareigojimai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6.2.1.</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Ilgalaikiai skoliniai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6.2.2.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ilgalaikiai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6.3.</w:t>
                    </w:r>
                  </w:p>
                </w:tc>
                <w:tc>
                  <w:tcPr>
                    <w:tcW w:w="4129" w:type="dxa"/>
                    <w:tcBorders>
                      <w:top w:val="single" w:sz="4" w:space="0" w:color="auto"/>
                      <w:left w:val="single" w:sz="4" w:space="0" w:color="auto"/>
                      <w:bottom w:val="single" w:sz="4" w:space="0" w:color="auto"/>
                      <w:right w:val="single" w:sz="4" w:space="0" w:color="000000"/>
                    </w:tcBorders>
                    <w:shd w:val="clear" w:color="auto" w:fill="auto"/>
                    <w:noWrap/>
                    <w:vAlign w:val="center"/>
                  </w:tcPr>
                  <w:p>
                    <w:pPr>
                      <w:rPr>
                        <w:sz w:val="20"/>
                        <w:lang w:eastAsia="lt-LT"/>
                      </w:rPr>
                    </w:pPr>
                    <w:r>
                      <w:rPr>
                        <w:sz w:val="20"/>
                        <w:lang w:eastAsia="lt-LT"/>
                      </w:rPr>
                      <w:t>Trumpalaikiai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Trumpalaikiai skoliniai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socialinės išmokos ir stipendijos</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6.3.3</w:t>
                    </w:r>
                    <w:r>
                      <w:rPr>
                        <w:strike/>
                        <w:sz w:val="20"/>
                        <w:lang w:eastAsia="lt-LT"/>
                      </w:rPr>
                      <w:t xml:space="preserve"> </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Tiekėjams mokėtinos sumos</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6.3.4.</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Su darbo santykiais susiję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63"/>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trumpalaikiai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526"/>
                      <w:rPr>
                        <w:sz w:val="20"/>
                        <w:lang w:eastAsia="lt-LT"/>
                      </w:rPr>
                    </w:pPr>
                    <w:r>
                      <w:rPr>
                        <w:sz w:val="20"/>
                        <w:lang w:eastAsia="lt-LT"/>
                      </w:rPr>
                      <w:t>Mokėtinos sumos tarptautinėms institucijoms, į biudžetus ir fondus</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6.3.5.2.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firstLine="306"/>
                      <w:rPr>
                        <w:sz w:val="20"/>
                        <w:lang w:eastAsia="lt-LT"/>
                      </w:rPr>
                    </w:pPr>
                    <w:r>
                      <w:rPr>
                        <w:sz w:val="20"/>
                        <w:lang w:eastAsia="lt-LT"/>
                      </w:rPr>
                      <w:t>Kiti įsipareigojimai</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7.</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GRYNASIS TURTAS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Rezervai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Tikrosios vertės rezervas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Medynų rezervas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7.1.3.</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Valdžios sektoriui priskiriamų įmonių rezervai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7.1.4.</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left="347" w:hanging="67"/>
                      <w:rPr>
                        <w:sz w:val="20"/>
                        <w:lang w:eastAsia="lt-LT"/>
                      </w:rPr>
                    </w:pPr>
                    <w:r>
                      <w:rPr>
                        <w:sz w:val="20"/>
                        <w:lang w:eastAsia="lt-LT"/>
                      </w:rPr>
                      <w:t>Kiti rezervai</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w:t>
                    </w:r>
                  </w:p>
                </w:tc>
                <w:tc>
                  <w:tcPr>
                    <w:tcW w:w="4129"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Sukauptas perviršis ar deficitas</w:t>
                    </w:r>
                  </w:p>
                </w:tc>
                <w:tc>
                  <w:tcPr>
                    <w:tcW w:w="1147" w:type="dxa"/>
                    <w:gridSpan w:val="2"/>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7.2.1.</w:t>
                    </w:r>
                  </w:p>
                </w:tc>
                <w:tc>
                  <w:tcPr>
                    <w:tcW w:w="4129"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Viešojo sektoriaus subjektų sukauptas perviršis ar deficitas be nuosavybės metodo įtakos</w:t>
                    </w:r>
                  </w:p>
                </w:tc>
                <w:tc>
                  <w:tcPr>
                    <w:tcW w:w="1147" w:type="dxa"/>
                    <w:gridSpan w:val="2"/>
                    <w:tcBorders>
                      <w:top w:val="nil"/>
                      <w:left w:val="nil"/>
                      <w:bottom w:val="single" w:sz="4" w:space="0" w:color="auto"/>
                      <w:right w:val="nil"/>
                    </w:tcBorders>
                    <w:shd w:val="clear" w:color="auto" w:fill="FFFFFF"/>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7.2.2.</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Valdžios sektoriui priskiriamų įmonių nepaskirstytasis pelnas ar nuostoliai</w:t>
                    </w:r>
                  </w:p>
                </w:tc>
                <w:tc>
                  <w:tcPr>
                    <w:tcW w:w="1147" w:type="dxa"/>
                    <w:gridSpan w:val="2"/>
                    <w:tcBorders>
                      <w:top w:val="nil"/>
                      <w:left w:val="nil"/>
                      <w:bottom w:val="single" w:sz="4" w:space="0" w:color="auto"/>
                      <w:right w:val="nil"/>
                    </w:tcBorders>
                    <w:shd w:val="clear" w:color="auto" w:fill="FFFFFF"/>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7.2.3.</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Nuosavybės metodo įtaka</w:t>
                    </w:r>
                  </w:p>
                </w:tc>
                <w:tc>
                  <w:tcPr>
                    <w:tcW w:w="1135" w:type="dxa"/>
                    <w:tcBorders>
                      <w:top w:val="nil"/>
                      <w:left w:val="nil"/>
                      <w:bottom w:val="single" w:sz="4" w:space="0" w:color="auto"/>
                      <w:right w:val="nil"/>
                    </w:tcBorders>
                    <w:shd w:val="clear" w:color="auto" w:fill="FFFFFF"/>
                    <w:vAlign w:val="center"/>
                  </w:tcPr>
                  <w:p>
                    <w:pPr>
                      <w:ind w:firstLine="50"/>
                      <w:rPr>
                        <w:sz w:val="20"/>
                        <w:lang w:eastAsia="lt-LT"/>
                      </w:rPr>
                    </w:pPr>
                  </w:p>
                </w:tc>
                <w:tc>
                  <w:tcPr>
                    <w:tcW w:w="1520" w:type="dxa"/>
                    <w:gridSpan w:val="2"/>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827" w:type="dxa"/>
                    <w:tcBorders>
                      <w:top w:val="nil"/>
                      <w:left w:val="single" w:sz="4" w:space="0" w:color="auto"/>
                      <w:bottom w:val="single" w:sz="4" w:space="0" w:color="auto"/>
                      <w:right w:val="nil"/>
                    </w:tcBorders>
                    <w:shd w:val="clear" w:color="auto" w:fill="auto"/>
                    <w:vAlign w:val="center"/>
                  </w:tcPr>
                  <w:p>
                    <w:pPr>
                      <w:jc w:val="center"/>
                      <w:rPr>
                        <w:b/>
                        <w:bCs/>
                        <w:sz w:val="20"/>
                        <w:lang w:eastAsia="lt-LT"/>
                      </w:rPr>
                    </w:pPr>
                    <w:r>
                      <w:rPr>
                        <w:b/>
                        <w:bCs/>
                        <w:sz w:val="20"/>
                        <w:lang w:eastAsia="lt-LT"/>
                      </w:rPr>
                      <w:t>8.</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3"/>
                      <w:rPr>
                        <w:b/>
                        <w:bCs/>
                        <w:sz w:val="20"/>
                        <w:lang w:eastAsia="lt-LT"/>
                      </w:rPr>
                    </w:pPr>
                    <w:r>
                      <w:rPr>
                        <w:b/>
                        <w:bCs/>
                        <w:sz w:val="20"/>
                        <w:lang w:eastAsia="lt-LT"/>
                      </w:rPr>
                      <w:t>MAŽUMOS DALIS</w:t>
                    </w:r>
                  </w:p>
                </w:tc>
                <w:tc>
                  <w:tcPr>
                    <w:tcW w:w="1147" w:type="dxa"/>
                    <w:gridSpan w:val="2"/>
                    <w:tcBorders>
                      <w:top w:val="nil"/>
                      <w:left w:val="nil"/>
                      <w:bottom w:val="single" w:sz="4" w:space="0" w:color="auto"/>
                      <w:right w:val="nil"/>
                    </w:tcBorders>
                    <w:shd w:val="clear" w:color="auto" w:fill="FFFFFF"/>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495"/>
                </w:trPr>
                <w:tc>
                  <w:tcPr>
                    <w:tcW w:w="827"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9.</w:t>
                    </w:r>
                  </w:p>
                </w:tc>
                <w:tc>
                  <w:tcPr>
                    <w:tcW w:w="4129" w:type="dxa"/>
                    <w:tcBorders>
                      <w:top w:val="single" w:sz="4" w:space="0" w:color="auto"/>
                      <w:left w:val="nil"/>
                      <w:bottom w:val="single" w:sz="4" w:space="0" w:color="auto"/>
                      <w:right w:val="single" w:sz="4" w:space="0" w:color="000000"/>
                    </w:tcBorders>
                    <w:shd w:val="clear" w:color="auto" w:fill="auto"/>
                    <w:vAlign w:val="center"/>
                  </w:tcPr>
                  <w:p>
                    <w:pPr>
                      <w:rPr>
                        <w:b/>
                        <w:bCs/>
                        <w:sz w:val="20"/>
                        <w:lang w:eastAsia="lt-LT"/>
                      </w:rPr>
                    </w:pPr>
                    <w:r>
                      <w:rPr>
                        <w:b/>
                        <w:bCs/>
                        <w:sz w:val="20"/>
                        <w:lang w:eastAsia="lt-LT"/>
                      </w:rPr>
                      <w:t>IŠ VISO FINANSAVIMO SUMŲ, ĮSIPAREIGOJIMŲ, GRYNOJO TURTO IR MAŽUMOS DALIES:</w:t>
                    </w:r>
                  </w:p>
                </w:tc>
                <w:tc>
                  <w:tcPr>
                    <w:tcW w:w="1147" w:type="dxa"/>
                    <w:gridSpan w:val="2"/>
                    <w:tcBorders>
                      <w:top w:val="nil"/>
                      <w:left w:val="nil"/>
                      <w:bottom w:val="single" w:sz="4" w:space="0" w:color="auto"/>
                      <w:right w:val="nil"/>
                    </w:tcBorders>
                    <w:shd w:val="clear" w:color="auto" w:fill="auto"/>
                    <w:vAlign w:val="center"/>
                  </w:tcPr>
                  <w:p>
                    <w:pPr>
                      <w:ind w:firstLine="50"/>
                      <w:rPr>
                        <w:sz w:val="20"/>
                        <w:lang w:eastAsia="lt-LT"/>
                      </w:rPr>
                    </w:pPr>
                  </w:p>
                </w:tc>
                <w:tc>
                  <w:tcPr>
                    <w:tcW w:w="1508"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459"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bl>
            <w:p>
              <w:pPr>
                <w:jc w:val="center"/>
                <w:rPr>
                  <w:szCs w:val="24"/>
                  <w:lang w:eastAsia="lt-LT"/>
                </w:rPr>
              </w:pPr>
            </w:p>
            <w:p>
              <w:pPr>
                <w:jc w:val="center"/>
                <w:rPr>
                  <w:szCs w:val="24"/>
                  <w:lang w:eastAsia="lt-LT"/>
                </w:rPr>
              </w:pPr>
              <w:r>
                <w:rPr>
                  <w:szCs w:val="24"/>
                  <w:lang w:eastAsia="lt-LT"/>
                </w:rPr>
                <w:t>_____________________________</w:t>
              </w:r>
            </w:p>
            <w:p/>
            <w:p>
              <w:r>
                <w:br w:type="page"/>
              </w:r>
            </w:p>
          </w:sdtContent>
        </w:sdt>
      </w:sdtContent>
    </w:sdt>
    <w:sdt>
      <w:sdtPr>
        <w:alias w:val="5 pr."/>
        <w:tag w:val="part_fc94fd4b8291461aa0f434fcb24d31a8"/>
        <w:lock w:val="sdtLocked"/>
        <w:richText/>
      </w:sdtPr>
      <w:sdtContent>
        <w:p>
          <w:pPr>
            <w:tabs>
              <w:tab w:val="left" w:pos="933"/>
              <w:tab w:val="left" w:pos="4149"/>
              <w:tab w:val="left" w:pos="6103"/>
              <w:tab w:val="left" w:pos="7365"/>
              <w:tab w:val="left" w:pos="8901"/>
              <w:tab w:val="left" w:pos="10344"/>
            </w:tabs>
            <w:ind w:left="4536"/>
            <w:rPr>
              <w:szCs w:val="24"/>
              <w:lang w:eastAsia="lt-LT"/>
            </w:rPr>
          </w:pPr>
          <w:r>
            <w:rPr>
              <w:szCs w:val="24"/>
              <w:lang w:eastAsia="lt-LT"/>
            </w:rPr>
            <w:t xml:space="preserve">2-ojo </w:t>
          </w:r>
          <w:r>
            <w:t>viešojo sektoriaus apskaitos ir finansinės atskaitomybės standarto</w:t>
          </w:r>
          <w:r>
            <w:rPr>
              <w:szCs w:val="24"/>
              <w:lang w:eastAsia="lt-LT"/>
            </w:rPr>
            <w:t xml:space="preserve"> „Finansinės būklės ataskaita“</w:t>
          </w:r>
        </w:p>
        <w:p>
          <w:pPr>
            <w:tabs>
              <w:tab w:val="left" w:pos="933"/>
              <w:tab w:val="left" w:pos="4149"/>
              <w:tab w:val="left" w:pos="6103"/>
              <w:tab w:val="left" w:pos="7365"/>
              <w:tab w:val="left" w:pos="8901"/>
              <w:tab w:val="left" w:pos="10344"/>
            </w:tabs>
            <w:ind w:left="4536"/>
            <w:rPr>
              <w:szCs w:val="24"/>
              <w:lang w:eastAsia="lt-LT"/>
            </w:rPr>
          </w:pPr>
          <w:sdt>
            <w:sdtPr>
              <w:alias w:val="Numeris"/>
              <w:tag w:val="nr_fc94fd4b8291461aa0f434fcb24d31a8"/>
              <w:lock w:val="sdtLocked"/>
              <w:richText/>
            </w:sdtPr>
            <w:sdtContent>
              <w:r>
                <w:rPr>
                  <w:szCs w:val="24"/>
                  <w:lang w:eastAsia="lt-LT"/>
                </w:rPr>
                <w:t>5</w:t>
              </w:r>
            </w:sdtContent>
          </w:sdt>
          <w:r>
            <w:rPr>
              <w:szCs w:val="24"/>
              <w:lang w:eastAsia="lt-LT"/>
            </w:rPr>
            <w:t xml:space="preserve"> priedas</w:t>
          </w:r>
        </w:p>
        <w:p>
          <w:pPr>
            <w:jc w:val="center"/>
            <w:rPr>
              <w:b/>
              <w:bCs/>
              <w:szCs w:val="24"/>
              <w:lang w:eastAsia="lt-LT"/>
            </w:rPr>
          </w:pPr>
        </w:p>
        <w:p>
          <w:pPr>
            <w:jc w:val="center"/>
            <w:rPr>
              <w:b/>
              <w:bCs/>
              <w:szCs w:val="24"/>
              <w:lang w:eastAsia="lt-LT"/>
            </w:rPr>
          </w:pPr>
          <w:sdt>
            <w:sdtPr>
              <w:alias w:val="Pavadinimas"/>
              <w:tag w:val="title_fc94fd4b8291461aa0f434fcb24d31a8"/>
              <w:lock w:val="sdtLocked"/>
              <w:richText/>
            </w:sdtPr>
            <w:sdtContent>
              <w:r>
                <w:rPr>
                  <w:b/>
                  <w:bCs/>
                  <w:szCs w:val="24"/>
                  <w:lang w:eastAsia="lt-LT"/>
                </w:rPr>
                <w:t xml:space="preserve">(Nacionalinės finansinės būklės ataskaitos forma) </w:t>
              </w:r>
            </w:sdtContent>
          </w:sdt>
        </w:p>
        <w:p>
          <w:pPr>
            <w:jc w:val="center"/>
            <w:rPr>
              <w:szCs w:val="24"/>
              <w:lang w:eastAsia="lt-LT"/>
            </w:rPr>
          </w:pPr>
        </w:p>
        <w:p>
          <w:pPr>
            <w:tabs>
              <w:tab w:val="left" w:leader="underscore" w:pos="8901"/>
            </w:tabs>
            <w:jc w:val="center"/>
            <w:rPr>
              <w:szCs w:val="24"/>
              <w:lang w:eastAsia="lt-LT"/>
            </w:rPr>
          </w:pPr>
          <w:r>
            <w:rPr>
              <w:szCs w:val="24"/>
              <w:lang w:eastAsia="lt-LT"/>
            </w:rPr>
            <w:tab/>
          </w:r>
        </w:p>
        <w:p>
          <w:pPr>
            <w:jc w:val="center"/>
            <w:rPr>
              <w:szCs w:val="24"/>
              <w:lang w:eastAsia="lt-LT"/>
            </w:rPr>
          </w:pPr>
          <w:r>
            <w:rPr>
              <w:szCs w:val="24"/>
              <w:lang w:eastAsia="lt-LT"/>
            </w:rPr>
            <w:t>(nacionalinė)</w:t>
          </w:r>
        </w:p>
        <w:p>
          <w:pPr>
            <w:jc w:val="center"/>
            <w:rPr>
              <w:szCs w:val="24"/>
              <w:lang w:eastAsia="lt-LT"/>
            </w:rPr>
          </w:pPr>
        </w:p>
        <w:p>
          <w:pPr>
            <w:jc w:val="center"/>
            <w:rPr>
              <w:szCs w:val="24"/>
              <w:lang w:eastAsia="lt-LT"/>
            </w:rPr>
          </w:pPr>
          <w:r>
            <w:rPr>
              <w:szCs w:val="24"/>
              <w:lang w:eastAsia="lt-LT"/>
            </w:rPr>
            <w:t>(viešojo sektoriaus subjekto, parengusio nacionalinę finansinės būklės ataskaitą, kodas, adresas)</w:t>
          </w:r>
        </w:p>
        <w:p>
          <w:pPr>
            <w:tabs>
              <w:tab w:val="left" w:pos="10344"/>
              <w:tab w:val="left" w:pos="11584"/>
            </w:tabs>
            <w:jc w:val="center"/>
            <w:rPr>
              <w:szCs w:val="24"/>
              <w:lang w:eastAsia="lt-LT"/>
            </w:rPr>
          </w:pPr>
        </w:p>
        <w:sdt>
          <w:sdtPr>
            <w:alias w:val="skirsnis"/>
            <w:tag w:val="part_7e15a37cb8384b3ebcedf8aa5b70fd31"/>
            <w:lock w:val="sdtLocked"/>
            <w:richText/>
          </w:sdtPr>
          <w:sdtContent>
            <w:sdt>
              <w:sdtPr>
                <w:alias w:val="Pavadinimas"/>
                <w:tag w:val="title_7e15a37cb8384b3ebcedf8aa5b70fd31"/>
                <w:lock w:val="sdtLocked"/>
                <w:richText/>
              </w:sdtPr>
              <w:sdtContent>
                <w:p>
                  <w:pPr>
                    <w:jc w:val="center"/>
                    <w:rPr>
                      <w:b/>
                      <w:bCs/>
                      <w:szCs w:val="24"/>
                      <w:lang w:eastAsia="lt-LT"/>
                    </w:rPr>
                  </w:pPr>
                  <w:r>
                    <w:rPr>
                      <w:b/>
                      <w:bCs/>
                      <w:szCs w:val="24"/>
                      <w:lang w:eastAsia="lt-LT"/>
                    </w:rPr>
                    <w:t>NACIONALINĖ FINANSINĖS BŪKLĖS ATASKAITA</w:t>
                  </w:r>
                </w:p>
                <w:p>
                  <w:pPr>
                    <w:jc w:val="center"/>
                    <w:rPr>
                      <w:b/>
                      <w:bCs/>
                      <w:szCs w:val="24"/>
                      <w:lang w:eastAsia="lt-LT"/>
                    </w:rPr>
                  </w:pPr>
                  <w:r>
                    <w:rPr>
                      <w:b/>
                      <w:bCs/>
                      <w:szCs w:val="24"/>
                      <w:lang w:eastAsia="lt-LT"/>
                    </w:rPr>
                    <w:t>PAGAL 20_____M.______D. DUOMENIS</w:t>
                  </w:r>
                </w:p>
              </w:sdtContent>
            </w:sdt>
            <w:p>
              <w:pPr>
                <w:tabs>
                  <w:tab w:val="left" w:pos="913"/>
                  <w:tab w:val="left" w:pos="6320"/>
                  <w:tab w:val="left" w:pos="9372"/>
                  <w:tab w:val="left" w:pos="10344"/>
                  <w:tab w:val="left" w:pos="11584"/>
                </w:tabs>
                <w:jc w:val="center"/>
                <w:rPr>
                  <w:szCs w:val="24"/>
                  <w:lang w:eastAsia="lt-LT"/>
                </w:rPr>
              </w:pPr>
            </w:p>
            <w:p>
              <w:pPr>
                <w:jc w:val="center"/>
                <w:rPr>
                  <w:szCs w:val="24"/>
                  <w:lang w:eastAsia="lt-LT"/>
                </w:rPr>
              </w:pPr>
              <w:r>
                <w:rPr>
                  <w:szCs w:val="24"/>
                  <w:lang w:eastAsia="lt-LT"/>
                </w:rPr>
                <w:t>_____________________Nr. _____</w:t>
              </w:r>
            </w:p>
            <w:p>
              <w:pPr>
                <w:jc w:val="center"/>
                <w:rPr>
                  <w:szCs w:val="24"/>
                  <w:lang w:eastAsia="lt-LT"/>
                </w:rPr>
              </w:pPr>
              <w:r>
                <w:rPr>
                  <w:szCs w:val="24"/>
                  <w:lang w:eastAsia="lt-LT"/>
                </w:rPr>
                <w:t>(data)</w:t>
              </w:r>
            </w:p>
            <w:p>
              <w:pPr>
                <w:tabs>
                  <w:tab w:val="left" w:pos="913"/>
                  <w:tab w:val="left" w:pos="6320"/>
                </w:tabs>
                <w:jc w:val="right"/>
                <w:rPr>
                  <w:i/>
                  <w:iCs/>
                  <w:szCs w:val="24"/>
                  <w:lang w:eastAsia="lt-LT"/>
                </w:rPr>
              </w:pPr>
            </w:p>
            <w:p>
              <w:pPr>
                <w:tabs>
                  <w:tab w:val="left" w:pos="913"/>
                  <w:tab w:val="left" w:pos="6320"/>
                </w:tabs>
                <w:jc w:val="right"/>
                <w:rPr>
                  <w:i/>
                  <w:iCs/>
                  <w:szCs w:val="24"/>
                  <w:lang w:eastAsia="lt-LT"/>
                </w:rPr>
              </w:pPr>
              <w:r>
                <w:rPr>
                  <w:i/>
                  <w:iCs/>
                  <w:szCs w:val="24"/>
                  <w:lang w:eastAsia="lt-LT"/>
                </w:rPr>
                <w:t>Pateikimo valiuta ir tikslumas: tūkstančiais eurų</w:t>
              </w:r>
            </w:p>
            <w:tbl>
              <w:tblPr>
                <w:tblW w:w="9070" w:type="dxa"/>
                <w:tblLook w:val="0000" w:firstRow="0" w:lastRow="0" w:firstColumn="0" w:lastColumn="0" w:noHBand="0" w:noVBand="0"/>
              </w:tblPr>
              <w:tblGrid>
                <w:gridCol w:w="1166"/>
                <w:gridCol w:w="4129"/>
                <w:gridCol w:w="1077"/>
                <w:gridCol w:w="1370"/>
                <w:gridCol w:w="1328"/>
              </w:tblGrid>
              <w:tr>
                <w:trPr>
                  <w:trHeight w:val="1350"/>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Eil. Nr.</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b/>
                        <w:bCs/>
                        <w:sz w:val="20"/>
                        <w:lang w:eastAsia="lt-LT"/>
                      </w:rPr>
                    </w:pPr>
                    <w:r>
                      <w:rPr>
                        <w:b/>
                        <w:bCs/>
                        <w:sz w:val="20"/>
                        <w:lang w:eastAsia="lt-LT"/>
                      </w:rPr>
                      <w:t>Straipsniai</w:t>
                    </w:r>
                  </w:p>
                </w:tc>
                <w:tc>
                  <w:tcPr>
                    <w:tcW w:w="1077" w:type="dxa"/>
                    <w:tcBorders>
                      <w:top w:val="single" w:sz="4" w:space="0" w:color="auto"/>
                      <w:left w:val="nil"/>
                      <w:bottom w:val="single" w:sz="4" w:space="0" w:color="auto"/>
                      <w:right w:val="nil"/>
                    </w:tcBorders>
                    <w:shd w:val="clear" w:color="auto" w:fill="auto"/>
                    <w:vAlign w:val="center"/>
                  </w:tcPr>
                  <w:p>
                    <w:pPr>
                      <w:jc w:val="center"/>
                      <w:rPr>
                        <w:b/>
                        <w:bCs/>
                        <w:sz w:val="20"/>
                        <w:lang w:eastAsia="lt-LT"/>
                      </w:rPr>
                    </w:pPr>
                    <w:r>
                      <w:rPr>
                        <w:b/>
                        <w:bCs/>
                        <w:sz w:val="20"/>
                        <w:lang w:eastAsia="lt-LT"/>
                      </w:rPr>
                      <w:t xml:space="preserve">Pastabos Nr. </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ataskaitinio laikotarpio diena</w:t>
                    </w:r>
                  </w:p>
                </w:tc>
                <w:tc>
                  <w:tcPr>
                    <w:tcW w:w="1328" w:type="dxa"/>
                    <w:tcBorders>
                      <w:top w:val="single" w:sz="4" w:space="0" w:color="auto"/>
                      <w:left w:val="nil"/>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Paskutinė praėjusio ataskaitinio laikotarpio diena</w:t>
                    </w:r>
                  </w:p>
                </w:tc>
              </w:tr>
              <w:tr>
                <w:trPr>
                  <w:trHeight w:val="63"/>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4129" w:type="dxa"/>
                    <w:tcBorders>
                      <w:top w:val="single" w:sz="4" w:space="0" w:color="auto"/>
                      <w:left w:val="nil"/>
                      <w:bottom w:val="single" w:sz="4" w:space="0" w:color="auto"/>
                      <w:right w:val="single" w:sz="4" w:space="0" w:color="000000"/>
                    </w:tcBorders>
                    <w:shd w:val="clear" w:color="auto" w:fill="auto"/>
                    <w:noWrap/>
                    <w:vAlign w:val="center"/>
                  </w:tcPr>
                  <w:p>
                    <w:pPr>
                      <w:jc w:val="center"/>
                      <w:rPr>
                        <w:sz w:val="20"/>
                        <w:lang w:eastAsia="lt-LT"/>
                      </w:rPr>
                    </w:pPr>
                    <w:r>
                      <w:rPr>
                        <w:sz w:val="20"/>
                        <w:lang w:eastAsia="lt-LT"/>
                      </w:rPr>
                      <w:t>2</w:t>
                    </w:r>
                  </w:p>
                </w:tc>
                <w:tc>
                  <w:tcPr>
                    <w:tcW w:w="1077" w:type="dxa"/>
                    <w:tcBorders>
                      <w:top w:val="single" w:sz="4" w:space="0" w:color="auto"/>
                      <w:left w:val="nil"/>
                      <w:bottom w:val="single" w:sz="4" w:space="0" w:color="auto"/>
                      <w:right w:val="nil"/>
                    </w:tcBorders>
                    <w:shd w:val="clear" w:color="auto" w:fill="auto"/>
                    <w:vAlign w:val="center"/>
                  </w:tcPr>
                  <w:p>
                    <w:pPr>
                      <w:jc w:val="center"/>
                      <w:rPr>
                        <w:sz w:val="20"/>
                        <w:lang w:eastAsia="lt-LT"/>
                      </w:rPr>
                    </w:pPr>
                    <w:r>
                      <w:rPr>
                        <w:sz w:val="20"/>
                        <w:lang w:eastAsia="lt-LT"/>
                      </w:rPr>
                      <w:t>3</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w:t>
                    </w:r>
                  </w:p>
                </w:tc>
                <w:tc>
                  <w:tcPr>
                    <w:tcW w:w="1328" w:type="dxa"/>
                    <w:tcBorders>
                      <w:top w:val="single" w:sz="4" w:space="0" w:color="auto"/>
                      <w:left w:val="nil"/>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1.</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ILGALAIKIS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Nematerialusis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1.2.1.</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Žemė</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1.2.2.</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Pastatai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1.2.3.</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Infrastruktūros statiniai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1.2.4.</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Kiti statiniai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1.2.5.</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Mašinos ir įrenginiai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1.2.6.</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Transporto priemonės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1.2.7.</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Baldai, biuro įranga ir kitas ilgalaikis materialusis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1.2.8.</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Kultūros ir kitos vertybės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1.2.9.</w:t>
                    </w:r>
                  </w:p>
                </w:tc>
                <w:tc>
                  <w:tcPr>
                    <w:tcW w:w="4129" w:type="dxa"/>
                    <w:tcBorders>
                      <w:top w:val="nil"/>
                      <w:left w:val="nil"/>
                      <w:bottom w:val="single" w:sz="4" w:space="0" w:color="auto"/>
                      <w:right w:val="single" w:sz="4" w:space="0" w:color="auto"/>
                    </w:tcBorders>
                    <w:shd w:val="clear" w:color="auto" w:fill="auto"/>
                    <w:noWrap/>
                    <w:vAlign w:val="center"/>
                  </w:tcPr>
                  <w:p>
                    <w:pPr>
                      <w:ind w:left="282"/>
                      <w:rPr>
                        <w:sz w:val="20"/>
                        <w:lang w:eastAsia="lt-LT"/>
                      </w:rPr>
                    </w:pPr>
                    <w:r>
                      <w:rPr>
                        <w:sz w:val="20"/>
                        <w:lang w:eastAsia="lt-LT"/>
                      </w:rPr>
                      <w:t>Nebaigta statyba ir iš anksto sumokėtos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Ilgalaikis finansinis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1.3.1.</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Investicijos į nuosavybės vertybinius popierius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1.3.2.</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Išvestinių finansinių priemonių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1.3.3.</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Obligacijos, vekseliai, kiti ne nuosavybės vertybiniai popieriai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1.3.4.</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Ilgalaikiai terminuotieji indėliai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1.3.5.</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Suteiktos ilgalaikės paskolos ir kitos ilgalaikės gautinos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1.3.6.</w:t>
                    </w:r>
                  </w:p>
                </w:tc>
                <w:tc>
                  <w:tcPr>
                    <w:tcW w:w="4129" w:type="dxa"/>
                    <w:tcBorders>
                      <w:top w:val="nil"/>
                      <w:left w:val="nil"/>
                      <w:bottom w:val="single" w:sz="4" w:space="0" w:color="auto"/>
                      <w:right w:val="single" w:sz="4" w:space="0" w:color="auto"/>
                    </w:tcBorders>
                    <w:shd w:val="clear" w:color="auto" w:fill="auto"/>
                    <w:noWrap/>
                    <w:vAlign w:val="center"/>
                  </w:tcPr>
                  <w:p>
                    <w:pPr>
                      <w:ind w:left="141"/>
                      <w:rPr>
                        <w:sz w:val="20"/>
                        <w:lang w:eastAsia="lt-LT"/>
                      </w:rPr>
                    </w:pPr>
                    <w:r>
                      <w:rPr>
                        <w:sz w:val="20"/>
                        <w:lang w:eastAsia="lt-LT"/>
                      </w:rPr>
                      <w:t>Kitas finansinis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1.4.</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Mineraliniai ištekliai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1.5.</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Kitas ilgalaikis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2.</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 xml:space="preserve">BIOLOGINIS TURTAS </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3.</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TRUMPALAIKIS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Atsargos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anksto sumokėtos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Per vienus</w:t>
                    </w:r>
                    <w:r>
                      <w:rPr>
                        <w:b/>
                        <w:bCs/>
                        <w:sz w:val="20"/>
                        <w:lang w:eastAsia="lt-LT"/>
                      </w:rPr>
                      <w:t xml:space="preserve"> </w:t>
                    </w:r>
                    <w:r>
                      <w:rPr>
                        <w:sz w:val="20"/>
                        <w:lang w:eastAsia="lt-LT"/>
                      </w:rPr>
                      <w:t>metus gautinos sumos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3.3.1.</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144"/>
                      <w:rPr>
                        <w:sz w:val="20"/>
                        <w:lang w:eastAsia="lt-LT"/>
                      </w:rPr>
                    </w:pPr>
                    <w:r>
                      <w:rPr>
                        <w:sz w:val="20"/>
                        <w:lang w:eastAsia="lt-LT"/>
                      </w:rPr>
                      <w:t>Suteiktos paskolos</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3.3.2.</w:t>
                    </w:r>
                  </w:p>
                </w:tc>
                <w:tc>
                  <w:tcPr>
                    <w:tcW w:w="4129" w:type="dxa"/>
                    <w:tcBorders>
                      <w:top w:val="single" w:sz="4" w:space="0" w:color="auto"/>
                      <w:left w:val="nil"/>
                      <w:bottom w:val="nil"/>
                      <w:right w:val="single" w:sz="4" w:space="0" w:color="auto"/>
                    </w:tcBorders>
                    <w:shd w:val="clear" w:color="auto" w:fill="auto"/>
                    <w:noWrap/>
                    <w:vAlign w:val="center"/>
                  </w:tcPr>
                  <w:p>
                    <w:pPr>
                      <w:ind w:left="144"/>
                      <w:rPr>
                        <w:sz w:val="20"/>
                        <w:lang w:eastAsia="lt-LT"/>
                      </w:rPr>
                    </w:pPr>
                    <w:r>
                      <w:rPr>
                        <w:sz w:val="20"/>
                        <w:lang w:eastAsia="lt-LT"/>
                      </w:rPr>
                      <w:t>Gautini mokesčiai, socialinės įmokos ir kitos įmokų į fondus sumos</w:t>
                    </w:r>
                  </w:p>
                </w:tc>
                <w:tc>
                  <w:tcPr>
                    <w:tcW w:w="1077" w:type="dxa"/>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3.3.3.</w:t>
                    </w:r>
                  </w:p>
                </w:tc>
                <w:tc>
                  <w:tcPr>
                    <w:tcW w:w="4129" w:type="dxa"/>
                    <w:tcBorders>
                      <w:top w:val="single" w:sz="4" w:space="0" w:color="auto"/>
                      <w:left w:val="single" w:sz="4" w:space="0" w:color="auto"/>
                      <w:bottom w:val="nil"/>
                      <w:right w:val="nil"/>
                    </w:tcBorders>
                    <w:shd w:val="clear" w:color="auto" w:fill="auto"/>
                    <w:noWrap/>
                    <w:vAlign w:val="center"/>
                  </w:tcPr>
                  <w:p>
                    <w:pPr>
                      <w:ind w:left="144"/>
                      <w:rPr>
                        <w:sz w:val="20"/>
                        <w:lang w:eastAsia="lt-LT"/>
                      </w:rPr>
                    </w:pPr>
                    <w:r>
                      <w:rPr>
                        <w:sz w:val="20"/>
                        <w:lang w:eastAsia="lt-LT"/>
                      </w:rPr>
                      <w:t>Gautinos finansavimo sumos</w:t>
                    </w:r>
                  </w:p>
                </w:tc>
                <w:tc>
                  <w:tcPr>
                    <w:tcW w:w="1077"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3.3.4.</w:t>
                    </w:r>
                  </w:p>
                </w:tc>
                <w:tc>
                  <w:tcPr>
                    <w:tcW w:w="4129" w:type="dxa"/>
                    <w:tcBorders>
                      <w:top w:val="single" w:sz="4" w:space="0" w:color="auto"/>
                      <w:left w:val="single" w:sz="4" w:space="0" w:color="auto"/>
                      <w:bottom w:val="nil"/>
                      <w:right w:val="single" w:sz="4" w:space="0" w:color="auto"/>
                    </w:tcBorders>
                    <w:shd w:val="clear" w:color="auto" w:fill="auto"/>
                    <w:noWrap/>
                    <w:vAlign w:val="center"/>
                  </w:tcPr>
                  <w:p>
                    <w:pPr>
                      <w:ind w:left="144"/>
                      <w:rPr>
                        <w:sz w:val="20"/>
                        <w:lang w:eastAsia="lt-LT"/>
                      </w:rPr>
                    </w:pPr>
                    <w:r>
                      <w:rPr>
                        <w:sz w:val="20"/>
                        <w:lang w:eastAsia="lt-LT"/>
                      </w:rPr>
                      <w:t>Gautinos sumos už turto naudojimą, parduotas prekes, turtą, paslaugas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3.3.5.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144"/>
                      <w:rPr>
                        <w:sz w:val="20"/>
                        <w:lang w:eastAsia="lt-LT"/>
                      </w:rPr>
                    </w:pPr>
                    <w:r>
                      <w:rPr>
                        <w:sz w:val="20"/>
                        <w:lang w:eastAsia="lt-LT"/>
                      </w:rPr>
                      <w:t>Kitos gautinos sumos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Trumpalaikės investicijos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0"/>
                        <w:lang w:eastAsia="lt-LT"/>
                      </w:rPr>
                    </w:pPr>
                    <w:r>
                      <w:rPr>
                        <w:sz w:val="20"/>
                        <w:lang w:eastAsia="lt-LT"/>
                      </w:rPr>
                      <w:t>Pinigai ir pinigų ekvivalentai</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4.</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IŠ VISO TURTO:</w:t>
                    </w:r>
                  </w:p>
                </w:tc>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5.</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FINANSAVIMO SUMOS</w:t>
                    </w:r>
                  </w:p>
                </w:tc>
                <w:tc>
                  <w:tcPr>
                    <w:tcW w:w="1077" w:type="dxa"/>
                    <w:tcBorders>
                      <w:top w:val="single" w:sz="4" w:space="0" w:color="auto"/>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single" w:sz="4" w:space="0" w:color="auto"/>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Europos Sąjungos, užsienio valstybių ir tarptautinių organizacijų</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5.2.</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Iš fizinių ir privačių juridinių asmenų</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6.</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ĮSIPAREIGOJIMAI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Atidėjiniai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Pensijų anuitetų fondo techniniai atidėjiniai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6.3.</w:t>
                    </w:r>
                  </w:p>
                </w:tc>
                <w:tc>
                  <w:tcPr>
                    <w:tcW w:w="4129" w:type="dxa"/>
                    <w:tcBorders>
                      <w:top w:val="single" w:sz="4" w:space="0" w:color="auto"/>
                      <w:left w:val="nil"/>
                      <w:bottom w:val="nil"/>
                      <w:right w:val="single" w:sz="4" w:space="0" w:color="auto"/>
                    </w:tcBorders>
                    <w:shd w:val="clear" w:color="auto" w:fill="auto"/>
                    <w:noWrap/>
                    <w:vAlign w:val="center"/>
                  </w:tcPr>
                  <w:p>
                    <w:pPr>
                      <w:rPr>
                        <w:sz w:val="20"/>
                        <w:lang w:eastAsia="lt-LT"/>
                      </w:rPr>
                    </w:pPr>
                    <w:r>
                      <w:rPr>
                        <w:sz w:val="20"/>
                        <w:lang w:eastAsia="lt-LT"/>
                      </w:rPr>
                      <w:t>Ilgalaikiai įsipareigojimai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6.3.1.</w:t>
                    </w:r>
                  </w:p>
                </w:tc>
                <w:tc>
                  <w:tcPr>
                    <w:tcW w:w="4129"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Ilgalaikiai skoliniai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6.3.2.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ilgalaikiai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6.4.</w:t>
                    </w:r>
                  </w:p>
                </w:tc>
                <w:tc>
                  <w:tcPr>
                    <w:tcW w:w="4129" w:type="dxa"/>
                    <w:tcBorders>
                      <w:top w:val="single" w:sz="4" w:space="0" w:color="auto"/>
                      <w:left w:val="single" w:sz="4" w:space="0" w:color="auto"/>
                      <w:bottom w:val="single" w:sz="4" w:space="0" w:color="auto"/>
                      <w:right w:val="single" w:sz="4" w:space="0" w:color="000000"/>
                    </w:tcBorders>
                    <w:shd w:val="clear" w:color="auto" w:fill="auto"/>
                    <w:noWrap/>
                    <w:vAlign w:val="center"/>
                  </w:tcPr>
                  <w:p>
                    <w:pPr>
                      <w:rPr>
                        <w:sz w:val="20"/>
                        <w:lang w:eastAsia="lt-LT"/>
                      </w:rPr>
                    </w:pPr>
                    <w:r>
                      <w:rPr>
                        <w:sz w:val="20"/>
                        <w:lang w:eastAsia="lt-LT"/>
                      </w:rPr>
                      <w:t>Trumpalaikiai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Trumpalaikiai skoliniai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Mokėtinos socialinės išmokos ir stipendijos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6.4.3.</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Tiekėjams mokėtinos sumos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6.4.4.</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Su darbo santykiais susiję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6.4.5.</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rPr>
                        <w:sz w:val="20"/>
                        <w:lang w:eastAsia="lt-LT"/>
                      </w:rPr>
                    </w:pPr>
                    <w:r>
                      <w:rPr>
                        <w:sz w:val="20"/>
                        <w:lang w:eastAsia="lt-LT"/>
                      </w:rPr>
                      <w:t>Kiti trumpalaikiai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6.4.5.1.</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80"/>
                      <w:rPr>
                        <w:sz w:val="20"/>
                        <w:lang w:eastAsia="lt-LT"/>
                      </w:rPr>
                    </w:pPr>
                    <w:r>
                      <w:rPr>
                        <w:sz w:val="20"/>
                        <w:lang w:eastAsia="lt-LT"/>
                      </w:rPr>
                      <w:t>Mokėtinos sumos tarptautinėms institucijoms, į Europos Sąjungos biudžetą</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6.4.5.2.</w:t>
                    </w:r>
                  </w:p>
                </w:tc>
                <w:tc>
                  <w:tcPr>
                    <w:tcW w:w="4129" w:type="dxa"/>
                    <w:tcBorders>
                      <w:top w:val="nil"/>
                      <w:left w:val="single" w:sz="4" w:space="0" w:color="auto"/>
                      <w:bottom w:val="single" w:sz="4" w:space="0" w:color="auto"/>
                      <w:right w:val="single" w:sz="4" w:space="0" w:color="auto"/>
                    </w:tcBorders>
                    <w:shd w:val="clear" w:color="auto" w:fill="auto"/>
                    <w:noWrap/>
                    <w:vAlign w:val="center"/>
                  </w:tcPr>
                  <w:p>
                    <w:pPr>
                      <w:ind w:left="220" w:firstLine="306"/>
                      <w:rPr>
                        <w:sz w:val="20"/>
                        <w:lang w:eastAsia="lt-LT"/>
                      </w:rPr>
                    </w:pPr>
                    <w:r>
                      <w:rPr>
                        <w:sz w:val="20"/>
                        <w:lang w:eastAsia="lt-LT"/>
                      </w:rPr>
                      <w:t>Kiti įsipareigojimai</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7.</w:t>
                    </w:r>
                  </w:p>
                </w:tc>
                <w:tc>
                  <w:tcPr>
                    <w:tcW w:w="4129" w:type="dxa"/>
                    <w:tcBorders>
                      <w:top w:val="nil"/>
                      <w:left w:val="nil"/>
                      <w:bottom w:val="single" w:sz="4" w:space="0" w:color="auto"/>
                      <w:right w:val="single" w:sz="4" w:space="0" w:color="auto"/>
                    </w:tcBorders>
                    <w:shd w:val="clear" w:color="auto" w:fill="auto"/>
                    <w:noWrap/>
                    <w:vAlign w:val="center"/>
                  </w:tcPr>
                  <w:p>
                    <w:pPr>
                      <w:rPr>
                        <w:b/>
                        <w:bCs/>
                        <w:sz w:val="20"/>
                        <w:lang w:eastAsia="lt-LT"/>
                      </w:rPr>
                    </w:pPr>
                    <w:r>
                      <w:rPr>
                        <w:b/>
                        <w:bCs/>
                        <w:sz w:val="20"/>
                        <w:lang w:eastAsia="lt-LT"/>
                      </w:rPr>
                      <w:t>GRYNASIS TURTAS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w:t>
                    </w:r>
                  </w:p>
                </w:tc>
                <w:tc>
                  <w:tcPr>
                    <w:tcW w:w="4129" w:type="dxa"/>
                    <w:tcBorders>
                      <w:top w:val="nil"/>
                      <w:left w:val="nil"/>
                      <w:bottom w:val="single" w:sz="4" w:space="0" w:color="auto"/>
                      <w:right w:val="single" w:sz="4" w:space="0" w:color="auto"/>
                    </w:tcBorders>
                    <w:shd w:val="clear" w:color="auto" w:fill="auto"/>
                    <w:noWrap/>
                    <w:vAlign w:val="center"/>
                  </w:tcPr>
                  <w:p>
                    <w:pPr>
                      <w:rPr>
                        <w:sz w:val="20"/>
                        <w:lang w:eastAsia="lt-LT"/>
                      </w:rPr>
                    </w:pPr>
                    <w:r>
                      <w:rPr>
                        <w:sz w:val="20"/>
                        <w:lang w:eastAsia="lt-LT"/>
                      </w:rPr>
                      <w:t>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Tikrosios vertės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7.1.2.</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Mineralinių išteklių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7.1.3.</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firstLine="280"/>
                      <w:rPr>
                        <w:sz w:val="20"/>
                        <w:lang w:eastAsia="lt-LT"/>
                      </w:rPr>
                    </w:pPr>
                    <w:r>
                      <w:rPr>
                        <w:sz w:val="20"/>
                        <w:lang w:eastAsia="lt-LT"/>
                      </w:rPr>
                      <w:t>Medynų rezervas</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7.1.4.</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left="254" w:firstLine="26"/>
                      <w:rPr>
                        <w:sz w:val="20"/>
                        <w:lang w:eastAsia="lt-LT"/>
                      </w:rPr>
                    </w:pPr>
                    <w:r>
                      <w:rPr>
                        <w:sz w:val="20"/>
                        <w:lang w:eastAsia="lt-LT"/>
                      </w:rPr>
                      <w:t>Valdžios sektoriui priskiriamų įmonių 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7.1.5.</w:t>
                    </w:r>
                  </w:p>
                </w:tc>
                <w:tc>
                  <w:tcPr>
                    <w:tcW w:w="4129" w:type="dxa"/>
                    <w:tcBorders>
                      <w:top w:val="single" w:sz="4" w:space="0" w:color="auto"/>
                      <w:left w:val="nil"/>
                      <w:bottom w:val="single" w:sz="4" w:space="0" w:color="auto"/>
                      <w:right w:val="single" w:sz="4" w:space="0" w:color="auto"/>
                    </w:tcBorders>
                    <w:shd w:val="clear" w:color="auto" w:fill="auto"/>
                    <w:noWrap/>
                    <w:vAlign w:val="center"/>
                  </w:tcPr>
                  <w:p>
                    <w:pPr>
                      <w:ind w:left="254" w:firstLine="26"/>
                      <w:rPr>
                        <w:sz w:val="20"/>
                        <w:lang w:eastAsia="lt-LT"/>
                      </w:rPr>
                    </w:pPr>
                    <w:r>
                      <w:rPr>
                        <w:sz w:val="20"/>
                        <w:lang w:eastAsia="lt-LT"/>
                      </w:rPr>
                      <w:t>Kiti rezervai</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7.2.</w:t>
                    </w:r>
                  </w:p>
                </w:tc>
                <w:tc>
                  <w:tcPr>
                    <w:tcW w:w="4129" w:type="dxa"/>
                    <w:tcBorders>
                      <w:top w:val="nil"/>
                      <w:left w:val="nil"/>
                      <w:bottom w:val="nil"/>
                      <w:right w:val="single" w:sz="4" w:space="0" w:color="auto"/>
                    </w:tcBorders>
                    <w:shd w:val="clear" w:color="auto" w:fill="auto"/>
                    <w:noWrap/>
                    <w:vAlign w:val="center"/>
                  </w:tcPr>
                  <w:p>
                    <w:pPr>
                      <w:rPr>
                        <w:sz w:val="20"/>
                        <w:lang w:eastAsia="lt-LT"/>
                      </w:rPr>
                    </w:pPr>
                    <w:r>
                      <w:rPr>
                        <w:sz w:val="20"/>
                        <w:lang w:eastAsia="lt-LT"/>
                      </w:rPr>
                      <w:t xml:space="preserve">Sukauptas perviršis ar deficitas </w:t>
                    </w:r>
                  </w:p>
                </w:tc>
                <w:tc>
                  <w:tcPr>
                    <w:tcW w:w="1077" w:type="dxa"/>
                    <w:tcBorders>
                      <w:top w:val="nil"/>
                      <w:left w:val="single" w:sz="4" w:space="0" w:color="auto"/>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7.2.1.</w:t>
                    </w:r>
                  </w:p>
                </w:tc>
                <w:tc>
                  <w:tcPr>
                    <w:tcW w:w="4129" w:type="dxa"/>
                    <w:tcBorders>
                      <w:top w:val="single" w:sz="4" w:space="0" w:color="auto"/>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Viešojo sektoriaus subjektų sukauptas perviršis ar deficitas be nuosavybės metodo įtakos</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7.2.2.</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Valdžios sektoriui priskiriamų įmonių nepaskirstytasis pelnas ar nuostoliai</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sz w:val="20"/>
                        <w:lang w:eastAsia="lt-LT"/>
                      </w:rPr>
                      <w:t>7.2.3.</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220"/>
                      <w:rPr>
                        <w:sz w:val="20"/>
                        <w:lang w:eastAsia="lt-LT"/>
                      </w:rPr>
                    </w:pPr>
                    <w:r>
                      <w:rPr>
                        <w:sz w:val="20"/>
                        <w:lang w:eastAsia="lt-LT"/>
                      </w:rPr>
                      <w:t>Nuosavybės metodo įtaka</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255"/>
                </w:trPr>
                <w:tc>
                  <w:tcPr>
                    <w:tcW w:w="1166" w:type="dxa"/>
                    <w:tcBorders>
                      <w:top w:val="nil"/>
                      <w:left w:val="single" w:sz="4" w:space="0" w:color="auto"/>
                      <w:bottom w:val="single" w:sz="4" w:space="0" w:color="auto"/>
                      <w:right w:val="nil"/>
                    </w:tcBorders>
                    <w:shd w:val="clear" w:color="auto" w:fill="auto"/>
                    <w:vAlign w:val="center"/>
                  </w:tcPr>
                  <w:p>
                    <w:pPr>
                      <w:jc w:val="center"/>
                      <w:rPr>
                        <w:b/>
                        <w:bCs/>
                        <w:sz w:val="20"/>
                        <w:lang w:eastAsia="lt-LT"/>
                      </w:rPr>
                    </w:pPr>
                    <w:r>
                      <w:rPr>
                        <w:b/>
                        <w:bCs/>
                        <w:sz w:val="20"/>
                        <w:lang w:eastAsia="lt-LT"/>
                      </w:rPr>
                      <w:t>8.</w:t>
                    </w:r>
                  </w:p>
                </w:tc>
                <w:tc>
                  <w:tcPr>
                    <w:tcW w:w="4129" w:type="dxa"/>
                    <w:tcBorders>
                      <w:top w:val="nil"/>
                      <w:left w:val="single" w:sz="4" w:space="0" w:color="auto"/>
                      <w:bottom w:val="single" w:sz="4" w:space="0" w:color="auto"/>
                      <w:right w:val="single" w:sz="4" w:space="0" w:color="auto"/>
                    </w:tcBorders>
                    <w:shd w:val="clear" w:color="auto" w:fill="FFFFFF"/>
                    <w:noWrap/>
                    <w:vAlign w:val="center"/>
                  </w:tcPr>
                  <w:p>
                    <w:pPr>
                      <w:ind w:left="-3"/>
                      <w:rPr>
                        <w:b/>
                        <w:bCs/>
                        <w:sz w:val="20"/>
                        <w:lang w:eastAsia="lt-LT"/>
                      </w:rPr>
                    </w:pPr>
                    <w:r>
                      <w:rPr>
                        <w:b/>
                        <w:bCs/>
                        <w:sz w:val="20"/>
                        <w:lang w:eastAsia="lt-LT"/>
                      </w:rPr>
                      <w:t>MAŽUMOS DALIS</w:t>
                    </w:r>
                  </w:p>
                </w:tc>
                <w:tc>
                  <w:tcPr>
                    <w:tcW w:w="1077" w:type="dxa"/>
                    <w:tcBorders>
                      <w:top w:val="nil"/>
                      <w:left w:val="nil"/>
                      <w:bottom w:val="single" w:sz="4" w:space="0" w:color="auto"/>
                      <w:right w:val="nil"/>
                    </w:tcBorders>
                    <w:shd w:val="clear" w:color="auto" w:fill="FFFFFF"/>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r>
                <w:trPr>
                  <w:trHeight w:val="495"/>
                </w:trPr>
                <w:tc>
                  <w:tcPr>
                    <w:tcW w:w="1166" w:type="dxa"/>
                    <w:tcBorders>
                      <w:top w:val="nil"/>
                      <w:left w:val="single" w:sz="4" w:space="0" w:color="auto"/>
                      <w:bottom w:val="single" w:sz="4" w:space="0" w:color="auto"/>
                      <w:right w:val="single" w:sz="4" w:space="0" w:color="auto"/>
                    </w:tcBorders>
                    <w:shd w:val="clear" w:color="auto" w:fill="auto"/>
                    <w:vAlign w:val="center"/>
                  </w:tcPr>
                  <w:p>
                    <w:pPr>
                      <w:ind w:firstLine="50"/>
                      <w:jc w:val="center"/>
                      <w:rPr>
                        <w:b/>
                        <w:bCs/>
                        <w:sz w:val="20"/>
                        <w:lang w:eastAsia="lt-LT"/>
                      </w:rPr>
                    </w:pPr>
                    <w:r>
                      <w:rPr>
                        <w:b/>
                        <w:bCs/>
                        <w:sz w:val="20"/>
                        <w:lang w:eastAsia="lt-LT"/>
                      </w:rPr>
                      <w:t>9.</w:t>
                    </w:r>
                  </w:p>
                </w:tc>
                <w:tc>
                  <w:tcPr>
                    <w:tcW w:w="4129" w:type="dxa"/>
                    <w:tcBorders>
                      <w:top w:val="single" w:sz="4" w:space="0" w:color="auto"/>
                      <w:left w:val="nil"/>
                      <w:bottom w:val="single" w:sz="4" w:space="0" w:color="auto"/>
                      <w:right w:val="single" w:sz="4" w:space="0" w:color="000000"/>
                    </w:tcBorders>
                    <w:shd w:val="clear" w:color="auto" w:fill="auto"/>
                    <w:vAlign w:val="center"/>
                  </w:tcPr>
                  <w:p>
                    <w:pPr>
                      <w:rPr>
                        <w:b/>
                        <w:bCs/>
                        <w:sz w:val="20"/>
                        <w:lang w:eastAsia="lt-LT"/>
                      </w:rPr>
                    </w:pPr>
                    <w:r>
                      <w:rPr>
                        <w:b/>
                        <w:bCs/>
                        <w:sz w:val="20"/>
                        <w:lang w:eastAsia="lt-LT"/>
                      </w:rPr>
                      <w:t>IŠ VISO FINANSAVIMO SUMŲ, ĮSIPAREIGOJIMŲ, GRYNOJO TURTO IR MAŽUMOS DALIES:</w:t>
                    </w:r>
                  </w:p>
                </w:tc>
                <w:tc>
                  <w:tcPr>
                    <w:tcW w:w="1077" w:type="dxa"/>
                    <w:tcBorders>
                      <w:top w:val="nil"/>
                      <w:left w:val="nil"/>
                      <w:bottom w:val="single" w:sz="4" w:space="0" w:color="auto"/>
                      <w:right w:val="nil"/>
                    </w:tcBorders>
                    <w:shd w:val="clear" w:color="auto" w:fill="auto"/>
                    <w:vAlign w:val="center"/>
                  </w:tcPr>
                  <w:p>
                    <w:pPr>
                      <w:ind w:firstLine="50"/>
                      <w:rPr>
                        <w:sz w:val="20"/>
                        <w:lang w:eastAsia="lt-LT"/>
                      </w:rPr>
                    </w:pPr>
                  </w:p>
                </w:tc>
                <w:tc>
                  <w:tcPr>
                    <w:tcW w:w="1370" w:type="dxa"/>
                    <w:tcBorders>
                      <w:top w:val="nil"/>
                      <w:left w:val="single" w:sz="4" w:space="0" w:color="auto"/>
                      <w:bottom w:val="single" w:sz="4" w:space="0" w:color="auto"/>
                      <w:right w:val="single" w:sz="4" w:space="0" w:color="auto"/>
                    </w:tcBorders>
                    <w:shd w:val="clear" w:color="auto" w:fill="auto"/>
                    <w:vAlign w:val="center"/>
                  </w:tcPr>
                  <w:p>
                    <w:pPr>
                      <w:ind w:firstLine="50"/>
                      <w:rPr>
                        <w:sz w:val="20"/>
                        <w:lang w:eastAsia="lt-LT"/>
                      </w:rPr>
                    </w:pPr>
                  </w:p>
                </w:tc>
                <w:tc>
                  <w:tcPr>
                    <w:tcW w:w="1328" w:type="dxa"/>
                    <w:tcBorders>
                      <w:top w:val="nil"/>
                      <w:left w:val="nil"/>
                      <w:bottom w:val="single" w:sz="4" w:space="0" w:color="auto"/>
                      <w:right w:val="single" w:sz="4" w:space="0" w:color="auto"/>
                    </w:tcBorders>
                    <w:shd w:val="clear" w:color="auto" w:fill="auto"/>
                    <w:vAlign w:val="center"/>
                  </w:tcPr>
                  <w:p>
                    <w:pPr>
                      <w:ind w:firstLine="50"/>
                      <w:rPr>
                        <w:sz w:val="20"/>
                        <w:lang w:eastAsia="lt-LT"/>
                      </w:rPr>
                    </w:pPr>
                  </w:p>
                </w:tc>
              </w:tr>
            </w:tbl>
            <w:p>
              <w:pPr>
                <w:rPr>
                  <w:szCs w:val="24"/>
                  <w:lang w:eastAsia="lt-LT"/>
                </w:rPr>
              </w:pPr>
            </w:p>
            <w:p>
              <w:pPr>
                <w:jc w:val="center"/>
              </w:pPr>
              <w:r>
                <w:rPr>
                  <w:bCs/>
                  <w:szCs w:val="24"/>
                  <w:lang w:eastAsia="lt-LT"/>
                </w:rPr>
                <w:t>_____________________________</w:t>
              </w:r>
            </w:p>
            <w:p>
              <w:pPr>
                <w:tabs>
                  <w:tab w:val="left" w:pos="913"/>
                  <w:tab w:val="left" w:pos="6320"/>
                  <w:tab w:val="left" w:pos="9372"/>
                </w:tabs>
              </w:pPr>
            </w:p>
            <w:p>
              <w:pPr>
                <w:ind w:firstLine="709"/>
              </w:pPr>
            </w:p>
          </w:sdtContent>
        </w:sdt>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B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944F39A9-CCB6-423B-BFDD-E885331A9C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1891211">
      <w:bodyDiv w:val="1"/>
      <w:marLeft w:val="0"/>
      <w:marRight w:val="0"/>
      <w:marTop w:val="0"/>
      <w:marBottom w:val="0"/>
      <w:divBdr>
        <w:top w:val="none" w:sz="0" w:space="0" w:color="auto"/>
        <w:left w:val="none" w:sz="0" w:space="0" w:color="auto"/>
        <w:bottom w:val="none" w:sz="0" w:space="0" w:color="auto"/>
        <w:right w:val="none" w:sz="0" w:space="0" w:color="auto"/>
      </w:divBdr>
    </w:div>
    <w:div w:id="646664572">
      <w:bodyDiv w:val="1"/>
      <w:marLeft w:val="0"/>
      <w:marRight w:val="0"/>
      <w:marTop w:val="0"/>
      <w:marBottom w:val="0"/>
      <w:divBdr>
        <w:top w:val="none" w:sz="0" w:space="0" w:color="auto"/>
        <w:left w:val="none" w:sz="0" w:space="0" w:color="auto"/>
        <w:bottom w:val="none" w:sz="0" w:space="0" w:color="auto"/>
        <w:right w:val="none" w:sz="0" w:space="0" w:color="auto"/>
      </w:divBdr>
      <w:divsChild>
        <w:div w:id="758133994">
          <w:marLeft w:val="0"/>
          <w:marRight w:val="0"/>
          <w:marTop w:val="0"/>
          <w:marBottom w:val="0"/>
          <w:divBdr>
            <w:top w:val="none" w:sz="0" w:space="0" w:color="auto"/>
            <w:left w:val="none" w:sz="0" w:space="0" w:color="auto"/>
            <w:bottom w:val="none" w:sz="0" w:space="0" w:color="auto"/>
            <w:right w:val="none" w:sz="0" w:space="0" w:color="auto"/>
          </w:divBdr>
        </w:div>
        <w:div w:id="207189655">
          <w:marLeft w:val="0"/>
          <w:marRight w:val="0"/>
          <w:marTop w:val="0"/>
          <w:marBottom w:val="0"/>
          <w:divBdr>
            <w:top w:val="none" w:sz="0" w:space="0" w:color="auto"/>
            <w:left w:val="none" w:sz="0" w:space="0" w:color="auto"/>
            <w:bottom w:val="none" w:sz="0" w:space="0" w:color="auto"/>
            <w:right w:val="none" w:sz="0" w:space="0" w:color="auto"/>
          </w:divBdr>
        </w:div>
      </w:divsChild>
    </w:div>
    <w:div w:id="1117409870">
      <w:bodyDiv w:val="1"/>
      <w:marLeft w:val="0"/>
      <w:marRight w:val="0"/>
      <w:marTop w:val="0"/>
      <w:marBottom w:val="0"/>
      <w:divBdr>
        <w:top w:val="none" w:sz="0" w:space="0" w:color="auto"/>
        <w:left w:val="none" w:sz="0" w:space="0" w:color="auto"/>
        <w:bottom w:val="none" w:sz="0" w:space="0" w:color="auto"/>
        <w:right w:val="none" w:sz="0" w:space="0" w:color="auto"/>
      </w:divBdr>
      <w:divsChild>
        <w:div w:id="554632787">
          <w:marLeft w:val="0"/>
          <w:marRight w:val="0"/>
          <w:marTop w:val="0"/>
          <w:marBottom w:val="0"/>
          <w:divBdr>
            <w:top w:val="none" w:sz="0" w:space="0" w:color="auto"/>
            <w:left w:val="none" w:sz="0" w:space="0" w:color="auto"/>
            <w:bottom w:val="none" w:sz="0" w:space="0" w:color="auto"/>
            <w:right w:val="none" w:sz="0" w:space="0" w:color="auto"/>
          </w:divBdr>
        </w:div>
        <w:div w:id="506291139">
          <w:marLeft w:val="0"/>
          <w:marRight w:val="0"/>
          <w:marTop w:val="0"/>
          <w:marBottom w:val="0"/>
          <w:divBdr>
            <w:top w:val="none" w:sz="0" w:space="0" w:color="auto"/>
            <w:left w:val="none" w:sz="0" w:space="0" w:color="auto"/>
            <w:bottom w:val="none" w:sz="0" w:space="0" w:color="auto"/>
            <w:right w:val="none" w:sz="0" w:space="0" w:color="auto"/>
          </w:divBdr>
        </w:div>
        <w:div w:id="1184631774">
          <w:marLeft w:val="0"/>
          <w:marRight w:val="0"/>
          <w:marTop w:val="0"/>
          <w:marBottom w:val="0"/>
          <w:divBdr>
            <w:top w:val="none" w:sz="0" w:space="0" w:color="auto"/>
            <w:left w:val="none" w:sz="0" w:space="0" w:color="auto"/>
            <w:bottom w:val="none" w:sz="0" w:space="0" w:color="auto"/>
            <w:right w:val="none" w:sz="0" w:space="0" w:color="auto"/>
          </w:divBdr>
        </w:div>
      </w:divsChild>
    </w:div>
    <w:div w:id="1318223452">
      <w:bodyDiv w:val="1"/>
      <w:marLeft w:val="0"/>
      <w:marRight w:val="0"/>
      <w:marTop w:val="0"/>
      <w:marBottom w:val="0"/>
      <w:divBdr>
        <w:top w:val="none" w:sz="0" w:space="0" w:color="auto"/>
        <w:left w:val="none" w:sz="0" w:space="0" w:color="auto"/>
        <w:bottom w:val="none" w:sz="0" w:space="0" w:color="auto"/>
        <w:right w:val="none" w:sz="0" w:space="0" w:color="auto"/>
      </w:divBdr>
      <w:divsChild>
        <w:div w:id="467431815">
          <w:marLeft w:val="0"/>
          <w:marRight w:val="0"/>
          <w:marTop w:val="0"/>
          <w:marBottom w:val="0"/>
          <w:divBdr>
            <w:top w:val="none" w:sz="0" w:space="0" w:color="auto"/>
            <w:left w:val="none" w:sz="0" w:space="0" w:color="auto"/>
            <w:bottom w:val="none" w:sz="0" w:space="0" w:color="auto"/>
            <w:right w:val="none" w:sz="0" w:space="0" w:color="auto"/>
          </w:divBdr>
        </w:div>
        <w:div w:id="1813012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wmf"/>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astabos xmlns="94936394-26be-427d-b8b7-b12cb207c04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8A5DA40B4D25E4BAE4130FD369D64C5" ma:contentTypeVersion="5" ma:contentTypeDescription="Create a new document." ma:contentTypeScope="" ma:versionID="8ca3467c2df9f22e1f03e2f4fab7b999">
  <xsd:schema xmlns:xsd="http://www.w3.org/2001/XMLSchema" xmlns:xs="http://www.w3.org/2001/XMLSchema" xmlns:p="http://schemas.microsoft.com/office/2006/metadata/properties" xmlns:ns2="94936394-26be-427d-b8b7-b12cb207c040" xmlns:ns3="a83dc949-8e3e-4b9b-9943-a9f1b6a40f07" targetNamespace="http://schemas.microsoft.com/office/2006/metadata/properties" ma:root="true" ma:fieldsID="e43ef08c8bc6cc2b154da813fd1391fc" ns2:_="" ns3:_="">
    <xsd:import namespace="94936394-26be-427d-b8b7-b12cb207c040"/>
    <xsd:import namespace="a83dc949-8e3e-4b9b-9943-a9f1b6a40f07"/>
    <xsd:element name="properties">
      <xsd:complexType>
        <xsd:sequence>
          <xsd:element name="documentManagement">
            <xsd:complexType>
              <xsd:all>
                <xsd:element ref="ns2:MediaServiceMetadata" minOccurs="0"/>
                <xsd:element ref="ns2:MediaServiceFastMetadata" minOccurs="0"/>
                <xsd:element ref="ns2:Pastabo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936394-26be-427d-b8b7-b12cb207c0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Pastabos" ma:index="10" nillable="true" ma:displayName="Pastabos" ma:format="Dropdown" ma:internalName="Pastabo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3dc949-8e3e-4b9b-9943-a9f1b6a40f0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1c46c6bc284143c8b80f1c3cea064d39" PartId="32555bfceedf483d992d5f3fcb2c1542">
    <Part Type="punktas" Nr="1" Abbr="1 p." DocPartId="3c14044305044170a530089fa6c2a7e3" PartId="82d29acdd53b48208d88fcba5fd88273">
      <Part Type="citata" DocPartId="3bd5c0d28eef44ff9bb9b715bca1c815" PartId="7c4a2683a105478ab7aff568b99858ac">
        <Part Type="pagrindine" DocPartId="3d28529cf3c5457e8878c43c9444b7b7" PartId="f20981b57efd4c6b96e253050e0e47ac">
          <Part Type="preambule" DocPartId="21e6e9da8bec4ae0bb0478a6cb5962aa" PartId="d514990760a7466985fa5bbfd3ad530f"/>
          <Part Type="pastraipa" DocPartId="162756e005c64033a3c87bf90c38c04f" PartId="948d397261e04d33a04c3f1bd1f76fe4"/>
        </Part>
      </Part>
    </Part>
    <Part Type="punktas" Nr="2" Abbr="2 p." DocPartId="3fd68be04bb6499492961313c6522a21" PartId="fbad358d3c754e68a104fcc6ed0490a5"/>
    <Part Type="signatura" DocPartId="53362193023544318b13fd4ce1dd5213" PartId="657a23c76a47412f8096926e40ac77c7"/>
  </Part>
  <Part Type="patvirtinta" Title="2-ASIS VIEŠOJO SEKTORIAUS APSKAITOS IR FINANSINĖS ATSKAITOMYBĖS STANDARTAS „FINANSINĖS BŪKLĖS ATASKAITA“" DocPartId="49af43b6c0c64c30a1cf1ca681283efb" PartId="b19d5fa9b3d54625b6e95ed08c610af2">
    <Part Type="skyrius" Nr="1" Title="BENDROSIOS NUOSTATOS" DocPartId="a09bd934787d4334aa7d2af642d0d65b" PartId="0493068f2cf4482ca2f2a08c054f07a2">
      <Part Type="punktas" Nr="1" Abbr="1 p." DocPartId="c9873795c8b9479ebc241840b795b82a" PartId="f1fe92c3065744989b5d14f891c5b9b7"/>
      <Part Type="punktas" Nr="2" Abbr="2 p." DocPartId="e0d5cfd990f348d1928ef740af09e063" PartId="7e8af8adb972401caac138e17b63c075"/>
      <Part Type="punktas" Nr="3" Abbr="3 p." DocPartId="ba475cfc99f44d328c815077dff19f48" PartId="86b5a74940354780adb0be006b752afe"/>
      <Part Type="punktas" Nr="4" Abbr="4 p." DocPartId="5455b1362f0f4f348df500e3336f0668" PartId="338341ab6b644dc9a2df40dd12ac8a89">
        <Part Type="papunktis" Nr="4.1" Abbr="4.1 pp." DocPartId="c7210513266e418d8df4974fc2de7bb1" PartId="a7b077d0029e4377aaa325c0b4816784"/>
        <Part Type="papunktis" Nr="4.2" Abbr="4.2 pp." DocPartId="9c08b3e1c9914e64a7abb94b884e3ceb" PartId="108b3e9ec87e41e2aaff48a09f28f955"/>
        <Part Type="papunktis" Nr="4.3" Abbr="4.3 pp." DocPartId="ea366e15feed49919cc42ef666e1f4a7" PartId="046e45f7d9d34bef95b7b4af3e1b59a7"/>
        <Part Type="papunktis" Nr="4.4" Abbr="4.4 pp." DocPartId="c8ac9dc587e349b781dddbc0a46740b3" PartId="12e7521b05b84b62a71d30f4bc484e14"/>
        <Part Type="papunktis" Nr="4.5" Abbr="4.5 pp." DocPartId="e385236d599d42689a8c3baa0a05d535" PartId="03c86cd6ac73490bb72a06e80dfb96b5"/>
        <Part Type="papunktis" Nr="4.6" Abbr="4.6 pp." DocPartId="2d8dd853da5144288b46e32029ce832b" PartId="d6a72ecab45f425c8aac78cf44723bfa"/>
        <Part Type="papunktis" Nr="4.7" Abbr="4.7 pp." DocPartId="2c478d16f51e4b508edc22e68b07d4e4" PartId="cec0a54e921e452cb32640f3d0700292"/>
        <Part Type="papunktis" Nr="4.8" Abbr="4.8 pp." DocPartId="3dbc5ec578fb498aac3c191eed2c3295" PartId="fefebb1b8fdd40bc91c56852a2c9bb10"/>
        <Part Type="papunktis" Nr="4.9" Abbr="4.9 pp." DocPartId="a6fae800e6ac48b984c9ea213c106ee9" PartId="28898d0e2ff9407b9235a64e26d3a8a0"/>
        <Part Type="papunktis" Nr="4.10" Abbr="4.10 pp." DocPartId="6685577206fc4b7bb599141bb7d4e489" PartId="ec74aa738a1c4dd192e077472cae83a2"/>
        <Part Type="papunktis" Nr="4.11" Abbr="4.11 pp." DocPartId="dc2e63f11c02444e83d2b873eeec6ed7" PartId="232e264e7d1b4e8f85cd79a5f0bf0335"/>
      </Part>
    </Part>
    <Part Type="skyrius" Nr="2" Title="INFORMACIJOS PATEIKIMAS ATASKAITOJE IR JOS GRUPAVIMAS" DocPartId="cba82a85d4214aa6b8676b7588cf570b" PartId="7632eb3363874d9893cc8339d3103296">
      <Part Type="punktas" Nr="5" Abbr="5 p." DocPartId="9d20b4d059ad49fbb12ddd127e0a0b8c" PartId="7e0b81276b0045438b1acc8e13ebb206"/>
      <Part Type="punktas" Nr="6" Abbr="6 p." DocPartId="51e3f88406504ad9885ba4cc8995e028" PartId="ce5713ffb4634dd884e58e1a7825d6a5"/>
      <Part Type="punktas" Nr="7" Abbr="7 p." DocPartId="df9bdacd0a1f4dc5855eccb1cb73c421" PartId="eaa0c05caf7b4f17afc6b8500708c200">
        <Part Type="papunktis" Nr="7.1" Abbr="7.1 pp." DocPartId="ec4fea81b28b4ab69d3d6658e2416ff6" PartId="85b7c73c28ae485eac59a5969eac8df9"/>
        <Part Type="papunktis" Nr="7.2" Abbr="7.2 pp." DocPartId="be3fe853afc34443ae0ec3409537d8d6" PartId="e40662dd47a443808ad8e8f6550ad362"/>
        <Part Type="papunktis" Nr="7.3" Abbr="7.3 pp." DocPartId="fab1fcd4b1344835a62a79185607a557" PartId="9917300910624e78ba347daa3fbc6987"/>
        <Part Type="papunktis" Nr="7.4" Abbr="7.4 pp." DocPartId="7e8e200feac84d17bceabc9a2c27ec4f" PartId="18f1a41446f746d3b4a9215ebc076e12"/>
        <Part Type="papunktis" Nr="7.5" Abbr="7.5 pp." DocPartId="9b1259efdd7246878863ee3958fd1e9f" PartId="d6ec1c84c3c141b2a156b04aeb497cc0"/>
      </Part>
    </Part>
    <Part Type="skyrius" Nr="3" Title="TURTO IR ĮSIPAREIGOJIMŲ PRISKYRIMAS PRIE ILGALAIKIŲ IR TRUMPALAIKIŲ" DocPartId="110b7535a7614cc3baee8ba7fcfa0af6" PartId="664c0955675646c3a2ac3dba5678714c">
      <Part Type="punktas" Nr="8" Abbr="8 p." DocPartId="5f568ffa66ec4c40945074aa600d2426" PartId="5088e9dadafd438ebe03778b72151413"/>
      <Part Type="punktas" Nr="9" Abbr="9 p." DocPartId="fe6f03e5c3704cc9b5bac9846a9345f6" PartId="e5d369aa09e742c5ad15481048856b02"/>
      <Part Type="punktas" Nr="10" Abbr="10 p." DocPartId="3c59371570d24ae9b61b9791b690882e" PartId="1f33f0da30ce4522bf9e9779545e827d"/>
      <Part Type="punktas" Nr="11" Abbr="11 p." DocPartId="8c8997d579594885bc9ab04c84d540e4" PartId="2cb71a6ad1f84d25a3dbc9b821965f5f"/>
      <Part Type="punktas" Nr="12" Abbr="12 p." DocPartId="873d5e6f597147e0aa85bdcb7e98beed" PartId="d2db19b7b0034c57893723826a6c10be"/>
      <Part Type="punktas" Nr="13" Abbr="13 p." DocPartId="96db67d51d6e4b91a032a9e75b72d290" PartId="c1438c1836da4be58b0af14a1adeca89"/>
      <Part Type="punktas" Nr="14" Abbr="14 p." DocPartId="5a282f97897741cfac960f043e8be744" PartId="e5e6da65a2284e27b06f5eb3dd99eb82"/>
      <Part Type="punktas" Nr="15" Abbr="15 p." DocPartId="3912aafe7cec48019d7d0757701e5c26" PartId="9ee44c13649e445eb82dfb4232f7e135"/>
    </Part>
    <Part Type="skyrius" Nr="4" Title="TURTO STRAIPSNIŲ PAAIŠKINIMAS" DocPartId="2ebc14f3c3664cc7b5a919bec1314de1" PartId="a54d881a299046ac8159b4575b7a9181">
      <Part Type="punktas" Nr="16" Abbr="16 p." DocPartId="a9c646d4f0144dfab1d9c2cdde300457" PartId="da1d7b891b074d308bcb57d6a6cdbff6"/>
      <Part Type="punktas" Nr="17" Abbr="17 p." DocPartId="0524b81bdda64d9c8468085e34f06e65" PartId="e4dcdcb36d1845d7b0e5ac36eb020434"/>
      <Part Type="punktas" Nr="18" Abbr="18 p." DocPartId="181b4c44f16d48458b2ebf5d14339575" PartId="03aaf7d047c54bc886040eb9ebd8dd81">
        <Part Type="papunktis" Nr="18.1" Abbr="18.1 pp." DocPartId="65519c2ff8c74151a996fcdb992bd043" PartId="c20ff843c4aa4b5592aee6bd72e8575c"/>
        <Part Type="papunktis" Nr="18.2" Abbr="18.2 pp." DocPartId="ac2b010cedf74b32b5a07ddf44876317" PartId="bdac8d9582b24504b4bdd9770fb48409"/>
        <Part Type="papunktis" Nr="18.3" Abbr="18.3 pp." DocPartId="9827bce798394c0f9e2fb5fb399a43c4" PartId="a4ac398554b6436d9ecc322d8a1bac52"/>
        <Part Type="papunktis" Nr="18.4" Abbr="18.4 pp." DocPartId="40a3b3ede2c74435bbb55a18d79370ea" PartId="27fa229a05a84771b0d21a7fe8265e12"/>
        <Part Type="papunktis" Nr="18.5" Abbr="18.5 pp." DocPartId="2201347c624d49aa9e5139813eacd1be" PartId="66bf49021ca549c0bb9930949b679732"/>
        <Part Type="papunktis" Nr="18.6" Abbr="18.6 pp." DocPartId="2469f22090414f978c922d17f34cca4f" PartId="df3f315cc67541349acc931c7630d53a"/>
      </Part>
      <Part Type="punktas" Nr="19" Abbr="19 p." DocPartId="f1e9e4f8acc04a3e83265cd574e4805c" PartId="3418c8249d3c4f2f9491aabe750ff117"/>
      <Part Type="punktas" Nr="20" Abbr="20 p." DocPartId="b20a6477c794493ea62494b36dda185e" PartId="12f70e9246104f6ea983ae60f503a957"/>
      <Part Type="punktas" Nr="21" Abbr="21 p." DocPartId="bd36b0cff0ce4ee89153f351f2726512" PartId="186fc16220ec4abd89cf132cf0349f4d"/>
      <Part Type="punktas" Nr="22" Abbr="22 p." DocPartId="63c46bb9f7b64d56924c4440497bbfa1" PartId="3aad0aab4cc4485d9694fb38d21c6a4d"/>
      <Part Type="punktas" Nr="23" Abbr="23 p." DocPartId="1a5875bc41c44a69b3d64540b6d6de4f" PartId="d3030f266ad04c78aa45abf3267e9b4e">
        <Part Type="papunktis" Nr="23.1" Abbr="23.1 pp." DocPartId="c8313d647320483ca0a275ff7b079b48" PartId="21d910508b2b48d387b9573412730614"/>
        <Part Type="papunktis" Nr="23.2" Abbr="23.2 pp." DocPartId="cf77516871a247e8af86c6a34f371948" PartId="e59666924a1d455a801a4335957340df"/>
      </Part>
      <Part Type="punktas" Nr="24" Abbr="24 p." DocPartId="0732d94a140948c2a4ca8be69632e1d2" PartId="79e46e23158f4642be229e54c6817360">
        <Part Type="papunktis" Nr="24.1" Abbr="24.1 pp." DocPartId="38e47e6203b74318ab417d0a9bf5ca89" PartId="3ba7895b48514fedbf4c782f9b6672eb"/>
        <Part Type="papunktis" Nr="24.2" Abbr="24.2 pp." DocPartId="1e297821d06d4b66b534aa1a8b0ff156" PartId="defb0fb8b3394edfb6adaf9132504f82">
          <Part Type="papunktis" Nr="24.2.1" Abbr="24.2.1 pp." DocPartId="db57aeaa79b84c7e9d8bec1b49a1ac87" PartId="9785454f9bdc46aeb10e98d2b054a399"/>
          <Part Type="papunktis" Nr="24.2.2" Abbr="24.2.2 pp." DocPartId="d4b7371d1c904a05b2fc30037be56a04" PartId="bec1083774d94229a1a4fb79b038dfbc"/>
          <Part Type="papunktis" Nr="24.2.3" Abbr="24.2.3 pp." DocPartId="d3ac4472d64d463d8c736a3c3126b1cb" PartId="d93c8c2e887447f2b6a5b3c4c8bbebfb"/>
        </Part>
        <Part Type="papunktis" Nr="24.3" Abbr="24.3 pp." DocPartId="78e5e68d4d9e4b9690a7810af23aaa65" PartId="2f8663e5ecea48c38e7e2c53e74b52ba">
          <Part Type="papunktis" Nr="24.3.1" Abbr="24.3.1 pp." DocPartId="cd5f258bc5974f4d93923954fbe95d09" PartId="a9fb1965e74b41dfb9ca7497fe165233"/>
          <Part Type="papunktis" Nr="24.3.2" Abbr="24.3.2 pp." DocPartId="aac20bc0fc16469f82ece7b492cabd78" PartId="aa0e09abe1a943a6983f05744dec7a76"/>
          <Part Type="papunktis" Nr="24.3.3" Abbr="24.3.3 pp." DocPartId="5cc6b71e5fa24cba8ad51e0f14cdd0b7" PartId="3cbb5824d2aa41ecb70a80e505a283ce"/>
          <Part Type="papunktis" Nr="24.3.4" Abbr="24.3.4 pp." DocPartId="8f8fed2d61124d469e390123a8acfdf7" PartId="a7643b76a6764b4bbdcb88e6af056271"/>
        </Part>
        <Part Type="papunktis" Nr="24.4" Abbr="24.4 pp." DocPartId="132475e8cd364901b513b41421bbec84" PartId="e9f96248796344899f309274501e043d"/>
        <Part Type="papunktis" Nr="24.5" Abbr="24.5 pp." DocPartId="1c008ef73bad429ca5ac76c76a6b1e2a" PartId="3f0b4456d6774f59a5ab190c2e463a14"/>
        <Part Type="papunktis" Nr="24.6" Abbr="24.6 pp." DocPartId="75797a40bea440f98922cbcc34156bf3" PartId="849356931d3b4912adedf330b3488518"/>
      </Part>
      <Part Type="punktas" Nr="25" Abbr="25 p." DocPartId="d02ea48518e543e29046016a49126ad5" PartId="f8376cc48fa649b28758ce3ef7a91131"/>
      <Part Type="punktas" Nr="26" Abbr="26 p." DocPartId="d2005fcd0b1343e1b8f98fe4d928f226" PartId="f9656abb715f460c8be125a7e02924e2"/>
    </Part>
    <Part Type="skyrius" Nr="5" Title="FINANSAVIMO SUMŲ STRAIPSNIŲ PAAIŠKINIMAS" DocPartId="8aa017d4f43f4b8c9fdd9ac7e9bfc6e4" PartId="91e77a619e5343e68664119dcfa881a5">
      <Part Type="punktas" Nr="27" Abbr="27 p." DocPartId="5967750e27eb4279a59ea87d391fd800" PartId="0adf85270f064e1a99b1a8908bc970f6">
        <Part Type="papunktis" Nr="27.1" Abbr="27.1 pp." DocPartId="a3944c3ccf5146f2a2832c478b405ff2" PartId="a0a657238bae43b5a35ee5b75fcfd5c6"/>
        <Part Type="papunktis" Nr="27.2" Abbr="27.2 pp." DocPartId="10aeee9ea2194d989ac8ac5285044523" PartId="257252d29ce14bcfb6587a82c5f3a73b"/>
        <Part Type="papunktis" Nr="27.3" Abbr="27.3 pp." DocPartId="e1d107a75a9245138736d883f9c45101" PartId="497c58ffb0f34c22872a0d44fb4d5fb2"/>
        <Part Type="papunktis" Nr="27.4" Abbr="27.4 pp." DocPartId="ceb02bb0ba5d4c238f904795a63e36d1" PartId="55ae0aebf8704f7e979a436fa92a3ff7"/>
        <Part Type="papunktis" Nr="27.5" Abbr="27.5 pp." DocPartId="ec7d1d83c5774bae8866b715ee83bb52" PartId="8980d8f7c5264289b73f8073bf229044"/>
      </Part>
    </Part>
    <Part Type="skyrius" Nr="6" Title="ĮSIPAREIGOJIMŲ STRAIPSNIŲ PAAIŠKINIMAS" DocPartId="82430e5234464c0fb132bf92b62ecea3" PartId="5b5a3824f3b54b9b84d3b0e59a4316f2">
      <Part Type="punktas" Nr="28" Abbr="28 p." DocPartId="b2be73154cdc409faccc9fdea9b6726f" PartId="d2479ecc82634bff897c36cb3af64c1a"/>
      <Part Type="punktas" Nr="29" Abbr="29 p." DocPartId="44623af41f4a4f4d93dd21f1985dd246" PartId="a8a1109099374321b80ff1f594915cdf"/>
      <Part Type="punktas" Nr="30" Abbr="30 p." DocPartId="1f35208bcb31447cb09ebf9db98d7536" PartId="7bdfaccdfef443be90307a3fd77ba382"/>
      <Part Type="punktas" Nr="31" Abbr="31 p." DocPartId="6123b04424b0456f923a644a39149967" PartId="611a85d11f45491f9b45e14ab0e34c88"/>
      <Part Type="punktas" Nr="32" Abbr="32 p." DocPartId="9ee812bfcc21492b9b97b0b5e2cfe7da" PartId="f89e2bf616e442ca8911ff73252606fb"/>
      <Part Type="punktas" Nr="33" Abbr="33 p." DocPartId="8bf247230f8f481eb00240a76e4e09f1" PartId="55dea41c951841fca07f2d4832c8d361"/>
      <Part Type="punktas" Nr="34" Abbr="34 p." DocPartId="b4c014e4f0054aaea12a92ccd69d43b7" PartId="22f1476d0e5d49bb96b43ad2f974e24c"/>
      <Part Type="punktas" Nr="35" Abbr="35 p." DocPartId="d9e073d4b418476f9fdf0c2589899212" PartId="ad4971650dce499c8d696d6d7084320c"/>
      <Part Type="punktas" Nr="36" Abbr="36 p." DocPartId="00225744b7904444b7dde5328505d7f1" PartId="c6ddad0995be4c91acd59ec798bee22d"/>
      <Part Type="punktas" Nr="37" Abbr="37 p." DocPartId="71e933f6674b48f69cf1f667fcd10fa6" PartId="939f76abfdaf4ed991d923aa1c99db94"/>
      <Part Type="punktas" Nr="38" Abbr="38 p." DocPartId="d68f041cb450499a8a6ef53afe39fc89" PartId="e5b4db19219846b9915aedd950d3b943"/>
    </Part>
    <Part Type="skyrius" Nr="7" Title="GRYNOJO TURTO IR MAŽUMOS DALIES STRAIPSNIŲ PAAIŠKINIMAS" DocPartId="d6dc0c8535f741688d72dc37ccce681e" PartId="8637efd476774eccbfd26bf53c779b00">
      <Part Type="punktas" Nr="39" Abbr="39 p." DocPartId="0e9219c0ce164553a9a114acb4270d3d" PartId="50da551a3c7b47b99e7b1b67b9564d76">
        <Part Type="papunktis" Nr="39.1" Abbr="39.1 pp." DocPartId="f9aca0d89aa04364bd53615c795e82c0" PartId="1d16495f3a8040f79c976b4b1534bfde"/>
        <Part Type="papunktis" Nr="39.2" Abbr="39.2 pp." DocPartId="7e1ad2dafa9f4c3cabc150c0f418f59d" PartId="9e367f3258b14b989897eb038035fe59"/>
      </Part>
      <Part Type="punktas" Nr="40" Abbr="40 p." DocPartId="fbfef1d7e2e2463da053bdffd4fe2b00" PartId="f52bfc72dfc34d19afbbbbae7b0a1db0"/>
      <Part Type="punktas" Nr="41" Abbr="41 p." DocPartId="ae10a02a6e024053bd2aac6dd3b5c3af" PartId="4fd50876d8d04dbdb46cc92bc4d332dc">
        <Part Type="papunktis" Nr="41.1" Abbr="41.1 pp." DocPartId="45ef08d308ac4d37802f1cec67bb206d" PartId="281e25788d8c42058a165b10f3146488"/>
        <Part Type="papunktis" Nr="41.2" Abbr="41.2 pp." DocPartId="aa12307d6bbf45ffbb9f4fa328474960" PartId="a0ee7cb5b9e44656a15fc8d6b9ff1d88"/>
        <Part Type="papunktis" Nr="41.3" Abbr="41.3 pp." DocPartId="cbc64c4e3083470ab5bf0e650543f1a6" PartId="f9080a084ff2405591033078fd977d92"/>
        <Part Type="papunktis" Nr="41.4" Abbr="41.4 pp." DocPartId="53f3fb6636204b1f9020e316ef21e41c" PartId="1b4565da495c4d92814ca79e6789a6eb"/>
        <Part Type="papunktis" Nr="41.5" Abbr="41.5 pp." DocPartId="d0834f90cfd543e1956b9b83668b7951" PartId="37e3d91d5a8b4435b57c12a9ad9f9538"/>
      </Part>
      <Part Type="punktas" Nr="42" Abbr="42 p." DocPartId="038d48a0afba4fb88b68668519a730cb" PartId="39a92b2389384e94b6f0d3a7c8aabb64">
        <Part Type="papunktis" Nr="42.1" Abbr="42.1 pp." DocPartId="1dcd1f28704e46b299b3cf75c04c4da2" PartId="8e0313a5a10b4520bf13707bf53a18f8"/>
        <Part Type="papunktis" Nr="42.2" Abbr="42.2 pp." DocPartId="126ce16940cb472d8d0db96957d64753" PartId="a4e938746d1440e796bbc3ab8cf44210"/>
        <Part Type="papunktis" Nr="42.3" Abbr="42.3 pp." DocPartId="72bc3c32b81c4a939de3fc33f5739ed0" PartId="e22e6cb6771d4c02b3f7dbdc133e50b4"/>
      </Part>
      <Part Type="punktas" Nr="43" Abbr="43 p." DocPartId="7b641a896666452e860ca4eb89692f60" PartId="1856d382d6504d449e8f64ce1bad9a09"/>
    </Part>
    <Part Type="skyrius" Nr="8" Title="PELNO SIEKIANČIŲ SUBJEKTŲ INFORMACIJOS PATEIKIMAS VIEŠOJO SEKTORIAUS SUBJEKTŲ GRUPĖS ATASKAITOJE" DocPartId="4f358ff08ddb4f6f9a663e72ef5ac332" PartId="ce0581c3d91d410d8b27c8f7ca396ce7">
      <Part Type="punktas" Nr="44" Abbr="44 p." DocPartId="f14fba5a6f5d4007af14eea36034f09d" PartId="a92e5d800e4f43d4b324418774aef860">
        <Part Type="papunktis" Nr="44.1" Abbr="44.1 pp." DocPartId="2eea1a78cddc485b8be892d98dee32b4" PartId="1a9292aaef3f4b97ad7655bea11a3cce"/>
        <Part Type="papunktis" Nr="44.2" Abbr="44.2 pp." DocPartId="cd5a018c8fc84be7847b78fcda28cda1" PartId="342ec46cc54245839ae771002ace39ac"/>
        <Part Type="papunktis" Nr="44.3" Abbr="44.3 pp." DocPartId="ab061afdf5cc41a4a1fc43540fbed962" PartId="73fcddd442b8475184c37687a99ec417"/>
        <Part Type="papunktis" Nr="44.4" Abbr="44.4 pp." DocPartId="cd22626563b34d3ba5dd9de2ad113251" PartId="d11d299919874f5f98b86e53b18eb229"/>
        <Part Type="papunktis" Nr="44.5" Abbr="44.5 pp." DocPartId="3b578a90a00f45b49a63b4e478e8feb6" PartId="9f4bbead4e3746b08c81a4df215359eb"/>
        <Part Type="papunktis" Nr="44.6" Abbr="44.6 pp." DocPartId="6be2d58f089f401b869fb4be2d595afa" PartId="f871d664695845139952ac1083e88e26"/>
        <Part Type="papunktis" Nr="44.7" Abbr="44.7 pp." DocPartId="645713e16a624605a838eb33bff93011" PartId="ef9d8322892b4c22843aa892bdcbb3b0"/>
        <Part Type="papunktis" Nr="44.8" Abbr="44.8 pp." DocPartId="1aa59a13415741a9b7949952b6db2a2a" PartId="886dc1a10a44417e80996e0132ec64c4"/>
        <Part Type="papunktis" Nr="44.9" Abbr="44.9 pp." DocPartId="e0c5496911d54825bf85606b1130ffaa" PartId="b363cbca3a724126961ef95a4b5d45cd"/>
        <Part Type="papunktis" Nr="44.10" Abbr="44.10 pp." DocPartId="aa917123d7fb435eb7238675e250e013" PartId="21b22df741804ecfacf5cbfc16cb9565"/>
        <Part Type="papunktis" Nr="44.11" Abbr="44.11 pp." DocPartId="7c1257a99a6e44699857a43ddeb0529a" PartId="9b6fbffb544c47468eea4693a1bf075c"/>
        <Part Type="papunktis" Nr="44.12" Abbr="44.12 pp." DocPartId="063e93ae712648f7baebf6ef7149eda5" PartId="8c81958c10b946d0a14753271b5b0439"/>
        <Part Type="papunktis" Nr="44.13" Abbr="44.13 pp." DocPartId="17e1b6f71b1f4f1fae71dfe7fa6a4089" PartId="69ae3ee792f74d2aac862d0939a8ac66"/>
      </Part>
    </Part>
    <Part Type="skyrius" Nr="9" Title="INFORMACIJOS PATEIKIMAS FINANSINIŲ ATASKAITŲ AIŠKINAMAJAME RAŠTE" DocPartId="91e9abb52f924a2da16b64c158de4aa0" PartId="baf9093a475c40e19d8a2e65874dd966">
      <Part Type="punktas" Nr="45" Abbr="45 p." DocPartId="8b46ffd7aa0544b49d3367ee353d23d8" PartId="cdb20964f0a849a6aae70248ebe6bfd1"/>
      <Part Type="punktas" Nr="46" Abbr="46 p." DocPartId="ae300e29ac98484dad9c36d6f978fcee" PartId="d82e5ffeefdf448aa5848bd9eb9078b1"/>
    </Part>
  </Part>
  <Part Type="priedas" Nr="1" Abbr="1 pr." Title="(Finansinės būklės ataskaitos forma)" DocPartId="f0371ad74efb4de1a81cedd82ff6ccda" PartId="19978df4644c473dabf7c5e42ac49428">
    <Part Type="skirsnis" Title="FINANSINĖS BŪKLĖS ATASKAITA PAGAL 20_____M.______D. DUOMENIS" DocPartId="cb1369b8aeb14d19ba7955380b397a5a" PartId="bac93f15fef24d119aebb7fb209a0d14"/>
  </Part>
  <Part Type="priedas" Nr="2" Abbr="2 pr." Title="(Finansinės būklės ataskaitos forma)" DocPartId="4fa3a4fef97045978da785d13011990a" PartId="224627863b164ea5934951242dbd442a">
    <Part Type="skirsnis" Title="FINANSINĖS BŪKLĖS ATASKAITA PAGAL 20_____M.______D. DUOMENIS" DocPartId="e69910d23e834a71b7af094e3022292b" PartId="0a869e63df80460e8726e3142eb8d0d3"/>
  </Part>
  <Part Type="priedas" Nr="3" Abbr="3 pr." Title="(Valstybės finansinės būklės ataskaitos forma)" DocPartId="2392ebbe7d3a41efb432553ff8ea4f02" PartId="85159cce5da845f888b878b17495b344">
    <Part Type="skirsnis" Title="VALSTYBĖS FINANSINĖS BŪKLĖS ATASKAITA PAGAL 20_____M.______D. DUOMENIS" DocPartId="c80edc55a15541f48a4e053a5f3c36e6" PartId="8472ef916e1d4487a7517e00f87d9be1"/>
  </Part>
  <Part Type="priedas" Nr="4" Abbr="4 pr." Title="(Savivaldybės finansinės būklės ataskaitos forma)" DocPartId="d8a58d8b2e3e49e49162b752f2569b43" PartId="efed7daa8d98456db78311d25d043b23">
    <Part Type="skirsnis" Title="SAVIVALDYBĖS FINANSINĖS BŪKLĖS ATASKAITA PAGAL 20_____M.______D. DUOMENIS" DocPartId="ffd7fd46ccde4626b6d4949d814663da" PartId="6f2e8482f6644a0b85369f5f6a282d3b"/>
  </Part>
  <Part Type="priedas" Nr="5" Abbr="5 pr." Title="(Nacionalinės finansinės būklės ataskaitos forma)" DocPartId="aa90373d7fe645c7af3db41ddcd70a6e" PartId="fc94fd4b8291461aa0f434fcb24d31a8">
    <Part Type="skirsnis" Title="NACIONALINĖ FINANSINĖS BŪKLĖS ATASKAITA PAGAL 20_____M.______D. DUOMENIS" DocPartId="ad0f332dc7d944d891ca810f55ae397d" PartId="7e15a37cb8384b3ebcedf8aa5b70fd31"/>
  </Part>
</Parts>
</file>

<file path=customXml/itemProps1.xml><?xml version="1.0" encoding="utf-8"?>
<ds:datastoreItem xmlns:ds="http://schemas.openxmlformats.org/officeDocument/2006/customXml" ds:itemID="{C8A3DB1B-AB32-4C62-9068-7A681BFC7530}">
  <ds:schemaRefs>
    <ds:schemaRef ds:uri="http://schemas.microsoft.com/office/2006/metadata/properties"/>
    <ds:schemaRef ds:uri="http://schemas.microsoft.com/office/infopath/2007/PartnerControls"/>
    <ds:schemaRef ds:uri="94936394-26be-427d-b8b7-b12cb207c040"/>
  </ds:schemaRefs>
</ds:datastoreItem>
</file>

<file path=customXml/itemProps2.xml><?xml version="1.0" encoding="utf-8"?>
<ds:datastoreItem xmlns:ds="http://schemas.openxmlformats.org/officeDocument/2006/customXml" ds:itemID="{4F8BBDCE-BBA7-4438-AA7D-87AB713E8C8D}">
  <ds:schemaRefs>
    <ds:schemaRef ds:uri="http://schemas.microsoft.com/sharepoint/v3/contenttype/forms"/>
  </ds:schemaRefs>
</ds:datastoreItem>
</file>

<file path=customXml/itemProps3.xml><?xml version="1.0" encoding="utf-8"?>
<ds:datastoreItem xmlns:ds="http://schemas.openxmlformats.org/officeDocument/2006/customXml" ds:itemID="{D897592D-7B15-4AD1-81AF-BA756151B0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936394-26be-427d-b8b7-b12cb207c040"/>
    <ds:schemaRef ds:uri="a83dc949-8e3e-4b9b-9943-a9f1b6a40f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D813D5-BC18-42E7-99C5-D839CD4D7130}">
  <ds:schemaRefs>
    <ds:schemaRef ds:uri="http://schemas.openxmlformats.org/officeDocument/2006/bibliography"/>
  </ds:schemaRefs>
</ds:datastoreItem>
</file>

<file path=customXml/itemProps5.xml><?xml version="1.0" encoding="utf-8"?>
<ds:datastoreItem xmlns:ds="http://schemas.openxmlformats.org/officeDocument/2006/customXml" ds:itemID="{C00BD3C5-4765-443F-990C-977C6E7368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6276</Words>
  <Characters>46385</Characters>
  <Application>Microsoft Office Word</Application>
  <DocSecurity>4</DocSecurity>
  <Lines>2576</Lines>
  <Paragraphs>1053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FINANSŲ MINISTRO</vt:lpstr>
      <vt:lpstr>LIETUVOS RESPUBLIKOS FINANSŲ MINISTRO</vt:lpstr>
    </vt:vector>
  </TitlesOfParts>
  <Company/>
  <LinksUpToDate>false</LinksUpToDate>
  <CharactersWithSpaces>51608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2024-11-28T06:33:00Z</dcterms:created>
  <dc:creator>Rima</dc:creator>
  <lastModifiedBy>adlibuser</lastModifiedBy>
  <dcterms:modified xsi:type="dcterms:W3CDTF">2024-11-28T06:33:00Z</dcterms:modified>
  <revision>2</revision>
  <dc:title>LIETUVOS RESPUBLIKOS FINANSŲ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0x01010028A5DA40B4D25E4BAE4130FD369D64C5</vt:lpwstr>
  </property>
</Properties>
</file>