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af1b8730da04e96a4663398f32caf18"/>
        <w:lock w:val="sdtLocked"/>
        <w:richText/>
      </w:sdtPr>
      <w:sdtContent>
        <w:p w14:paraId="2D887850" w14:textId="77777777">
          <w:pPr>
            <w:suppressLineNumbers/>
            <w:tabs>
              <w:tab w:val="center" w:pos="4819"/>
              <w:tab w:val="right" w:pos="9638"/>
            </w:tabs>
            <w:suppressAutoHyphens/>
            <w:jc w:val="right"/>
            <w:rPr>
              <w:b/>
              <w:color w:val="808080"/>
              <w:kern w:val="1"/>
              <w:lang w:eastAsia="ar-SA"/>
            </w:rPr>
          </w:pPr>
          <w:r>
            <w:rPr>
              <w:b/>
              <w:color w:val="808080"/>
              <w:kern w:val="1"/>
              <w:lang w:eastAsia="ar-SA"/>
            </w:rPr>
            <w:t>Projektas</w:t>
          </w:r>
        </w:p>
        <w:p w14:paraId="54D3C8CD" w14:textId="77777777">
          <w:pPr>
            <w:suppressAutoHyphens/>
            <w:jc w:val="center"/>
            <w:rPr>
              <w:b/>
              <w:kern w:val="1"/>
              <w:szCs w:val="24"/>
              <w:lang w:eastAsia="ar-SA"/>
            </w:rPr>
          </w:pPr>
        </w:p>
        <w:p w14:paraId="1E43E3D7" w14:textId="77777777">
          <w:pPr>
            <w:suppressAutoHyphens/>
            <w:jc w:val="center"/>
            <w:rPr>
              <w:b/>
              <w:kern w:val="1"/>
              <w:szCs w:val="24"/>
              <w:lang w:eastAsia="ar-SA"/>
            </w:rPr>
          </w:pPr>
        </w:p>
        <w:p w14:paraId="735F4526" w14:textId="5BCB3883">
          <w:pPr>
            <w:suppressAutoHyphens/>
            <w:jc w:val="center"/>
            <w:rPr>
              <w:kern w:val="1"/>
              <w:szCs w:val="24"/>
              <w:lang w:eastAsia="ar-SA"/>
            </w:rPr>
          </w:pPr>
          <w:r>
            <w:rPr>
              <w:b/>
              <w:kern w:val="1"/>
              <w:szCs w:val="24"/>
              <w:lang w:eastAsia="ar-SA"/>
            </w:rPr>
            <w:t>ŠIAULIŲ MIESTO SAVIVALDYBĖS TARYBA</w:t>
          </w:r>
        </w:p>
        <w:p w14:paraId="735F4527" w14:textId="77777777">
          <w:pPr>
            <w:suppressAutoHyphens/>
            <w:jc w:val="center"/>
            <w:rPr>
              <w:kern w:val="1"/>
              <w:szCs w:val="24"/>
              <w:lang w:eastAsia="ar-SA"/>
            </w:rPr>
          </w:pPr>
        </w:p>
        <w:p w14:paraId="735F4528" w14:textId="77777777">
          <w:pPr>
            <w:suppressAutoHyphens/>
            <w:ind w:firstLine="62"/>
            <w:jc w:val="center"/>
            <w:rPr>
              <w:b/>
              <w:kern w:val="1"/>
              <w:szCs w:val="24"/>
              <w:lang w:eastAsia="ar-SA"/>
            </w:rPr>
          </w:pPr>
          <w:r>
            <w:rPr>
              <w:b/>
              <w:kern w:val="1"/>
              <w:szCs w:val="24"/>
              <w:lang w:eastAsia="ar-SA"/>
            </w:rPr>
            <w:t>SPRENDIMAS</w:t>
          </w:r>
        </w:p>
        <w:p w14:paraId="735F4529" w14:textId="20C455DF">
          <w:pPr>
            <w:suppressAutoHyphens/>
            <w:ind w:firstLine="62"/>
            <w:jc w:val="center"/>
            <w:rPr>
              <w:b/>
              <w:bCs/>
              <w:kern w:val="1"/>
              <w:lang w:eastAsia="ar-SA"/>
            </w:rPr>
          </w:pPr>
          <w:r>
            <w:rPr>
              <w:b/>
              <w:bCs/>
              <w:kern w:val="1"/>
              <w:lang w:eastAsia="ar-SA"/>
            </w:rPr>
            <w:t>DĖL PRITARIMO VIENAŠALIŠKAI NUTRAUKTI ŠIAULIŲ MIESTO SAVIVALDYBĖS IR UAB „DOVYRA“ 2020 M. SPALIO 8 D. INVESTICIJŲ ŠIAULIŲ PRAMONINIO PARKO VALSTYBINĖS ŽEMĖS SKLYPE SUTARTĮ NR. SŽ-1226 IR 2020 M. LAPKRIČIO 24 D. NACIONALINĖS ŽEMĖS TARNYBOS PRIE APLINKOS MINISTERIJOS IR UAB „DOVYRA“ VALSTYBINĖS ŽEMĖS NUOMOS SUTARTĮ NR. 31SŽN-654-(14.31.55.)</w:t>
          </w:r>
        </w:p>
        <w:p w14:paraId="735F452A" w14:textId="77777777">
          <w:pPr>
            <w:suppressAutoHyphens/>
            <w:jc w:val="center"/>
            <w:rPr>
              <w:kern w:val="1"/>
              <w:lang w:eastAsia="ar-SA"/>
            </w:rPr>
          </w:pPr>
        </w:p>
        <w:p w14:paraId="735F452B" w14:textId="18423673">
          <w:pPr>
            <w:suppressAutoHyphens/>
            <w:ind w:firstLine="62"/>
            <w:jc w:val="center"/>
            <w:rPr>
              <w:kern w:val="1"/>
              <w:lang w:eastAsia="ar-SA"/>
            </w:rPr>
          </w:pPr>
          <w:r>
            <w:rPr>
              <w:kern w:val="1"/>
              <w:szCs w:val="24"/>
              <w:lang w:eastAsia="ar-SA"/>
            </w:rPr>
            <w:t xml:space="preserve">2024 m.                           d. Nr. T-</w:t>
          </w:r>
        </w:p>
        <w:p w14:paraId="735F452C" w14:textId="77777777">
          <w:pPr>
            <w:suppressAutoHyphens/>
            <w:ind w:firstLine="567"/>
            <w:jc w:val="center"/>
            <w:rPr>
              <w:kern w:val="1"/>
              <w:lang w:eastAsia="ar-SA"/>
            </w:rPr>
          </w:pPr>
          <w:r>
            <w:rPr>
              <w:kern w:val="1"/>
              <w:lang w:eastAsia="ar-SA"/>
            </w:rPr>
            <w:t>Šiauliai</w:t>
          </w:r>
        </w:p>
        <w:p w14:paraId="735F452E" w14:textId="77777777">
          <w:pPr>
            <w:suppressAutoHyphens/>
            <w:jc w:val="both"/>
            <w:rPr>
              <w:kern w:val="1"/>
              <w:lang w:eastAsia="ar-SA"/>
            </w:rPr>
          </w:pPr>
        </w:p>
        <w:p w14:paraId="7FABDBF8" w14:textId="77777777">
          <w:pPr>
            <w:suppressAutoHyphens/>
            <w:jc w:val="both"/>
            <w:rPr>
              <w:kern w:val="1"/>
              <w:lang w:eastAsia="ar-SA"/>
            </w:rPr>
          </w:pPr>
        </w:p>
        <w:sdt>
          <w:sdtPr>
            <w:alias w:val="preambule"/>
            <w:tag w:val="part_76307b4d27f74d88a6a0a113620d8d02"/>
            <w:lock w:val="sdtLocked"/>
            <w:richText/>
          </w:sdtPr>
          <w:sdtContent>
            <w:p w14:paraId="3A530E29" w14:textId="04D9D7FC">
              <w:pPr>
                <w:tabs>
                  <w:tab w:val="left" w:pos="1134"/>
                </w:tabs>
                <w:suppressAutoHyphens/>
                <w:ind w:left="15" w:firstLine="720"/>
                <w:jc w:val="both"/>
                <w:rPr>
                  <w:kern w:val="1"/>
                  <w:lang w:eastAsia="ar-SA"/>
                </w:rPr>
              </w:pPr>
              <w:r>
                <w:rPr>
                  <w:kern w:val="1"/>
                  <w:lang w:eastAsia="ar-SA"/>
                </w:rPr>
                <w:t xml:space="preserve">Vadovaudamasi Lietuvos Respublikos vietos savivaldos įstatymo 15 straipsnio 2 dalies 14 punktu, 16 straipsnio 1 dalimi, Lietuvos Respublikos žemės įstatymo 7 straipsnio 1 dalies 2 punktu, atsižvelgdama į Šiaulių miesto savivaldybės ir UAB „Dovyra“ (toliau – Investuotojas) 2020 m. spalio 8 d. investicijų Šiaulių pramoninio parko valstybinės žemės sklype sutartį Nr. SŽ-1226 (toliau – Investicijų sutartis), į 2020 m. lapkričio 24 d. Nacionalinės žemės tarnybos prie Aplinkos ministerijos ir UAB „Dovyra“ valstybinės žemės nuomos sutartį Nr. 31SŽN-654-(14.31.55.) (toliau – Žemės nuomos sutartis), į Šiaulių miesto savivaldybės investuotojų atrankos ir valstybinės žemės sklypų nuomos ne aukciono būdu Šiaulių pramoniniame parke vertinimo komisijos posėdžio 2024 m. sausio 19 d. protokolą Nr. VAK-38 (registracija DVS „Avilys“) ir į tai, kad Investuotojas neįvykdė sutartinių įsipareigojimų, numatytų Investicijų sutarties 8.2 ir 8.3 papunkčiuose, nepasirašė susitarimo nutraukti Investicijų ir Žemės nuomos sutartis šalių susitarimu,  Šiaulių miesto savivaldybės taryba </w:t>
              </w:r>
              <w:r>
                <w:rPr>
                  <w:spacing w:val="40"/>
                  <w:kern w:val="24"/>
                  <w:lang w:eastAsia="ar-SA"/>
                </w:rPr>
                <w:t>nusprendžia</w:t>
              </w:r>
              <w:r>
                <w:rPr>
                  <w:kern w:val="1"/>
                  <w:lang w:eastAsia="ar-SA"/>
                </w:rPr>
                <w:t>:</w:t>
              </w:r>
            </w:p>
          </w:sdtContent>
        </w:sdt>
        <w:sdt>
          <w:sdtPr>
            <w:alias w:val="1 p."/>
            <w:tag w:val="part_dd7e8e6eabbd460b8a38efa3c36deccd"/>
            <w:lock w:val="sdtLocked"/>
            <w:richText/>
          </w:sdtPr>
          <w:sdtContent>
            <w:p w14:paraId="1E5E3E93" w14:textId="5059DA67">
              <w:pPr>
                <w:tabs>
                  <w:tab w:val="left" w:pos="993"/>
                </w:tabs>
                <w:suppressAutoHyphens/>
                <w:ind w:firstLine="709"/>
                <w:jc w:val="both"/>
                <w:rPr>
                  <w:kern w:val="1"/>
                  <w:lang w:eastAsia="ar-SA"/>
                </w:rPr>
              </w:pPr>
              <w:sdt>
                <w:sdtPr>
                  <w:alias w:val="Numeris"/>
                  <w:tag w:val="nr_dd7e8e6eabbd460b8a38efa3c36deccd"/>
                  <w:lock w:val="sdtLocked"/>
                  <w:richText/>
                </w:sdtPr>
                <w:sdtContent>
                  <w:r>
                    <w:rPr>
                      <w:kern w:val="1"/>
                      <w:lang w:eastAsia="ar-SA"/>
                    </w:rPr>
                    <w:t>1</w:t>
                  </w:r>
                </w:sdtContent>
              </w:sdt>
              <w:r>
                <w:rPr>
                  <w:kern w:val="1"/>
                  <w:lang w:eastAsia="ar-SA"/>
                </w:rPr>
                <w:t>.</w:t>
                <w:tab/>
                <w:t>Pritarti, kad būtų vienašališkai nutrauktos Investicijų ir Žemės nuomos sutartys nuo 2024 m. birželio 4 d.</w:t>
              </w:r>
            </w:p>
          </w:sdtContent>
        </w:sdt>
        <w:sdt>
          <w:sdtPr>
            <w:alias w:val="2 p."/>
            <w:tag w:val="part_08ced06a7add436798ef7e847e6d3202"/>
            <w:lock w:val="sdtLocked"/>
            <w:richText/>
          </w:sdtPr>
          <w:sdtContent>
            <w:p w14:paraId="0A514A9C" w14:textId="55ACD1D6">
              <w:pPr>
                <w:tabs>
                  <w:tab w:val="left" w:pos="993"/>
                </w:tabs>
                <w:suppressAutoHyphens/>
                <w:ind w:firstLine="709"/>
                <w:jc w:val="both"/>
                <w:rPr>
                  <w:kern w:val="1"/>
                  <w:lang w:eastAsia="ar-SA"/>
                </w:rPr>
              </w:pPr>
              <w:sdt>
                <w:sdtPr>
                  <w:alias w:val="Numeris"/>
                  <w:tag w:val="nr_08ced06a7add436798ef7e847e6d3202"/>
                  <w:lock w:val="sdtLocked"/>
                  <w:richText/>
                </w:sdtPr>
                <w:sdtContent>
                  <w:r>
                    <w:rPr>
                      <w:kern w:val="1"/>
                      <w:lang w:eastAsia="ar-SA"/>
                    </w:rPr>
                    <w:t>2</w:t>
                  </w:r>
                </w:sdtContent>
              </w:sdt>
              <w:r>
                <w:rPr>
                  <w:kern w:val="1"/>
                  <w:lang w:eastAsia="ar-SA"/>
                </w:rPr>
                <w:t>.</w:t>
                <w:tab/>
                <w:t>Taikyti Investicijų sutarties 15 punkte numatytą atsakomybę ir reikalauti, kad Investuotojas per 1 mėnesį nuo Šiaulių miesto savivaldybės tarybos sprendimo priėmimo dienos sumokėtų valstybinės žemės nuomos mokestį už valstybinės žemės sklypą (sklypo plotas 1,0609 ha), esantį Petro Motiekaičio g. 18, Šiauliuose, (toliau – žemės sklypas) už laikotarpį nuo Investicijų sutarties vykdymo pradžios iki Investicijų sutarties ir Žemės nuomos sutarties nutraukimo (2435,40 Eur).</w:t>
              </w:r>
            </w:p>
          </w:sdtContent>
        </w:sdt>
        <w:sdt>
          <w:sdtPr>
            <w:alias w:val="3 p."/>
            <w:tag w:val="part_3afb47f0a93c4fefac5b134960b32274"/>
            <w:lock w:val="sdtLocked"/>
            <w:richText/>
          </w:sdtPr>
          <w:sdtContent>
            <w:p w14:paraId="204E575B" w14:textId="08E6ECBB">
              <w:pPr>
                <w:tabs>
                  <w:tab w:val="left" w:pos="993"/>
                </w:tabs>
                <w:suppressAutoHyphens/>
                <w:ind w:firstLine="709"/>
                <w:jc w:val="both"/>
                <w:rPr>
                  <w:kern w:val="1"/>
                  <w:lang w:eastAsia="ar-SA"/>
                </w:rPr>
              </w:pPr>
              <w:sdt>
                <w:sdtPr>
                  <w:alias w:val="Numeris"/>
                  <w:tag w:val="nr_3afb47f0a93c4fefac5b134960b32274"/>
                  <w:lock w:val="sdtLocked"/>
                  <w:richText/>
                </w:sdtPr>
                <w:sdtContent>
                  <w:r>
                    <w:rPr>
                      <w:kern w:val="1"/>
                      <w:lang w:eastAsia="ar-SA"/>
                    </w:rPr>
                    <w:t>3</w:t>
                  </w:r>
                </w:sdtContent>
              </w:sdt>
              <w:r>
                <w:rPr>
                  <w:kern w:val="1"/>
                  <w:lang w:eastAsia="ar-SA"/>
                </w:rPr>
                <w:t>.</w:t>
                <w:tab/>
                <w:t>Įpareigoti Investuotoją per 1 mėnesį nuo Šiaulių miesto savivaldybės tarybos sprendimo priėmimo dienos sutvarkyti ir išvalyti išsinuomotą žemės sklypą taip, kaip tai nurodyta Investicijų sutarties 22 punkte, ir perduoti jį Savivaldybei pasirašant priėmimo ir perdavimo aktą.</w:t>
              </w:r>
            </w:p>
          </w:sdtContent>
        </w:sdt>
        <w:sdt>
          <w:sdtPr>
            <w:alias w:val="4 p."/>
            <w:tag w:val="part_0e8087995b3b433bb4833e7cca606b7d"/>
            <w:lock w:val="sdtLocked"/>
            <w:richText/>
          </w:sdtPr>
          <w:sdtContent>
            <w:p w14:paraId="0F0782CE" w14:textId="0BF11A88">
              <w:pPr>
                <w:tabs>
                  <w:tab w:val="left" w:pos="993"/>
                </w:tabs>
                <w:suppressAutoHyphens/>
                <w:ind w:firstLine="709"/>
                <w:jc w:val="both"/>
                <w:rPr>
                  <w:kern w:val="1"/>
                  <w:lang w:eastAsia="ar-SA"/>
                </w:rPr>
              </w:pPr>
              <w:sdt>
                <w:sdtPr>
                  <w:alias w:val="Numeris"/>
                  <w:tag w:val="nr_0e8087995b3b433bb4833e7cca606b7d"/>
                  <w:lock w:val="sdtLocked"/>
                  <w:richText/>
                </w:sdtPr>
                <w:sdtContent>
                  <w:r>
                    <w:rPr>
                      <w:kern w:val="1"/>
                      <w:lang w:eastAsia="ar-SA"/>
                    </w:rPr>
                    <w:t>4</w:t>
                  </w:r>
                </w:sdtContent>
              </w:sdt>
              <w:r>
                <w:rPr>
                  <w:kern w:val="1"/>
                  <w:lang w:eastAsia="ar-SA"/>
                </w:rPr>
                <w:t>.</w:t>
                <w:tab/>
                <w:t>Investuotojui nesutvarkius ir neperdavus žemės sklypo per šio sprendimo 3 punkte nurodytą terminą, įpareigoti Šiaulių miesto savivaldybės administraciją organizuoti žemės sklypo sutvarkymą, vėliau patirtas žemės sklypo sutvarkymo išlaidas išieškant iš Investuotojo.</w:t>
              </w:r>
            </w:p>
          </w:sdtContent>
        </w:sdt>
        <w:sdt>
          <w:sdtPr>
            <w:alias w:val="5 p."/>
            <w:tag w:val="part_cf74a20576a54eebb2a3c8df6192f2d8"/>
            <w:lock w:val="sdtLocked"/>
            <w:richText/>
          </w:sdtPr>
          <w:sdtContent>
            <w:p w14:paraId="78B88E93" w14:textId="7C01D76D">
              <w:pPr>
                <w:tabs>
                  <w:tab w:val="left" w:pos="993"/>
                </w:tabs>
                <w:suppressAutoHyphens/>
                <w:ind w:firstLine="709"/>
                <w:jc w:val="both"/>
                <w:rPr>
                  <w:kern w:val="1"/>
                  <w:lang w:eastAsia="ar-SA"/>
                </w:rPr>
              </w:pPr>
              <w:sdt>
                <w:sdtPr>
                  <w:alias w:val="Numeris"/>
                  <w:tag w:val="nr_cf74a20576a54eebb2a3c8df6192f2d8"/>
                  <w:lock w:val="sdtLocked"/>
                  <w:richText/>
                </w:sdtPr>
                <w:sdtContent>
                  <w:r>
                    <w:rPr>
                      <w:kern w:val="1"/>
                      <w:lang w:eastAsia="ar-SA"/>
                    </w:rPr>
                    <w:t>5</w:t>
                  </w:r>
                </w:sdtContent>
              </w:sdt>
              <w:r>
                <w:rPr>
                  <w:kern w:val="1"/>
                  <w:lang w:eastAsia="ar-SA"/>
                </w:rPr>
                <w:t>.</w:t>
                <w:tab/>
                <w:t>Įpareigoti Šiaulių miesto savivaldybės administracijos direktorių vykdyti šio sprendimo įgyvendinimo kontrolę.</w:t>
              </w:r>
            </w:p>
          </w:sdtContent>
        </w:sdt>
        <w:sdt>
          <w:sdtPr>
            <w:alias w:val="6 p."/>
            <w:tag w:val="part_934941d10f524cf7ac778dd2fa3e684a"/>
            <w:lock w:val="sdtLocked"/>
            <w:richText/>
          </w:sdtPr>
          <w:sdtContent>
            <w:p w14:paraId="3819C693" w14:textId="5028E287">
              <w:pPr>
                <w:tabs>
                  <w:tab w:val="left" w:pos="993"/>
                </w:tabs>
                <w:suppressAutoHyphens/>
                <w:ind w:firstLine="709"/>
                <w:jc w:val="both"/>
                <w:rPr>
                  <w:kern w:val="1"/>
                  <w:lang w:eastAsia="ar-SA"/>
                </w:rPr>
              </w:pPr>
              <w:sdt>
                <w:sdtPr>
                  <w:alias w:val="Numeris"/>
                  <w:tag w:val="nr_934941d10f524cf7ac778dd2fa3e684a"/>
                  <w:lock w:val="sdtLocked"/>
                  <w:richText/>
                </w:sdtPr>
                <w:sdtContent>
                  <w:r>
                    <w:rPr>
                      <w:kern w:val="1"/>
                      <w:lang w:eastAsia="ar-SA"/>
                    </w:rPr>
                    <w:t>6</w:t>
                  </w:r>
                </w:sdtContent>
              </w:sdt>
              <w:r>
                <w:rPr>
                  <w:kern w:val="1"/>
                  <w:lang w:eastAsia="ar-SA"/>
                </w:rPr>
                <w:t>.</w:t>
                <w:tab/>
              </w:r>
              <w:r>
                <w:rPr>
                  <w:kern w:val="1"/>
                  <w:szCs w:val="24"/>
                  <w:lang w:eastAsia="ar-SA"/>
                </w:rPr>
                <w:t>Pripažinti netekusiu galios Šiaulių miesto savivaldybės tarybos 2024 m. kovo 7 d. sprendimą Nr. T-37 „</w:t>
              </w:r>
              <w:r>
                <w:rPr>
                  <w:kern w:val="1"/>
                  <w:lang w:eastAsia="ar-SA"/>
                </w:rPr>
                <w:t>Dėl pritarimo nutraukti Šiaulių miesto savivaldybės ir uždarosios akcinės bendrovės „Dovyra“ 2020 m. spalio 8 d. investicijų Šiaulių pramoninio parko valstybinės žemės sklype sutartį Nr. SŽ-1226 ir 2020 m. lapkričio 24 d. Nacionalinės žemės tarnybos prie Aplinkos ministerijos ir UAB „Dovyra“ valstybinės žemės nuomos sutartį Nr. SŽN-654-(14.31.55.)</w:t>
              </w:r>
              <w:r>
                <w:rPr>
                  <w:kern w:val="1"/>
                  <w:szCs w:val="24"/>
                  <w:lang w:eastAsia="ar-SA"/>
                </w:rPr>
                <w:t>“.</w:t>
              </w:r>
            </w:p>
            <w:p w14:paraId="57A5ECC6" w14:textId="11BB43C7">
              <w:pPr>
                <w:tabs>
                  <w:tab w:val="left" w:pos="1134"/>
                </w:tabs>
                <w:suppressAutoHyphens/>
                <w:ind w:left="15" w:firstLine="720"/>
                <w:jc w:val="both"/>
                <w:rPr>
                  <w:kern w:val="1"/>
                  <w:szCs w:val="24"/>
                  <w:lang w:eastAsia="ar-SA"/>
                </w:rPr>
              </w:pPr>
              <w:r>
                <w:rPr>
                  <w:color w:val="000000"/>
                  <w:kern w:val="1"/>
                  <w:szCs w:val="24"/>
                  <w:shd w:val="clear" w:color="auto" w:fill="FFFFFF"/>
                  <w:lang w:eastAsia="ar-SA"/>
                </w:rPr>
                <w:t xml:space="preserve">Šis </w:t>
              </w:r>
              <w:r>
                <w:rPr>
                  <w:color w:val="000000"/>
                  <w:kern w:val="1"/>
                  <w:szCs w:val="24"/>
                  <w:lang w:eastAsia="ar-SA"/>
                </w:rPr>
                <w:t>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 arba bendrosios kompetencijos teismui Civilinio proceso kodekso nustatyta tvarka.</w:t>
              </w:r>
            </w:p>
            <w:p w14:paraId="2EE70E70" w14:textId="77777777">
              <w:pPr>
                <w:tabs>
                  <w:tab w:val="center" w:pos="4819"/>
                  <w:tab w:val="right" w:pos="9638"/>
                </w:tabs>
                <w:suppressAutoHyphens/>
                <w:jc w:val="both"/>
                <w:rPr>
                  <w:kern w:val="1"/>
                  <w:szCs w:val="24"/>
                  <w:lang w:eastAsia="ar-SA"/>
                </w:rPr>
              </w:pPr>
            </w:p>
          </w:sdtContent>
        </w:sdt>
        <w:sdt>
          <w:sdtPr>
            <w:alias w:val="signatura"/>
            <w:tag w:val="part_2f64df244d2b4edeac0ac9cdc1fadd89"/>
            <w:lock w:val="sdtLocked"/>
            <w:richText/>
          </w:sdtPr>
          <w:sdtContent>
            <w:p w14:paraId="735F453F" w14:textId="67900151">
              <w:pPr>
                <w:tabs>
                  <w:tab w:val="center" w:pos="4819"/>
                  <w:tab w:val="right" w:pos="9638"/>
                </w:tabs>
                <w:suppressAutoHyphens/>
                <w:jc w:val="both"/>
                <w:rPr>
                  <w:kern w:val="1"/>
                  <w:szCs w:val="24"/>
                  <w:lang w:eastAsia="ar-SA"/>
                </w:rPr>
              </w:pPr>
              <w:r>
                <w:rPr>
                  <w:kern w:val="1"/>
                  <w:szCs w:val="24"/>
                  <w:lang w:eastAsia="ar-SA"/>
                </w:rPr>
                <w:t>Savivaldybės meras</w:t>
              </w:r>
            </w:p>
          </w:sdtContent>
        </w:sdt>
      </w:sdtContent>
    </w:sdt>
    <w:sectPr>
      <w:pgSz w:w="11906" w:h="16838"/>
      <w:pgMar w:top="720" w:right="567" w:bottom="1134" w:left="1701" w:header="720" w:footer="720" w:gutter="0"/>
      <w:cols w:space="720"/>
      <w:docGrid w:linePitch="4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497E42" w14:textId="77777777">
      <w:pPr>
        <w:suppressAutoHyphens/>
        <w:rPr>
          <w:kern w:val="1"/>
          <w:lang w:eastAsia="ar-SA"/>
        </w:rPr>
      </w:pPr>
      <w:r>
        <w:rPr>
          <w:kern w:val="1"/>
          <w:lang w:eastAsia="ar-SA"/>
        </w:rPr>
        <w:separator/>
      </w:r>
    </w:p>
  </w:endnote>
  <w:endnote w:type="continuationSeparator" w:id="0">
    <w:p w14:paraId="43F1C92A" w14:textId="77777777">
      <w:pPr>
        <w:suppressAutoHyphens/>
        <w:rPr>
          <w:kern w:val="1"/>
          <w:lang w:eastAsia="ar-SA"/>
        </w:rPr>
      </w:pPr>
      <w:r>
        <w:rPr>
          <w:kern w:val="1"/>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78E466" w14:textId="77777777">
      <w:pPr>
        <w:suppressAutoHyphens/>
        <w:rPr>
          <w:kern w:val="1"/>
          <w:lang w:eastAsia="ar-SA"/>
        </w:rPr>
      </w:pPr>
      <w:r>
        <w:rPr>
          <w:kern w:val="1"/>
          <w:lang w:eastAsia="ar-SA"/>
        </w:rPr>
        <w:separator/>
      </w:r>
    </w:p>
  </w:footnote>
  <w:footnote w:type="continuationSeparator" w:id="0">
    <w:p w14:paraId="40B1D2D3" w14:textId="77777777">
      <w:pPr>
        <w:suppressAutoHyphens/>
        <w:rPr>
          <w:kern w:val="1"/>
          <w:lang w:eastAsia="ar-SA"/>
        </w:rPr>
      </w:pPr>
      <w:r>
        <w:rPr>
          <w:kern w:val="1"/>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8"/>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41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735F4525"/>
  <w15:chartTrackingRefBased/>
  <w15:docId w15:val="{1C84CED5-A4CC-41FB-A0EB-683055D3C5C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1849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dc5860ae3d148478ce74d0700d20bad" PartId="5af1b8730da04e96a4663398f32caf18">
    <Part Type="preambule" DocPartId="40767ff156dd400190a66386427c2a24" PartId="76307b4d27f74d88a6a0a113620d8d02"/>
    <Part Type="punktas" Nr="1" Abbr="1 p." DocPartId="022ef0eac0d548069883f0e782089337" PartId="dd7e8e6eabbd460b8a38efa3c36deccd"/>
    <Part Type="punktas" Nr="2" Abbr="2 p." DocPartId="b6a5b0060f9f458bb5ec0fba2e36b47c" PartId="08ced06a7add436798ef7e847e6d3202"/>
    <Part Type="punktas" Nr="3" Abbr="3 p." DocPartId="1b2612e429184beab0a46272860090bc" PartId="3afb47f0a93c4fefac5b134960b32274"/>
    <Part Type="punktas" Nr="4" Abbr="4 p." DocPartId="45139d87d0f144ab8a2175e4dbccf1bc" PartId="0e8087995b3b433bb4833e7cca606b7d"/>
    <Part Type="punktas" Nr="5" Abbr="5 p." DocPartId="e64dc64368af4e20baee9a08142cc3a6" PartId="cf74a20576a54eebb2a3c8df6192f2d8"/>
    <Part Type="punktas" Nr="6" Abbr="6 p." DocPartId="404dee4c796543e1988c40b2bca7dde4" PartId="934941d10f524cf7ac778dd2fa3e684a"/>
    <Part Type="signatura" DocPartId="a63b25241aa14c548537666d0eb45515" PartId="2f64df244d2b4edeac0ac9cdc1fadd89"/>
  </Part>
</Parts>
</file>

<file path=customXml/itemProps1.xml><?xml version="1.0" encoding="utf-8"?>
<ds:datastoreItem xmlns:ds="http://schemas.openxmlformats.org/officeDocument/2006/customXml" ds:itemID="{F2400ACB-834C-42D9-9810-617AF6FD409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475</Words>
  <Characters>3149</Characters>
  <Application>Microsoft Office Word</Application>
  <DocSecurity>4</DocSecurity>
  <Lines>55</Lines>
  <Paragraphs>17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NAUJOS REDAKCIJOS ALYTAUS MIESTO SAVIVALDYBEI NUOSAVYBĖS TEISE PRIKLAUSANČIŲ ŽEMĖS SKLYPŲ NUOMOS TAISYKLIŲ TVIRTINIMO</vt:lpstr>
      <vt:lpstr>DĖL NAUJOS REDAKCIJOS ALYTAUS MIESTO SAVIVALDYBEI NUOSAVYBĖS TEISE PRIKLAUSANČIŲ ŽEMĖS SKLYPŲ NUOMOS TAISYKLIŲ TVIRTINIMO</vt:lpstr>
    </vt:vector>
  </TitlesOfParts>
  <Company/>
  <LinksUpToDate>false</LinksUpToDate>
  <CharactersWithSpaces>3607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2024-05-13T06:30:00Z</dcterms:created>
  <dc:creator>ALYTAUS MIESTO SAVIVALDYBĖS TARYBA</dc:creator>
  <lastModifiedBy>adlibuser</lastModifiedBy>
  <lastPrinted>2017-10-18T01:00:00Z</lastPrinted>
  <dcterms:modified xsi:type="dcterms:W3CDTF">2024-05-13T06:30:00Z</dcterms:modified>
  <revision>2</revision>
  <dc:subject>T-229</dc:subject>
  <dc:title>DĖL NAUJOS REDAKCIJOS ALYTAUS MIESTO SAVIVALDYBEI NUOSAVYBĖS TEISE PRIKLAUSANČIŲ ŽEMĖS SKLYPŲ NUOMOS TAISYKLIŲ TVIRTINIMO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