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aa51eaaab424026b9e04c6f20f6edc8"/>
        <w:lock w:val="sdtLocked"/>
        <w:richText/>
      </w:sdtPr>
      <w:sdtContent>
        <w:p>
          <w:pPr>
            <w:tabs>
              <w:tab w:val="left" w:pos="6732"/>
            </w:tabs>
            <w:ind w:firstLine="6732"/>
            <w:rPr>
              <w:szCs w:val="24"/>
            </w:rPr>
          </w:pPr>
          <w:r>
            <w:rPr>
              <w:szCs w:val="24"/>
            </w:rPr>
            <w:t>Projektas</w:t>
          </w:r>
        </w:p>
        <w:p>
          <w:pPr>
            <w:tabs>
              <w:tab w:val="left" w:pos="6732"/>
            </w:tabs>
            <w:ind w:firstLine="6732"/>
            <w:rPr>
              <w:szCs w:val="24"/>
            </w:rPr>
          </w:pPr>
          <w:r>
            <w:rPr>
              <w:szCs w:val="24"/>
            </w:rPr>
            <w:t>2024-05-30</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w:t>
          </w:r>
          <w:r>
            <w:rPr>
              <w:rFonts w:eastAsia="Calibri"/>
              <w:b/>
              <w:bCs/>
              <w:iCs/>
              <w:caps/>
              <w:szCs w:val="24"/>
            </w:rPr>
            <w:t>Socialinio būsto fondo plėtra Radviliškio rajono savivaldybėje</w:t>
          </w:r>
          <w:r>
            <w:rPr>
              <w:b/>
              <w:bCs/>
              <w:iCs/>
              <w:caps/>
              <w:szCs w:val="24"/>
            </w:rPr>
            <w:t>“</w:t>
          </w:r>
          <w:r>
            <w:rPr>
              <w:b/>
              <w:bCs/>
              <w:szCs w:val="24"/>
            </w:rPr>
            <w:t xml:space="preserve"> ĮGYVENDINIMUI IR LĖŠŲ </w:t>
          </w:r>
          <w:r>
            <w:rPr>
              <w:b/>
              <w:bCs/>
              <w:caps/>
              <w:szCs w:val="24"/>
            </w:rPr>
            <w:t>skyrimo</w:t>
          </w:r>
        </w:p>
        <w:p>
          <w:pPr>
            <w:jc w:val="center"/>
            <w:rPr>
              <w:b/>
              <w:bCs/>
              <w:szCs w:val="24"/>
            </w:rPr>
          </w:pPr>
        </w:p>
        <w:p>
          <w:pPr>
            <w:jc w:val="center"/>
            <w:rPr>
              <w:szCs w:val="24"/>
            </w:rPr>
          </w:pPr>
          <w:r>
            <w:rPr>
              <w:szCs w:val="24"/>
            </w:rPr>
            <w:t>2024 m. birželio 20 d. Nr. T-</w:t>
          </w:r>
        </w:p>
        <w:p>
          <w:pPr>
            <w:jc w:val="center"/>
            <w:rPr>
              <w:szCs w:val="24"/>
            </w:rPr>
          </w:pPr>
          <w:r>
            <w:rPr>
              <w:szCs w:val="24"/>
            </w:rPr>
            <w:t>Radviliškis</w:t>
          </w:r>
        </w:p>
        <w:p>
          <w:pPr>
            <w:jc w:val="both"/>
            <w:rPr>
              <w:szCs w:val="24"/>
            </w:rPr>
          </w:pPr>
        </w:p>
        <w:sdt>
          <w:sdtPr>
            <w:alias w:val="preambule"/>
            <w:tag w:val="part_d1f5963c34e54f4aac3034309bb8202d"/>
            <w:lock w:val="sdtLocked"/>
            <w:richText/>
          </w:sdtPr>
          <w:sdtContent>
            <w:p>
              <w:pPr>
                <w:ind w:firstLine="709"/>
                <w:jc w:val="both"/>
                <w:rPr>
                  <w:spacing w:val="50"/>
                  <w:szCs w:val="24"/>
                </w:rPr>
              </w:pPr>
              <w:r>
                <w:rPr>
                  <w:szCs w:val="24"/>
                </w:rPr>
                <w:t xml:space="preserve">Vadovaudamasi Lietuvos Respublikos vietos savivaldos įstatymo 15 straipsnio 4 dalimi, 2022–2030 m. Šiaulių regiono plėtros plano, patvirtinto Šiaulių regiono plėtros tarybos 2023 m. vasario 8 d. sprendimu Nr. ŠR/TS-6 „Dėl 2022–2030 m. Šiaulių regiono plėtros plano patvirtinimo“ V skirsnio 6 lentelės 1.5. papunkčiu ir Regioninės pažangos priemonės Nr. 09-003-02-02-11 (RE) „Sumažinti pažeidžiamų visuomenės grupių gerovės teritorinius skirtumus“ finansavimo gairėmis (Gairės), patvirtintomis Lietuvos Respublikos socialinės apsaugos ir darbo ministro 2023 m. birželio </w:t>
              </w:r>
              <w:r>
                <w:rPr>
                  <w:szCs w:val="24"/>
                  <w:lang w:val="en-US"/>
                </w:rPr>
                <w:t xml:space="preserve">30 </w:t>
              </w:r>
              <w:r>
                <w:rPr>
                  <w:szCs w:val="24"/>
                </w:rPr>
                <w:t xml:space="preserve">d. įsakymu Nr. A1-439, Radviliškio rajono savivaldybės taryba </w:t>
              </w:r>
              <w:r>
                <w:rPr>
                  <w:spacing w:val="50"/>
                  <w:szCs w:val="24"/>
                </w:rPr>
                <w:t>nusprendži</w:t>
              </w:r>
              <w:r>
                <w:rPr>
                  <w:szCs w:val="24"/>
                </w:rPr>
                <w:t>a:</w:t>
              </w:r>
            </w:p>
          </w:sdtContent>
        </w:sdt>
        <w:sdt>
          <w:sdtPr>
            <w:alias w:val="1 p."/>
            <w:tag w:val="part_7c81be0cdf8148838ab4b550a0cc6251"/>
            <w:lock w:val="sdtLocked"/>
            <w:richText/>
          </w:sdtPr>
          <w:sdtContent>
            <w:p>
              <w:pPr>
                <w:tabs>
                  <w:tab w:val="left" w:pos="993"/>
                </w:tabs>
                <w:ind w:firstLine="709"/>
                <w:jc w:val="both"/>
                <w:rPr>
                  <w:szCs w:val="24"/>
                </w:rPr>
              </w:pPr>
              <w:sdt>
                <w:sdtPr>
                  <w:alias w:val="Numeris"/>
                  <w:tag w:val="nr_7c81be0cdf8148838ab4b550a0cc6251"/>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„Socialinio būsto fondo plėtra Radviliškio rajone savivaldybėje“ (toliau – Projektas).</w:t>
              </w:r>
            </w:p>
          </w:sdtContent>
        </w:sdt>
        <w:sdt>
          <w:sdtPr>
            <w:alias w:val="2 p."/>
            <w:tag w:val="part_19819718ae6f4698b0bf6443e5bdf268"/>
            <w:lock w:val="sdtLocked"/>
            <w:richText/>
          </w:sdtPr>
          <w:sdtContent>
            <w:p>
              <w:pPr>
                <w:tabs>
                  <w:tab w:val="left" w:pos="993"/>
                </w:tabs>
                <w:ind w:firstLine="709"/>
                <w:jc w:val="both"/>
                <w:rPr>
                  <w:szCs w:val="24"/>
                </w:rPr>
              </w:pPr>
              <w:sdt>
                <w:sdtPr>
                  <w:alias w:val="Numeris"/>
                  <w:tag w:val="nr_19819718ae6f4698b0bf6443e5bdf268"/>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rojekto įgyvendinimo planą (toliau – PĮP) bei kitus reikalingus dokumentus, siekiant gauti finansavimą Projekto įgyvendinimui.</w:t>
              </w:r>
            </w:p>
          </w:sdtContent>
        </w:sdt>
        <w:sdt>
          <w:sdtPr>
            <w:alias w:val="3 p."/>
            <w:tag w:val="part_f41f800be4344323a796fdb382f78f8b"/>
            <w:lock w:val="sdtLocked"/>
            <w:richText/>
          </w:sdtPr>
          <w:sdtContent>
            <w:p>
              <w:pPr>
                <w:tabs>
                  <w:tab w:val="left" w:pos="993"/>
                </w:tabs>
                <w:ind w:firstLine="709"/>
                <w:jc w:val="both"/>
                <w:rPr>
                  <w:szCs w:val="24"/>
                </w:rPr>
              </w:pPr>
              <w:sdt>
                <w:sdtPr>
                  <w:alias w:val="Numeris"/>
                  <w:tag w:val="nr_f41f800be4344323a796fdb382f78f8b"/>
                  <w:lock w:val="sdtLocked"/>
                  <w:richText/>
                </w:sdtPr>
                <w:sdtContent>
                  <w:r>
                    <w:rPr>
                      <w:szCs w:val="24"/>
                    </w:rPr>
                    <w:t>3</w:t>
                  </w:r>
                </w:sdtContent>
              </w:sdt>
              <w:r>
                <w:rPr>
                  <w:szCs w:val="24"/>
                </w:rPr>
                <w:t>.</w:t>
                <w:tab/>
                <w:t xml:space="preserve">Padengti iš Radviliškio rajono savivaldybės biudžeto lėšų 15 procentų tinkamų finansuoti išlaidų, netinkamas finansuoti, tačiau šiam Projektui įgyvendinti būtinas išlaidas ir tinkamas išlaidas, kurių nepadengia Projekto finansavimas. </w:t>
              </w:r>
            </w:p>
          </w:sdtContent>
        </w:sdt>
        <w:sdt>
          <w:sdtPr>
            <w:alias w:val="4 p."/>
            <w:tag w:val="part_76a58c409f434c748921d873e62aab04"/>
            <w:lock w:val="sdtLocked"/>
            <w:richText/>
          </w:sdtPr>
          <w:sdtContent>
            <w:p>
              <w:pPr>
                <w:tabs>
                  <w:tab w:val="left" w:pos="993"/>
                </w:tabs>
                <w:ind w:firstLine="709"/>
                <w:jc w:val="both"/>
                <w:rPr>
                  <w:szCs w:val="24"/>
                </w:rPr>
              </w:pPr>
              <w:sdt>
                <w:sdtPr>
                  <w:alias w:val="Numeris"/>
                  <w:tag w:val="nr_76a58c409f434c748921d873e62aab04"/>
                  <w:lock w:val="sdtLocked"/>
                  <w:richText/>
                </w:sdtPr>
                <w:sdtContent>
                  <w:r>
                    <w:rPr>
                      <w:szCs w:val="24"/>
                    </w:rPr>
                    <w:t>4</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Kazimieras Račkauskis</w:t>
              </w:r>
            </w:p>
            <w:p>
              <w:pPr>
                <w:tabs>
                  <w:tab w:val="left" w:pos="7560"/>
                </w:tabs>
                <w:rPr>
                  <w:szCs w:val="24"/>
                </w:rPr>
              </w:pPr>
            </w:p>
            <w:p>
              <w:pPr>
                <w:rPr>
                  <w:szCs w:val="24"/>
                </w:rPr>
              </w:pPr>
              <w:r>
                <w:rPr>
                  <w:szCs w:val="24"/>
                </w:rPr>
                <w:br w:type="page"/>
              </w:r>
            </w:p>
          </w:sdtContent>
        </w:sdt>
        <w:sdt>
          <w:sdtPr>
            <w:alias w:val="skirsnis"/>
            <w:tag w:val="part_c28655b26a5d4b839f4d67076f9d67ec"/>
            <w:lock w:val="sdtLocked"/>
            <w:richText/>
          </w:sdtPr>
          <w:sdtContent>
            <w:sdt>
              <w:sdtPr>
                <w:alias w:val="Pavadinimas"/>
                <w:tag w:val="title_c28655b26a5d4b839f4d67076f9d67ec"/>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bCs/>
                      <w:szCs w:val="24"/>
                    </w:rPr>
                    <w:t>„</w:t>
                  </w:r>
                  <w:r>
                    <w:rPr>
                      <w:rFonts w:eastAsia="Calibri"/>
                      <w:b/>
                      <w:bCs/>
                      <w:iCs/>
                      <w:caps/>
                      <w:szCs w:val="24"/>
                    </w:rPr>
                    <w:t>Socialinio būsto fondo plėtra Radviliškio rajono savivaldybėje</w:t>
                  </w:r>
                  <w:r>
                    <w:rPr>
                      <w:b/>
                      <w:bCs/>
                      <w:caps/>
                      <w:szCs w:val="24"/>
                    </w:rPr>
                    <w:t>“</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2024-05-30</w:t>
              </w:r>
            </w:p>
            <w:p>
              <w:pPr>
                <w:jc w:val="center"/>
                <w:rPr>
                  <w:szCs w:val="24"/>
                </w:rPr>
              </w:pPr>
              <w:r>
                <w:rPr>
                  <w:szCs w:val="24"/>
                </w:rPr>
                <w:t>Radviliškis</w:t>
              </w:r>
            </w:p>
            <w:p>
              <w:pPr>
                <w:rPr>
                  <w:szCs w:val="24"/>
                </w:rPr>
              </w:pPr>
            </w:p>
            <w:sdt>
              <w:sdtPr>
                <w:alias w:val="1 p."/>
                <w:tag w:val="part_83d0a09da2ac4388b1676d3c1568a1d5"/>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83d0a09da2ac4388b1676d3c1568a1d5"/>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ind w:firstLine="709"/>
                    <w:jc w:val="both"/>
                    <w:rPr>
                      <w:szCs w:val="24"/>
                    </w:rPr>
                  </w:pPr>
                  <w:r>
                    <w:rPr>
                      <w:szCs w:val="24"/>
                    </w:rPr>
                    <w:t xml:space="preserve">2024 m. birželio mėn. bus paskelbtas kvietimas teikti projektų įgyvendinimo planus (toliau – PĮP) „Socialinio būsto fondo plėtra Šiaulių regione II“. Planuojamas PĮP pateikimo terminas – 2024 m. rugpjūčio mėn. Kvietimas parengtas, vadovaujantis 2022–2030 m. Šiaulių regiono plėtros planu, patvirtintu Šiaulių regiono plėtros tarybos 2023 m. vasario 8 d. sprendimu Nr. ŠR/TS-6 „Dėl 2022–2030 m. Šiaulių regiono plėtros plano patvirtinimo“ ir regioninės pažangos priemonės Nr. 09-003-02-02-11 (RE) „Sumažinti pažeidžiamų visuomenės grupių gerovės teritorinius skirtumus“ finansavimo gairėmis (Gairės), patvirtintomis Lietuvos Respublikos socialinės apsaugos ir darbo ministro 2023 m. birželio </w:t>
                  </w:r>
                  <w:r>
                    <w:rPr>
                      <w:szCs w:val="24"/>
                      <w:lang w:val="en-US"/>
                    </w:rPr>
                    <w:t xml:space="preserve">30 </w:t>
                  </w:r>
                  <w:r>
                    <w:rPr>
                      <w:szCs w:val="24"/>
                    </w:rPr>
                    <w:t xml:space="preserve">d. įsakymu Nr. A1-439 „Dėl regioninės pažangos priemonės </w:t>
                  </w:r>
                  <w:r>
                    <w:rPr>
                      <w:color w:val="000000"/>
                      <w:szCs w:val="24"/>
                    </w:rPr>
                    <w:t xml:space="preserve">Nr. 09-003-02-02-11 (RE) „Sumažinti pažeidžiamų visuomenės grupių gerovės teritorinius skirtumus“ finansavimo </w:t>
                  </w:r>
                  <w:r>
                    <w:rPr>
                      <w:szCs w:val="24"/>
                    </w:rPr>
                    <w:t xml:space="preserve">gairių patvirtinimo“ (toliau – Gairės). </w:t>
                  </w:r>
                </w:p>
                <w:p>
                  <w:pPr>
                    <w:ind w:firstLine="709"/>
                    <w:jc w:val="both"/>
                    <w:rPr>
                      <w:rFonts w:eastAsia="Calibri"/>
                      <w:iCs/>
                      <w:szCs w:val="24"/>
                    </w:rPr>
                  </w:pPr>
                  <w:r>
                    <w:rPr>
                      <w:iCs/>
                      <w:szCs w:val="24"/>
                    </w:rPr>
                    <w:t xml:space="preserve">Projekto tikslas – </w:t>
                  </w:r>
                  <w:r>
                    <w:rPr>
                      <w:rFonts w:eastAsia="Calibri"/>
                      <w:iCs/>
                      <w:szCs w:val="24"/>
                    </w:rPr>
                    <w:t>išplėsti socialinio būsto fondą.</w:t>
                  </w:r>
                </w:p>
                <w:p>
                  <w:pPr>
                    <w:ind w:firstLine="709"/>
                    <w:jc w:val="both"/>
                    <w:rPr>
                      <w:rFonts w:cs="Arial"/>
                      <w:szCs w:val="24"/>
                    </w:rPr>
                  </w:pPr>
                  <w:r>
                    <w:rPr>
                      <w:rFonts w:cs="Arial"/>
                      <w:color w:val="000000"/>
                      <w:szCs w:val="24"/>
                    </w:rPr>
                    <w:t xml:space="preserve">Projekto tikslinės grupės – </w:t>
                  </w:r>
                  <w:r>
                    <w:rPr>
                      <w:rFonts w:cs="Arial"/>
                      <w:szCs w:val="24"/>
                    </w:rPr>
                    <w:t xml:space="preserve">asmenys su negalia (turintys judėjimo ir (ar) psichikos ir (ar) proto ir (ar) regos negalią), kuriems reikalingas specialiai pritaikytas būstas bei gausios šeimos. </w:t>
                  </w:r>
                </w:p>
                <w:p>
                  <w:pPr>
                    <w:ind w:firstLine="709"/>
                    <w:jc w:val="both"/>
                    <w:rPr>
                      <w:rFonts w:cs="Arial"/>
                      <w:szCs w:val="24"/>
                    </w:rPr>
                  </w:pPr>
                  <w:r>
                    <w:rPr>
                      <w:rFonts w:cs="Arial"/>
                      <w:szCs w:val="24"/>
                    </w:rPr>
                    <w:t>Tikslinės grupė poreikiai yra susiję su socialinio būsto prieinamumu ir kokybe:</w:t>
                  </w:r>
                </w:p>
                <w:p>
                  <w:pPr>
                    <w:ind w:firstLine="709"/>
                    <w:jc w:val="both"/>
                    <w:rPr>
                      <w:rFonts w:cs="Arial"/>
                      <w:szCs w:val="24"/>
                    </w:rPr>
                  </w:pPr>
                  <w:r>
                    <w:rPr>
                      <w:rFonts w:cs="Arial"/>
                      <w:szCs w:val="24"/>
                    </w:rPr>
                    <w:t>– socialinio būsto fondas turi būti pakankamas, kad būtų realizuota gyventojų teisė į socialinio būsto nuomą;</w:t>
                  </w:r>
                </w:p>
                <w:p>
                  <w:pPr>
                    <w:ind w:firstLine="709"/>
                    <w:jc w:val="both"/>
                    <w:rPr>
                      <w:rFonts w:cs="Arial"/>
                      <w:szCs w:val="24"/>
                    </w:rPr>
                  </w:pPr>
                  <w:r>
                    <w:rPr>
                      <w:rFonts w:cs="Arial"/>
                      <w:szCs w:val="24"/>
                    </w:rPr>
                    <w:t>– laukimo eilėje socialiniam būstui išsinuomoti terminas turi būti kaip įmanoma trumpesnis;</w:t>
                  </w:r>
                </w:p>
                <w:p>
                  <w:pPr>
                    <w:ind w:firstLine="709"/>
                    <w:jc w:val="both"/>
                    <w:rPr>
                      <w:rFonts w:cs="Arial"/>
                      <w:szCs w:val="24"/>
                    </w:rPr>
                  </w:pPr>
                  <w:r>
                    <w:rPr>
                      <w:rFonts w:cs="Arial"/>
                      <w:szCs w:val="24"/>
                    </w:rPr>
                    <w:t>– socialinis būstas turi būti techniškai tvarkingas, atitinkantis medicinos ir higienos normų, komforto ir pan. sąlygas;</w:t>
                  </w:r>
                </w:p>
                <w:p>
                  <w:pPr>
                    <w:ind w:firstLine="709"/>
                    <w:jc w:val="both"/>
                    <w:rPr>
                      <w:rFonts w:cs="Arial"/>
                      <w:szCs w:val="24"/>
                    </w:rPr>
                  </w:pPr>
                  <w:r>
                    <w:rPr>
                      <w:rFonts w:cs="Arial"/>
                      <w:szCs w:val="24"/>
                    </w:rPr>
                    <w:t>– socialinis būstas turi būti tokioje vietoje, kurioje yra užtikrintas viešasis susisiekimas, pagrindinė socialinė-ekonominė infrastruktūra (švietimo ir ugdymo įstaigos, sveikatos priežiūros ir socialines paslaugas teikiančios įstaigos, prekybos vietos ir pan.).</w:t>
                  </w:r>
                </w:p>
                <w:p>
                  <w:pPr>
                    <w:ind w:left="-57" w:right="-57" w:firstLine="766"/>
                    <w:jc w:val="both"/>
                    <w:rPr>
                      <w:rFonts w:eastAsia="Calibri"/>
                      <w:szCs w:val="24"/>
                    </w:rPr>
                  </w:pPr>
                  <w:r>
                    <w:rPr>
                      <w:iCs/>
                      <w:szCs w:val="24"/>
                    </w:rPr>
                    <w:t>Numatoma 20 asmenų (ir jų šeimoms) suteikti naujus arba suremontuotus socialinius būstus: iš jų 4 būstai šeimoms, kuriose yra žmonių su negalia (juos pritaikant) ir 16 – gausioms šeimoms. Preliminariai numatoma įsigyti 4 vieno kambario butus, kurie bus skiriami asmenims su negalia; gausioms šeimoms preliminariai numatoma įsigyti: 11 butų trijų kambarių, plotas preliminariai 65–68 kv. m.; 4 butus keturių kambarių, plotas preliminariai 80–85 kv. m; 1 butą penkių kambarių, plotas preliminariai 100–110 kv. m.</w:t>
                  </w:r>
                </w:p>
              </w:sdtContent>
            </w:sdt>
            <w:sdt>
              <w:sdtPr>
                <w:alias w:val="2 p."/>
                <w:tag w:val="part_76e540c2968f4e2caf50bfee7c285ec8"/>
                <w:lock w:val="sdtLocked"/>
                <w:richText/>
              </w:sdtPr>
              <w:sdtContent>
                <w:p>
                  <w:pPr>
                    <w:suppressAutoHyphens/>
                    <w:spacing w:line="276" w:lineRule="auto"/>
                    <w:ind w:left="1040" w:hanging="360"/>
                    <w:jc w:val="both"/>
                    <w:rPr>
                      <w:szCs w:val="24"/>
                    </w:rPr>
                  </w:pPr>
                  <w:sdt>
                    <w:sdtPr>
                      <w:alias w:val="Numeris"/>
                      <w:tag w:val="nr_76e540c2968f4e2caf50bfee7c285ec8"/>
                      <w:lock w:val="sdtLocked"/>
                      <w:richText/>
                    </w:sdtPr>
                    <w:sdtContent>
                      <w:r>
                        <w:rPr>
                          <w:b/>
                          <w:szCs w:val="24"/>
                        </w:rPr>
                        <w:t>2</w:t>
                      </w:r>
                    </w:sdtContent>
                  </w:sdt>
                  <w:r>
                    <w:rPr>
                      <w:b/>
                      <w:szCs w:val="24"/>
                    </w:rPr>
                    <w:t>.</w:t>
                    <w:tab/>
                  </w:r>
                  <w:r>
                    <w:rPr>
                      <w:b/>
                      <w:bCs/>
                      <w:szCs w:val="24"/>
                    </w:rPr>
                    <w:t>Projekto iniciatoriai (institucija, asmenys ar piliečių atstovai) ir rengėjai.</w:t>
                  </w:r>
                </w:p>
                <w:p>
                  <w:pPr>
                    <w:ind w:firstLine="709"/>
                    <w:jc w:val="both"/>
                    <w:rPr>
                      <w:szCs w:val="24"/>
                    </w:rPr>
                  </w:pPr>
                  <w:r>
                    <w:rPr>
                      <w:szCs w:val="24"/>
                    </w:rPr>
                    <w:t>Projekto iniciatorius ir rengėjas – Radviliškio rajono savivaldybės administracijos Investicijų ir turto valdymo skyrius.</w:t>
                  </w:r>
                </w:p>
              </w:sdtContent>
            </w:sdt>
            <w:sdt>
              <w:sdtPr>
                <w:alias w:val="3 p."/>
                <w:tag w:val="part_d9420a20f83f467e90b234c748784baf"/>
                <w:lock w:val="sdtLocked"/>
                <w:richText/>
              </w:sdtPr>
              <w:sdtContent>
                <w:p>
                  <w:pPr>
                    <w:suppressAutoHyphens/>
                    <w:spacing w:line="276" w:lineRule="auto"/>
                    <w:ind w:left="1040" w:hanging="360"/>
                    <w:jc w:val="both"/>
                    <w:rPr>
                      <w:szCs w:val="24"/>
                    </w:rPr>
                  </w:pPr>
                  <w:sdt>
                    <w:sdtPr>
                      <w:alias w:val="Numeris"/>
                      <w:tag w:val="nr_d9420a20f83f467e90b234c748784baf"/>
                      <w:lock w:val="sdtLocked"/>
                      <w:richText/>
                    </w:sdtPr>
                    <w:sdtContent>
                      <w:r>
                        <w:rPr>
                          <w:b/>
                          <w:szCs w:val="24"/>
                        </w:rPr>
                        <w:t>3</w:t>
                      </w:r>
                    </w:sdtContent>
                  </w:sdt>
                  <w:r>
                    <w:rPr>
                      <w:b/>
                      <w:szCs w:val="24"/>
                    </w:rPr>
                    <w:t>.</w:t>
                    <w:tab/>
                    <w:t>Kaip šiuo metu yra reguliuojami sprendimo projekte aptarti teisiniai santykiai.</w:t>
                  </w:r>
                </w:p>
                <w:p>
                  <w:pPr>
                    <w:ind w:firstLine="709"/>
                    <w:jc w:val="both"/>
                    <w:rPr>
                      <w:szCs w:val="24"/>
                    </w:rPr>
                  </w:pPr>
                  <w:r>
                    <w:rPr>
                      <w:color w:val="000000"/>
                      <w:szCs w:val="24"/>
                    </w:rPr>
                    <w:t xml:space="preserve">Lietuvos Respublikos vietos savivaldos įstatymo </w:t>
                  </w:r>
                  <w:r>
                    <w:rPr>
                      <w:szCs w:val="24"/>
                    </w:rPr>
                    <w:t xml:space="preserve">15 straipsnio 4 dalis ir 2022–2030 m. Šiaulių regiono plėtros planas, patvirtintas Šiaulių regiono plėtros tarybos 2023 m. vasario 8 d. sprendimu Nr. ŠR/TS-6 „Dėl 2022–2030 m. Šiaulių regiono plėtros plano patvirtinimo“ ir regioninės pažangos priemonės Nr. 09-003-02-02-11 (RE) „Sumažinti pažeidžiamų visuomenės grupių gerovės teritorinius skirtumus“ finansavimo gairėmis (Gairės), patvirtintomis Lietuvos Respublikos socialinės apsaugos ir darbo ministro 2023 m. birželio </w:t>
                  </w:r>
                  <w:r>
                    <w:rPr>
                      <w:szCs w:val="24"/>
                      <w:lang w:val="en-US"/>
                    </w:rPr>
                    <w:t xml:space="preserve">30 </w:t>
                  </w:r>
                  <w:r>
                    <w:rPr>
                      <w:szCs w:val="24"/>
                    </w:rPr>
                    <w:t xml:space="preserve">d. įsakymu Nr. A1-439 „Dėl regioninės pažangos priemonės </w:t>
                  </w:r>
                  <w:r>
                    <w:rPr>
                      <w:color w:val="000000"/>
                      <w:szCs w:val="24"/>
                    </w:rPr>
                    <w:t xml:space="preserve">Nr. 09-003-02-02-11 (RE) „Sumažinti pažeidžiamų visuomenės grupių gerovės teritorinius skirtumus“ finansavimo </w:t>
                  </w:r>
                  <w:r>
                    <w:rPr>
                      <w:szCs w:val="24"/>
                    </w:rPr>
                    <w:t>gairių patvirtinimo“.</w:t>
                  </w:r>
                </w:p>
              </w:sdtContent>
            </w:sdt>
            <w:sdt>
              <w:sdtPr>
                <w:alias w:val="4 p."/>
                <w:tag w:val="part_a38976cb017c4ba1ad992fe60998f7dc"/>
                <w:lock w:val="sdtLocked"/>
                <w:richText/>
              </w:sdtPr>
              <w:sdtContent>
                <w:p>
                  <w:pPr>
                    <w:tabs>
                      <w:tab w:val="left" w:pos="855"/>
                    </w:tabs>
                    <w:spacing w:line="276" w:lineRule="auto"/>
                    <w:ind w:firstLine="680"/>
                    <w:jc w:val="both"/>
                    <w:rPr>
                      <w:color w:val="000000"/>
                      <w:szCs w:val="24"/>
                    </w:rPr>
                  </w:pPr>
                  <w:sdt>
                    <w:sdtPr>
                      <w:alias w:val="Numeris"/>
                      <w:tag w:val="nr_a38976cb017c4ba1ad992fe60998f7dc"/>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ind w:firstLine="680"/>
                    <w:jc w:val="both"/>
                    <w:rPr>
                      <w:szCs w:val="24"/>
                    </w:rPr>
                  </w:pPr>
                  <w:r>
                    <w:rPr>
                      <w:szCs w:val="24"/>
                    </w:rPr>
                    <w:t xml:space="preserve">Naujos teisinio reguliavimo nuostatos nesiūlomos. Teigiamas rezultatas – 20 naujų socialinių būstų eilėje laukiantiems asmenims. </w:t>
                  </w:r>
                </w:p>
              </w:sdtContent>
            </w:sdt>
            <w:sdt>
              <w:sdtPr>
                <w:alias w:val="5 p."/>
                <w:tag w:val="part_02679ef45a6b456684c66fb3097a9c27"/>
                <w:lock w:val="sdtLocked"/>
                <w:richText/>
              </w:sdtPr>
              <w:sdtContent>
                <w:p>
                  <w:pPr>
                    <w:spacing w:line="276" w:lineRule="auto"/>
                    <w:ind w:firstLine="680"/>
                    <w:jc w:val="both"/>
                    <w:rPr>
                      <w:b/>
                      <w:bCs/>
                      <w:szCs w:val="24"/>
                    </w:rPr>
                  </w:pPr>
                  <w:sdt>
                    <w:sdtPr>
                      <w:alias w:val="Numeris"/>
                      <w:tag w:val="nr_02679ef45a6b456684c66fb3097a9c2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02191401e5a84b02a06ce8cc36121d72"/>
                <w:lock w:val="sdtLocked"/>
                <w:richText/>
              </w:sdtPr>
              <w:sdtContent>
                <w:p>
                  <w:pPr>
                    <w:spacing w:line="276" w:lineRule="auto"/>
                    <w:ind w:firstLine="680"/>
                    <w:jc w:val="both"/>
                    <w:rPr>
                      <w:szCs w:val="24"/>
                    </w:rPr>
                  </w:pPr>
                  <w:sdt>
                    <w:sdtPr>
                      <w:alias w:val="Numeris"/>
                      <w:tag w:val="nr_02191401e5a84b02a06ce8cc36121d72"/>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889b1bb7ef2b4c1a89848d786519ae06"/>
                <w:lock w:val="sdtLocked"/>
                <w:richText/>
              </w:sdtPr>
              <w:sdtContent>
                <w:p>
                  <w:pPr>
                    <w:tabs>
                      <w:tab w:val="left" w:pos="855"/>
                    </w:tabs>
                    <w:spacing w:line="276" w:lineRule="auto"/>
                    <w:ind w:firstLine="680"/>
                    <w:jc w:val="both"/>
                    <w:rPr>
                      <w:szCs w:val="24"/>
                      <w:shd w:val="clear" w:color="auto" w:fill="FFFFFF"/>
                    </w:rPr>
                  </w:pPr>
                  <w:sdt>
                    <w:sdtPr>
                      <w:alias w:val="Numeris"/>
                      <w:tag w:val="nr_889b1bb7ef2b4c1a89848d786519ae06"/>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1 800 000,00 Eur. 1 530 000,00 Eur – Europos regioninės plėtros fondų lėšos, 270 000,00 Eur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a41febe6cc2546f685c4872bbf4d2c33"/>
                <w:lock w:val="sdtLocked"/>
                <w:richText/>
              </w:sdtPr>
              <w:sdtContent>
                <w:p>
                  <w:pPr>
                    <w:tabs>
                      <w:tab w:val="left" w:pos="1200"/>
                    </w:tabs>
                    <w:spacing w:line="276" w:lineRule="auto"/>
                    <w:ind w:firstLine="680"/>
                    <w:jc w:val="both"/>
                    <w:rPr>
                      <w:b/>
                      <w:color w:val="000000"/>
                      <w:szCs w:val="24"/>
                    </w:rPr>
                  </w:pPr>
                  <w:sdt>
                    <w:sdtPr>
                      <w:alias w:val="Numeris"/>
                      <w:tag w:val="nr_a41febe6cc2546f685c4872bbf4d2c33"/>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84d5d95a2b174b56b5e27b2014b60194"/>
                <w:lock w:val="sdtLocked"/>
                <w:richText/>
              </w:sdtPr>
              <w:sdtContent>
                <w:p>
                  <w:pPr>
                    <w:tabs>
                      <w:tab w:val="left" w:pos="1200"/>
                    </w:tabs>
                    <w:spacing w:line="276" w:lineRule="auto"/>
                    <w:ind w:firstLine="680"/>
                    <w:jc w:val="both"/>
                    <w:rPr>
                      <w:b/>
                      <w:szCs w:val="24"/>
                    </w:rPr>
                  </w:pPr>
                  <w:sdt>
                    <w:sdtPr>
                      <w:alias w:val="Numeris"/>
                      <w:tag w:val="nr_84d5d95a2b174b56b5e27b2014b60194"/>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dc28d82dc0b24cfb85bbf8eab0c34090"/>
                <w:lock w:val="sdtLocked"/>
                <w:richText/>
              </w:sdtPr>
              <w:sdtContent>
                <w:p>
                  <w:pPr>
                    <w:spacing w:line="276" w:lineRule="auto"/>
                    <w:ind w:firstLine="680"/>
                    <w:jc w:val="both"/>
                    <w:rPr>
                      <w:szCs w:val="24"/>
                      <w:shd w:val="clear" w:color="auto" w:fill="FFFFFF"/>
                    </w:rPr>
                  </w:pPr>
                  <w:sdt>
                    <w:sdtPr>
                      <w:alias w:val="Numeris"/>
                      <w:tag w:val="nr_dc28d82dc0b24cfb85bbf8eab0c34090"/>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c522718b5757423182636c66a0d0538a"/>
                <w:lock w:val="sdtLocked"/>
                <w:richText/>
              </w:sdtPr>
              <w:sdtContent>
                <w:p>
                  <w:pPr>
                    <w:tabs>
                      <w:tab w:val="left" w:pos="1134"/>
                    </w:tabs>
                    <w:spacing w:line="276" w:lineRule="auto"/>
                    <w:ind w:left="1069" w:hanging="360"/>
                    <w:rPr>
                      <w:rFonts w:eastAsia="Calibri"/>
                      <w:b/>
                      <w:bCs/>
                      <w:szCs w:val="24"/>
                    </w:rPr>
                  </w:pPr>
                  <w:sdt>
                    <w:sdtPr>
                      <w:alias w:val="Numeris"/>
                      <w:tag w:val="nr_c522718b5757423182636c66a0d0538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27a03c08c54f4de69b6329cf72046db1"/>
                <w:lock w:val="sdtLocked"/>
                <w:richText/>
              </w:sdtPr>
              <w:sdtContent>
                <w:p>
                  <w:pPr>
                    <w:spacing w:line="276" w:lineRule="auto"/>
                    <w:ind w:left="1069" w:hanging="360"/>
                    <w:jc w:val="both"/>
                    <w:rPr>
                      <w:rFonts w:eastAsia="Calibri"/>
                      <w:b/>
                      <w:bCs/>
                      <w:szCs w:val="24"/>
                    </w:rPr>
                  </w:pPr>
                  <w:sdt>
                    <w:sdtPr>
                      <w:alias w:val="Numeris"/>
                      <w:tag w:val="nr_27a03c08c54f4de69b6329cf72046db1"/>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jc w:val="both"/>
                    <w:rPr>
                      <w:b/>
                      <w:bCs/>
                      <w:szCs w:val="24"/>
                    </w:rPr>
                  </w:pPr>
                </w:p>
                <w:p>
                  <w:pPr>
                    <w:tabs>
                      <w:tab w:val="left" w:pos="7680"/>
                    </w:tabs>
                    <w:jc w:val="both"/>
                    <w:rPr>
                      <w:szCs w:val="24"/>
                    </w:rPr>
                  </w:pPr>
                </w:p>
              </w:sdtContent>
            </w:sdt>
          </w:sdtContent>
        </w:sdt>
        <w:sdt>
          <w:sdtPr>
            <w:alias w:val="signatura"/>
            <w:tag w:val="part_34d74898e5ff44d5ab9f7ac40f4c19f9"/>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747681022">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3563c91f9a45b0ad0dd7a74aab7971" PartId="3aa51eaaab424026b9e04c6f20f6edc8">
    <Part Type="preambule" DocPartId="baeaf19333be4b2ab32b30b4d27d4576" PartId="d1f5963c34e54f4aac3034309bb8202d"/>
    <Part Type="punktas" Nr="1" Abbr="1 p." DocPartId="d9013199f25b4be091ecb117db2a5958" PartId="7c81be0cdf8148838ab4b550a0cc6251"/>
    <Part Type="punktas" Nr="2" Abbr="2 p." DocPartId="d2f898c2e1e04f5da83be00f14fef819" PartId="19819718ae6f4698b0bf6443e5bdf268"/>
    <Part Type="punktas" Nr="3" Abbr="3 p." DocPartId="c2f2e94276d945c19643b2b3a4bb4979" PartId="f41f800be4344323a796fdb382f78f8b"/>
    <Part Type="punktas" Nr="4" Abbr="4 p." DocPartId="d46878719a92431fb23b1b613410c6fd" PartId="76a58c409f434c748921d873e62aab04"/>
    <Part Type="skirsnis" Title="RADVILIŠKIO RAJONO SAVIVALDYBĖS TARYBOS SPRENDIMO PROJEKTO „SOCIALINIO BŪSTO FONDO PLĖTRA RADVILIŠKIO RAJONO SAVIVALDYBĖJE“ ĮGYVENDINIMUI IR LĖŠŲ SKYRIMO“ AIŠKINAMASIS RAŠTAS" DocPartId="82c39194313543c5b04d4d3fa99fefcb" PartId="c28655b26a5d4b839f4d67076f9d67ec">
      <Part Type="punktas" Nr="1" Abbr="1 p." DocPartId="6626a959ea48471386bc4f7e22dca8ce" PartId="83d0a09da2ac4388b1676d3c1568a1d5"/>
      <Part Type="punktas" Nr="2" Abbr="2 p." DocPartId="8f40be71bd1b4c418859e88d8a8ddff6" PartId="76e540c2968f4e2caf50bfee7c285ec8"/>
      <Part Type="punktas" Nr="3" Abbr="3 p." DocPartId="9e7bde40051b49bc83b65067b67ef6b9" PartId="d9420a20f83f467e90b234c748784baf"/>
      <Part Type="punktas" Nr="4" Abbr="4 p." DocPartId="a13f710c3fd041bb96cd90f03eade6ad" PartId="a38976cb017c4ba1ad992fe60998f7dc"/>
      <Part Type="punktas" Nr="5" Abbr="5 p." DocPartId="9997cd67ec684749873e0e6fb57a0265" PartId="02679ef45a6b456684c66fb3097a9c27"/>
      <Part Type="punktas" Nr="6" Abbr="6 p." DocPartId="e3fb8b21a6b14b779654f4b6dc0a8995" PartId="02191401e5a84b02a06ce8cc36121d72"/>
      <Part Type="punktas" Nr="7" Abbr="7 p." DocPartId="06e4345f1e124a6daeb2842fe747c4aa" PartId="889b1bb7ef2b4c1a89848d786519ae06"/>
      <Part Type="punktas" Nr="8" Abbr="8 p." DocPartId="18d61e3a10a14021941af2a6dd58e244" PartId="a41febe6cc2546f685c4872bbf4d2c33"/>
      <Part Type="punktas" Nr="9" Abbr="9 p." DocPartId="fd96fb32415e404385ad44c30921433d" PartId="84d5d95a2b174b56b5e27b2014b60194"/>
      <Part Type="punktas" Nr="10" Abbr="10 p." DocPartId="296ec2806b5e4fab9145157327b6d1aa" PartId="dc28d82dc0b24cfb85bbf8eab0c34090"/>
      <Part Type="punktas" Nr="11" Abbr="11 p." DocPartId="fbc66aa70e5d41b2873e9f454a8af346" PartId="c522718b5757423182636c66a0d0538a"/>
      <Part Type="punktas" Nr="12" Abbr="12 p." DocPartId="ff0f309c167c4bc0a531b16403a3c174" PartId="27a03c08c54f4de69b6329cf72046db1"/>
    </Part>
    <Part Type="signatura" DocPartId="b4fd247f8cfa4f98adac88bff0260593" PartId="34d74898e5ff44d5ab9f7ac40f4c19f9"/>
  </Part>
</Parts>
</file>

<file path=customXml/itemProps1.xml><?xml version="1.0" encoding="utf-8"?>
<ds:datastoreItem xmlns:ds="http://schemas.openxmlformats.org/officeDocument/2006/customXml" ds:itemID="{F1D94C9B-E95E-45A3-A754-9339A22722DC}">
  <ds:schemaRefs>
    <ds:schemaRef ds:uri="http://schemas.openxmlformats.org/officeDocument/2006/bibliography"/>
  </ds:schemaRefs>
</ds:datastoreItem>
</file>

<file path=customXml/itemProps2.xml><?xml version="1.0" encoding="utf-8"?>
<ds:datastoreItem xmlns:ds="http://schemas.openxmlformats.org/officeDocument/2006/customXml" ds:itemID="{E01409D4-BF5C-4668-B95B-17A81D389E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909</Words>
  <Characters>6421</Characters>
  <Application>Microsoft Office Word</Application>
  <DocSecurity>4</DocSecurity>
  <Lines>125</Lines>
  <Paragraphs>62</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7268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2024-06-06T04:50:00Z</dcterms:created>
  <dc:creator>Gintaras</dc:creator>
  <lastModifiedBy>adlibuser</lastModifiedBy>
  <lastPrinted>2024-03-22T08:51:00Z</lastPrinted>
  <dcterms:modified xsi:type="dcterms:W3CDTF">2024-06-06T04:50:00Z</dcterms:modified>
  <revision>2</revision>
  <dc:title/>
</coreProperties>
</file>