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9c1606fecd44d57933d201b32e9c820"/>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2025-04-16 Nr. TR-162</w:t>
          </w:r>
        </w:p>
        <w:p>
          <w:pPr>
            <w:jc w:val="center"/>
            <w:rPr>
              <w:rFonts w:ascii="Verdana" w:hAnsi="Verdana"/>
            </w:rPr>
          </w:pPr>
        </w:p>
        <w:p>
          <w:pPr>
            <w:rPr>
              <w:sz w:val="10"/>
              <w:szCs w:val="10"/>
            </w:rPr>
          </w:pPr>
        </w:p>
        <w:p>
          <w:pPr>
            <w:jc w:val="center"/>
            <w:rPr>
              <w:rFonts w:ascii="Verdana" w:hAnsi="Verdana"/>
              <w:b/>
            </w:rPr>
          </w:pPr>
          <w:r>
            <w:rPr>
              <w:rFonts w:ascii="Verdana" w:hAnsi="Verdana"/>
              <w:b/>
            </w:rPr>
            <w:t>MARIJAMPOLĖS SAVIVALDYBĖS TARYBA</w:t>
          </w:r>
        </w:p>
        <w:p>
          <w:pPr>
            <w:tabs>
              <w:tab w:val="left" w:pos="5557"/>
              <w:tab w:val="left" w:pos="6840"/>
              <w:tab w:val="left" w:pos="7020"/>
            </w:tabs>
            <w:jc w:val="center"/>
            <w:rPr>
              <w:rFonts w:ascii="Verdana" w:hAnsi="Verdana"/>
            </w:rPr>
          </w:pPr>
        </w:p>
        <w:p>
          <w:pPr>
            <w:jc w:val="center"/>
            <w:rPr>
              <w:rFonts w:ascii="Verdana" w:hAnsi="Verdana"/>
              <w:b/>
            </w:rPr>
          </w:pPr>
          <w:r>
            <w:rPr>
              <w:rFonts w:ascii="Verdana" w:hAnsi="Verdana"/>
              <w:b/>
            </w:rPr>
            <w:t>SPRENDIMAS</w:t>
          </w:r>
        </w:p>
        <w:p>
          <w:pPr>
            <w:tabs>
              <w:tab w:val="left" w:pos="5557"/>
              <w:tab w:val="left" w:pos="6840"/>
              <w:tab w:val="left" w:pos="7020"/>
            </w:tabs>
            <w:jc w:val="center"/>
            <w:rPr>
              <w:rFonts w:ascii="Verdana" w:hAnsi="Verdana"/>
              <w:b/>
              <w:bCs/>
              <w:szCs w:val="24"/>
              <w:lang w:eastAsia="lt-LT"/>
            </w:rPr>
          </w:pPr>
          <w:r>
            <w:rPr>
              <w:rFonts w:ascii="Verdana" w:hAnsi="Verdana"/>
              <w:b/>
            </w:rPr>
            <w:t>DĖL</w:t>
          </w:r>
          <w:r>
            <w:rPr>
              <w:rFonts w:ascii="Verdana" w:hAnsi="Verdana"/>
              <w:b/>
              <w:bCs/>
              <w:szCs w:val="24"/>
              <w:lang w:eastAsia="lt-LT"/>
            </w:rPr>
            <w:t xml:space="preserve"> MARIJAMPOLĖS SAVIVALDYBĖS TARYBOS 2023 M. GEGUŽĖS 29 D. SPRENDIMO Nr. </w:t>
          </w:r>
          <w:r>
            <w:rPr>
              <w:rFonts w:ascii="Verdana" w:hAnsi="Verdana"/>
              <w:b/>
              <w:bCs/>
              <w:szCs w:val="24"/>
              <w:lang w:eastAsia="lt-LT"/>
            </w:rPr>
            <w:t>1-173</w:t>
          </w:r>
          <w:r>
            <w:rPr>
              <w:rFonts w:ascii="Verdana" w:hAnsi="Verdana"/>
              <w:b/>
              <w:bCs/>
              <w:szCs w:val="24"/>
              <w:lang w:eastAsia="lt-LT"/>
            </w:rPr>
            <w:t xml:space="preserve"> „DĖL MARIJAMPOLĖS SAVIVALDYBĖS PETICIJŲ KOMISIJOS SUDARYMO IR NUOSTATŲ PATVIRTINIMO“ PAKEITIMO</w:t>
          </w:r>
        </w:p>
        <w:p>
          <w:pPr>
            <w:tabs>
              <w:tab w:val="left" w:pos="5557"/>
              <w:tab w:val="left" w:pos="6840"/>
              <w:tab w:val="left" w:pos="7020"/>
            </w:tabs>
            <w:jc w:val="center"/>
            <w:rPr>
              <w:rFonts w:ascii="Verdana" w:hAnsi="Verdana"/>
            </w:rPr>
          </w:pPr>
        </w:p>
        <w:p>
          <w:pPr>
            <w:tabs>
              <w:tab w:val="left" w:pos="5557"/>
              <w:tab w:val="left" w:pos="6840"/>
              <w:tab w:val="left" w:pos="7020"/>
            </w:tabs>
            <w:jc w:val="center"/>
            <w:rPr>
              <w:rFonts w:ascii="Verdana" w:hAnsi="Verdana"/>
            </w:rPr>
          </w:pPr>
        </w:p>
        <w:p>
          <w:pPr>
            <w:tabs>
              <w:tab w:val="left" w:pos="5557"/>
              <w:tab w:val="left" w:pos="6840"/>
              <w:tab w:val="left" w:pos="7020"/>
            </w:tabs>
            <w:jc w:val="center"/>
            <w:rPr>
              <w:rFonts w:ascii="Verdana" w:hAnsi="Verdana"/>
            </w:rPr>
          </w:pPr>
          <w:r>
            <w:rPr>
              <w:rFonts w:ascii="Verdana" w:hAnsi="Verdana"/>
            </w:rPr>
            <w:t>Marijampolė</w:t>
          </w:r>
        </w:p>
        <w:p>
          <w:pPr>
            <w:tabs>
              <w:tab w:val="left" w:pos="5557"/>
              <w:tab w:val="left" w:pos="6840"/>
              <w:tab w:val="left" w:pos="7020"/>
            </w:tabs>
            <w:jc w:val="center"/>
            <w:rPr>
              <w:rFonts w:ascii="Verdana" w:hAnsi="Verdana"/>
            </w:rPr>
          </w:pPr>
        </w:p>
        <w:p>
          <w:pPr>
            <w:tabs>
              <w:tab w:val="left" w:pos="5557"/>
              <w:tab w:val="left" w:pos="6840"/>
              <w:tab w:val="left" w:pos="7020"/>
            </w:tabs>
            <w:jc w:val="center"/>
            <w:rPr>
              <w:rFonts w:ascii="Verdana" w:hAnsi="Verdana"/>
            </w:rPr>
          </w:pPr>
        </w:p>
        <w:p>
          <w:pPr>
            <w:tabs>
              <w:tab w:val="left" w:pos="5557"/>
              <w:tab w:val="left" w:pos="6840"/>
              <w:tab w:val="left" w:pos="7020"/>
            </w:tabs>
            <w:rPr>
              <w:rFonts w:ascii="Verdana" w:hAnsi="Verdana"/>
            </w:rPr>
          </w:pPr>
        </w:p>
        <w:p>
          <w:pPr>
            <w:tabs>
              <w:tab w:val="left" w:pos="5557"/>
              <w:tab w:val="left" w:pos="6840"/>
              <w:tab w:val="left" w:pos="7020"/>
            </w:tabs>
            <w:ind w:firstLine="720"/>
            <w:rPr>
              <w:rFonts w:ascii="Verdana" w:hAnsi="Verdana"/>
            </w:rPr>
            <w:sectPr>
              <w:headerReference w:type="even" r:id="rId8"/>
              <w:headerReference w:type="default" r:id="rId9"/>
              <w:footerReference w:type="even" r:id="rId10"/>
              <w:footerReference w:type="default" r:id="rId11"/>
              <w:headerReference w:type="first" r:id="rId12"/>
              <w:footerReference w:type="first" r:id="rId13"/>
              <w:type w:val="continuous"/>
              <w:pgSz w:w="11906" w:h="16838"/>
              <w:pgMar w:top="1134" w:right="567" w:bottom="567"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e9a3e681e5044611bcda578c6aea56a9"/>
            <w:lock w:val="sdtLocked"/>
            <w:richText/>
          </w:sdtPr>
          <w:sdtContent>
            <w:p>
              <w:pPr>
                <w:ind w:firstLine="720"/>
                <w:jc w:val="both"/>
                <w:rPr>
                  <w:rFonts w:ascii="Verdana" w:hAnsi="Verdana"/>
                  <w:szCs w:val="24"/>
                  <w:lang w:eastAsia="lt-LT"/>
                </w:rPr>
              </w:pPr>
              <w:r>
                <w:rPr>
                  <w:rFonts w:ascii="Verdana" w:hAnsi="Verdana"/>
                  <w:szCs w:val="24"/>
                  <w:lang w:eastAsia="lt-LT"/>
                </w:rPr>
                <w:t>Vadovaudamasi Lietuvos Respublikos vietos savivaldos</w:t>
              </w:r>
              <w:hyperlink r:id="rId14" w:history="1">
                <w:r>
                  <w:rPr>
                    <w:rFonts w:ascii="Verdana" w:hAnsi="Verdana"/>
                    <w:color w:val="000000"/>
                    <w:szCs w:val="24"/>
                    <w:lang w:eastAsia="lt-LT"/>
                  </w:rPr>
                  <w:t xml:space="preserve"> įstatymo</w:t>
                </w:r>
              </w:hyperlink>
              <w:r>
                <w:rPr>
                  <w:rFonts w:ascii="Verdana" w:hAnsi="Verdana"/>
                  <w:szCs w:val="24"/>
                  <w:lang w:eastAsia="lt-LT"/>
                </w:rPr>
                <w:t xml:space="preserve"> 22, 24 straipsniais ir Marijampolės savivaldybės tarybos veiklos reglamento, patvirtinto Marijampolės savivaldybės tarybos 2023 m. kovo 27 d. sprendimu Nr. </w:t>
              </w:r>
              <w:r>
                <w:rPr>
                  <w:rFonts w:ascii="Verdana" w:hAnsi="Verdana"/>
                  <w:color w:val="000000"/>
                  <w:szCs w:val="24"/>
                  <w:lang w:eastAsia="lt-LT"/>
                </w:rPr>
                <w:t>1-82</w:t>
              </w:r>
              <w:r>
                <w:rPr>
                  <w:rFonts w:ascii="Verdana" w:hAnsi="Verdana"/>
                  <w:szCs w:val="24"/>
                  <w:lang w:eastAsia="lt-LT"/>
                </w:rPr>
                <w:t xml:space="preserve"> „Dėl Marijampolės savivaldybės tarybos veiklos reglamento patvirtinimo“, </w:t>
              </w:r>
              <w:r>
                <w:rPr>
                  <w:rFonts w:ascii="Verdana" w:eastAsia="SimSun" w:hAnsi="Verdana" w:cs="Verdana"/>
                  <w:color w:val="000000"/>
                  <w:szCs w:val="24"/>
                </w:rPr>
                <w:t xml:space="preserve">194 punktu, </w:t>
              </w:r>
              <w:r>
                <w:rPr>
                  <w:rFonts w:ascii="Verdana" w:hAnsi="Verdana"/>
                  <w:szCs w:val="24"/>
                  <w:lang w:eastAsia="lt-LT"/>
                </w:rPr>
                <w:t xml:space="preserve">Marijampolės savivaldybės taryba </w:t>
              </w:r>
              <w:r>
                <w:rPr>
                  <w:rFonts w:ascii="Verdana" w:hAnsi="Verdana"/>
                  <w:color w:val="000000"/>
                  <w:spacing w:val="40"/>
                </w:rPr>
                <w:t>nusprendžia</w:t>
              </w:r>
              <w:r>
                <w:rPr>
                  <w:rFonts w:ascii="Verdana" w:hAnsi="Verdana"/>
                  <w:szCs w:val="24"/>
                  <w:lang w:eastAsia="lt-LT"/>
                </w:rPr>
                <w:t>:</w:t>
              </w:r>
            </w:p>
          </w:sdtContent>
        </w:sdt>
        <w:sdt>
          <w:sdtPr>
            <w:alias w:val="1 p."/>
            <w:tag w:val="part_ad3bb798a91f4920a9c7bc98fa6ee3b2"/>
            <w:lock w:val="sdtLocked"/>
            <w:richText/>
          </w:sdtPr>
          <w:sdtContent>
            <w:p>
              <w:pPr>
                <w:ind w:firstLine="720"/>
                <w:jc w:val="both"/>
                <w:rPr>
                  <w:rFonts w:ascii="Verdana" w:hAnsi="Verdana"/>
                  <w:szCs w:val="24"/>
                  <w:lang w:eastAsia="lt-LT"/>
                </w:rPr>
              </w:pPr>
              <w:sdt>
                <w:sdtPr>
                  <w:alias w:val="Numeris"/>
                  <w:tag w:val="nr_ad3bb798a91f4920a9c7bc98fa6ee3b2"/>
                  <w:lock w:val="sdtLocked"/>
                  <w:richText/>
                </w:sdtPr>
                <w:sdtContent>
                  <w:r>
                    <w:rPr>
                      <w:rFonts w:ascii="Verdana" w:hAnsi="Verdana"/>
                      <w:szCs w:val="24"/>
                      <w:lang w:eastAsia="lt-LT"/>
                    </w:rPr>
                    <w:t>1</w:t>
                  </w:r>
                </w:sdtContent>
              </w:sdt>
              <w:r>
                <w:rPr>
                  <w:rFonts w:ascii="Verdana" w:hAnsi="Verdana"/>
                  <w:szCs w:val="24"/>
                  <w:lang w:eastAsia="lt-LT"/>
                </w:rPr>
                <w:t xml:space="preserve">. Pakeisti Marijampolės savivaldybės tarybos peticijų komisijos nuostatus, patvirtintus Marijampolės savivaldybės tarybos 2023 m. gegužės 29 d. sprendimu Nr. </w:t>
              </w:r>
              <w:r>
                <w:rPr>
                  <w:rFonts w:ascii="Verdana" w:hAnsi="Verdana"/>
                  <w:szCs w:val="24"/>
                  <w:lang w:eastAsia="lt-LT"/>
                </w:rPr>
                <w:t>1-173</w:t>
              </w:r>
              <w:r>
                <w:rPr>
                  <w:rFonts w:ascii="Verdana" w:hAnsi="Verdana"/>
                  <w:szCs w:val="24"/>
                  <w:lang w:eastAsia="lt-LT"/>
                </w:rPr>
                <w:t xml:space="preserve"> „Dėl Marijampolės savivaldybės tarybos peticijų komisijos sudarymo ir nuostatų patvirtinimo</w:t>
              </w:r>
              <w:r>
                <w:rPr>
                  <w:rFonts w:ascii="Verdana" w:hAnsi="Verdana"/>
                  <w:color w:val="000000"/>
                  <w:szCs w:val="24"/>
                  <w:lang w:eastAsia="lt-LT"/>
                </w:rPr>
                <w:t>“, ir 12 punktą išdėstyti taip:</w:t>
              </w:r>
            </w:p>
            <w:sdt>
              <w:sdtPr>
                <w:alias w:val="citata"/>
                <w:tag w:val="part_7ac4505007514301a7fcb1988a28e6bf"/>
                <w:lock w:val="sdtLocked"/>
                <w:richText/>
              </w:sdtPr>
              <w:sdtContent>
                <w:sdt>
                  <w:sdtPr>
                    <w:alias w:val="12 p."/>
                    <w:tag w:val="part_223cf0b969ea49e59c7d8e2a170caeda"/>
                    <w:lock w:val="sdtLocked"/>
                    <w:richText/>
                  </w:sdtPr>
                  <w:sdtContent>
                    <w:p>
                      <w:pPr>
                        <w:ind w:firstLine="720"/>
                        <w:jc w:val="both"/>
                        <w:rPr>
                          <w:rFonts w:ascii="Verdana" w:hAnsi="Verdana"/>
                          <w:szCs w:val="24"/>
                          <w:lang w:eastAsia="lt-LT"/>
                        </w:rPr>
                      </w:pPr>
                      <w:r>
                        <w:rPr>
                          <w:rFonts w:ascii="Verdana" w:hAnsi="Verdana"/>
                          <w:szCs w:val="24"/>
                          <w:lang w:eastAsia="lt-LT"/>
                        </w:rPr>
                        <w:t>„</w:t>
                      </w:r>
                      <w:sdt>
                        <w:sdtPr>
                          <w:alias w:val="Numeris"/>
                          <w:tag w:val="nr_223cf0b969ea49e59c7d8e2a170caeda"/>
                          <w:lock w:val="sdtLocked"/>
                          <w:richText/>
                        </w:sdtPr>
                        <w:sdtContent>
                          <w:r>
                            <w:rPr>
                              <w:rFonts w:ascii="Verdana" w:hAnsi="Verdana"/>
                              <w:szCs w:val="24"/>
                              <w:lang w:eastAsia="lt-LT"/>
                            </w:rPr>
                            <w:t>12</w:t>
                          </w:r>
                        </w:sdtContent>
                      </w:sdt>
                      <w:r>
                        <w:rPr>
                          <w:rFonts w:ascii="Verdana" w:hAnsi="Verdana"/>
                          <w:szCs w:val="24"/>
                          <w:lang w:eastAsia="lt-LT"/>
                        </w:rPr>
                        <w:t>. Posėdis yra teisėtas, jeigu jame dalyvauja daugiau kaip pusė visų komisijos narių. Komisijos sprendimai priimami posėdyje dalyvaujančių Komisijos narių balsų dauguma. Jeigu balsai pasiskirsto po lygiai (laikoma, kad balsai pasiskirstė po lygiai tada, kai balsų „už“ gauta tiek pat, kiek „prieš“, taip pat kai balsų „už“ gauta tiek pat, kiek „prieš“ ir susilaikiusiųjų kartu sudėjus), balsuojama dar kartą. Jeigu balsavus dar kartą balsai pasiskirsto po lygiai, skelbiama pertrauka, kurios metu komisijos nariai kartu su posėdžio pirmininku aptaria nesutarimus dėl sprendimo, derina pozicijas ir siekia kompromiso. Pertraukos trukmė negali būti ilgesnė nei 30 minučių. Konkrečią pertraukos trukmę nustato Komisija. Po pertraukos balsavimas tęsiamas balsuojant trečią kartą. Jei ir po šio balsavimo balsai pasiskirsto po lygiai, laikoma, kad sprendimas nepriimtas.“.</w:t>
                      </w:r>
                    </w:p>
                  </w:sdtContent>
                </w:sdt>
              </w:sdtContent>
            </w:sdt>
          </w:sdtContent>
        </w:sdt>
        <w:sdt>
          <w:sdtPr>
            <w:alias w:val="2 p."/>
            <w:tag w:val="part_2a7291c5087b43f2a916fb4f7207be18"/>
            <w:lock w:val="sdtLocked"/>
            <w:richText/>
          </w:sdtPr>
          <w:sdtContent>
            <w:p>
              <w:pPr>
                <w:ind w:firstLine="720"/>
                <w:jc w:val="both"/>
                <w:rPr>
                  <w:rFonts w:ascii="Verdana" w:hAnsi="Verdana"/>
                </w:rPr>
              </w:pPr>
              <w:sdt>
                <w:sdtPr>
                  <w:alias w:val="Numeris"/>
                  <w:tag w:val="nr_2a7291c5087b43f2a916fb4f7207be18"/>
                  <w:lock w:val="sdtLocked"/>
                  <w:richText/>
                </w:sdtPr>
                <w:sdtContent>
                  <w:r>
                    <w:rPr>
                      <w:rFonts w:ascii="Verdana" w:hAnsi="Verdana"/>
                      <w:szCs w:val="24"/>
                      <w:lang w:eastAsia="lt-LT"/>
                    </w:rPr>
                    <w:t>2</w:t>
                  </w:r>
                </w:sdtContent>
              </w:sdt>
              <w:r>
                <w:rPr>
                  <w:rFonts w:ascii="Verdana" w:hAnsi="Verdana"/>
                  <w:szCs w:val="24"/>
                  <w:lang w:eastAsia="lt-LT"/>
                </w:rPr>
                <w:t>. Nurodyti, kad šis sprendimas per vieną mėnesį nuo paskelbimo dienos, jeigu įstatymai nenustato kitaip, gali būti skundžiamas Lietuvos administracinių ginčų komisijos Kauno apygardos skyriui (adresu: L. Sapiegos g. 10, 44251 Kaunas) Lietuvos Respublikos ikiteisminio administracinių ginčų nagrinėjimo tvarkos įstatymo nustatyta tvarka arba tiesiogiai Regionų administraciniam teismui bet kuriuose teismo rūmuose (Vilniaus rūmai, Žygimantų g. 2, Vilnius; Kauno rūmai, A. Mickevičiaus g. 8A, Kaunas; Klaipėdos rūmai, Galinio Pylimo g. 9, Klaipėda; Šiaulių rūmai, Dvaro g. 80, Šiauliai; Panevėžio rūmai, Respublikos g. 62, Panevėžys), arba per Lietuvos teismų elektroninių paslaugų portalą https://e.teismas.lt) Lietuvos Respublikos administracinių bylų teisenos įstatymu nustatyta tvarka.</w:t>
              </w:r>
            </w:p>
            <w:p>
              <w:pPr>
                <w:rPr>
                  <w:rFonts w:ascii="Verdana" w:hAnsi="Verdana"/>
                </w:rPr>
              </w:pPr>
            </w:p>
            <w:p>
              <w:pPr>
                <w:rPr>
                  <w:rFonts w:ascii="Verdana" w:hAnsi="Verdana"/>
                </w:rPr>
                <w:sectPr>
                  <w:type w:val="continuous"/>
                  <w:pgSz w:w="11906" w:h="16838"/>
                  <w:pgMar w:top="1134" w:right="567" w:bottom="567" w:left="1701" w:header="567" w:footer="567" w:gutter="0"/>
                  <w:pgNumType w:start="1"/>
                  <w:cols w:space="1296"/>
                  <w:formProt w:val="0"/>
                  <w:titlePg/>
                  <w:docGrid w:linePitch="360"/>
                </w:sectPr>
              </w:pPr>
            </w:p>
            <w:p>
              <w:pPr>
                <w:tabs>
                  <w:tab w:val="center" w:pos="4819"/>
                  <w:tab w:val="right" w:pos="9638"/>
                </w:tabs>
                <w:rPr>
                  <w:szCs w:val="24"/>
                  <w:lang w:eastAsia="lt-LT"/>
                </w:rPr>
              </w:pPr>
            </w:p>
            <w:p>
              <w:pPr>
                <w:rPr>
                  <w:rFonts w:ascii="Verdana" w:hAnsi="Verdana"/>
                  <w:szCs w:val="24"/>
                  <w:lang w:eastAsia="lt-LT"/>
                </w:rPr>
              </w:pPr>
            </w:p>
            <w:tbl>
              <w:tblPr>
                <w:tblW w:w="6237" w:type="dxa"/>
                <w:tblLayout w:type="fixed"/>
                <w:tblCellMar>
                  <w:left w:w="0" w:type="dxa"/>
                  <w:right w:w="0" w:type="dxa"/>
                </w:tblCellMar>
                <w:tblLook w:val="04A0" w:firstRow="1" w:lastRow="0" w:firstColumn="1" w:lastColumn="0" w:noHBand="0" w:noVBand="1"/>
              </w:tblPr>
              <w:tblGrid>
                <w:gridCol w:w="6237"/>
              </w:tblGrid>
              <w:tr>
                <w:tc>
                  <w:tcPr>
                    <w:tcW w:w="6237" w:type="dxa"/>
                    <w:shd w:val="clear" w:color="auto" w:fill="auto"/>
                  </w:tcPr>
                  <w:p>
                    <w:pPr>
                      <w:rPr>
                        <w:rFonts w:ascii="Verdana" w:hAnsi="Verdana"/>
                      </w:rPr>
                    </w:pPr>
                    <w:r>
                      <w:rPr>
                        <w:rFonts w:ascii="Verdana" w:hAnsi="Verdana"/>
                      </w:rPr>
                      <w:t>Savivaldybės meras</w:t>
                    </w:r>
                  </w:p>
                </w:tc>
              </w:tr>
            </w:tbl>
            <w:p>
              <w:pPr>
                <w:rPr>
                  <w:rFonts w:ascii="Verdana" w:hAnsi="Verdana"/>
                  <w:szCs w:val="24"/>
                  <w:lang w:eastAsia="lt-LT"/>
                </w:rPr>
              </w:pPr>
              <w:r>
                <w:rPr>
                  <w:rFonts w:ascii="Verdana" w:hAnsi="Verdana"/>
                  <w:szCs w:val="24"/>
                  <w:lang w:eastAsia="lt-LT"/>
                </w:rPr>
                <w:t>Ilona Venčkauskienė</w:t>
              </w:r>
            </w:p>
            <w:p>
              <w:pPr>
                <w:rPr>
                  <w:rFonts w:ascii="Verdana" w:hAnsi="Verdana"/>
                </w:rPr>
              </w:pPr>
              <w:r>
                <w:rPr>
                  <w:rFonts w:ascii="Verdana" w:hAnsi="Verdana"/>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ed/>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rPr>
                <w:t xml:space="preserve">;  TAR </w:t>
              </w:r>
              <w:r>
                <w:rPr>
                  <w:rFonts w:ascii="Verdana" w:hAnsi="Verdana"/>
                </w:rPr>
                <w:fldChar w:fldCharType="begin" w:fldLock="1">
                  <w:ffData>
                    <w:name w:val="Tikrinti1"/>
                    <w:enabled/>
                    <w:calcOnExit w:val="0"/>
                    <w:checkBox>
                      <w:sizeAuto/>
                      <w:default w:val="0"/>
                      <w:checked w:val="0"/>
                    </w:checkBox>
                  </w:ffData>
                </w:fldChar>
              </w:r>
              <w:r>
                <w:rPr>
                  <w:rFonts w:ascii="Verdana" w:hAnsi="Verdana"/>
                </w:rPr>
                <w:instrText xml:space="preserve"> FORMCHECKBOX </w:instrText>
              </w:r>
              <w:r>
                <w:rPr>
                  <w:rFonts w:ascii="Verdana" w:hAnsi="Verdana"/>
                </w:rPr>
                <w:fldChar w:fldCharType="separate"/>
              </w:r>
              <w:r>
                <w:rPr>
                  <w:rFonts w:ascii="Verdana" w:hAnsi="Verdana"/>
                </w:rPr>
                <w:fldChar w:fldCharType="end"/>
              </w:r>
            </w:p>
            <w:p>
              <w:pPr>
                <w:rPr>
                  <w:rFonts w:ascii="Verdana" w:hAnsi="Verdana"/>
                  <w:szCs w:val="24"/>
                  <w:lang w:eastAsia="lt-LT"/>
                </w:rPr>
                <w:sectPr>
                  <w:headerReference w:type="first" r:id="rId17"/>
                  <w:type w:val="continuous"/>
                  <w:pgSz w:w="11906" w:h="16838"/>
                  <w:pgMar w:top="1134" w:right="567" w:bottom="567"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
          <w:sdtPr>
            <w:alias w:val="skirsnis"/>
            <w:tag w:val="part_9b5a38b232344c20900925ddb0de4dfd"/>
            <w:lock w:val="sdtLocked"/>
            <w:richText/>
          </w:sdtPr>
          <w:sdtContent>
            <w:p>
              <w:pPr>
                <w:jc w:val="center"/>
                <w:rPr>
                  <w:rFonts w:ascii="Verdana" w:hAnsi="Verdana"/>
                  <w:b/>
                  <w:szCs w:val="24"/>
                </w:rPr>
              </w:pPr>
              <w:sdt>
                <w:sdtPr>
                  <w:alias w:val="Pavadinimas"/>
                  <w:tag w:val="title_9b5a38b232344c20900925ddb0de4dfd"/>
                  <w:lock w:val="sdtLocked"/>
                  <w:richText/>
                </w:sdtPr>
                <w:sdtContent>
                  <w:r>
                    <w:rPr>
                      <w:rFonts w:ascii="Verdana" w:hAnsi="Verdana"/>
                      <w:b/>
                      <w:szCs w:val="24"/>
                    </w:rPr>
                    <w:t>MARIJAMPOLĖS SAVIVALDYBĖS ADMINISTRACIJOS</w:t>
                  </w:r>
                </w:sdtContent>
              </w:sdt>
            </w:p>
          </w:sdtContent>
        </w:sdt>
        <w:sdt>
          <w:sdtPr>
            <w:alias w:val="skyrius"/>
            <w:tag w:val="part_af71a5ae64524cf5a990c8c61d7fa538"/>
            <w:lock w:val="sdtLocked"/>
            <w:richText/>
          </w:sdtPr>
          <w:sdtContent>
            <w:p>
              <w:pPr>
                <w:tabs>
                  <w:tab w:val="left" w:pos="5557"/>
                  <w:tab w:val="left" w:pos="6840"/>
                  <w:tab w:val="left" w:pos="7020"/>
                </w:tabs>
                <w:jc w:val="center"/>
                <w:rPr>
                  <w:rFonts w:ascii="Verdana" w:hAnsi="Verdana"/>
                  <w:szCs w:val="24"/>
                </w:rPr>
              </w:pPr>
              <w:r>
                <w:rPr>
                  <w:rFonts w:ascii="Verdana" w:hAnsi="Verdana"/>
                  <w:b/>
                  <w:szCs w:val="24"/>
                </w:rPr>
                <w:t>BENDRŲJŲ REIKALŲ SKYRIUS</w:t>
              </w:r>
            </w:p>
            <w:p>
              <w:pPr>
                <w:jc w:val="center"/>
                <w:rPr>
                  <w:rFonts w:ascii="Verdana" w:hAnsi="Verdana"/>
                  <w:b/>
                  <w:bCs/>
                  <w:szCs w:val="24"/>
                  <w:lang w:eastAsia="lt-LT"/>
                </w:rPr>
              </w:pPr>
            </w:p>
            <w:sdt>
              <w:sdtPr>
                <w:alias w:val="Pavadinimas"/>
                <w:tag w:val="title_af71a5ae64524cf5a990c8c61d7fa538"/>
                <w:lock w:val="sdtLocked"/>
                <w:richText/>
              </w:sdtPr>
              <w:sdtContent>
                <w:p>
                  <w:pPr>
                    <w:jc w:val="center"/>
                    <w:rPr>
                      <w:rFonts w:ascii="Verdana" w:hAnsi="Verdana"/>
                      <w:b/>
                      <w:bCs/>
                      <w:szCs w:val="24"/>
                      <w:lang w:eastAsia="lt-LT"/>
                    </w:rPr>
                  </w:pPr>
                  <w:r>
                    <w:rPr>
                      <w:rFonts w:ascii="Verdana" w:hAnsi="Verdana"/>
                      <w:b/>
                      <w:bCs/>
                      <w:szCs w:val="24"/>
                      <w:lang w:eastAsia="lt-LT"/>
                    </w:rPr>
                    <w:t xml:space="preserve">AIŠKINAMASIS RAŠTAS </w:t>
                  </w:r>
                </w:p>
                <w:p>
                  <w:pPr>
                    <w:jc w:val="center"/>
                    <w:rPr>
                      <w:rFonts w:ascii="Verdana" w:hAnsi="Verdana"/>
                      <w:b/>
                      <w:bCs/>
                      <w:szCs w:val="24"/>
                      <w:lang w:eastAsia="lt-LT"/>
                    </w:rPr>
                  </w:pPr>
                  <w:r>
                    <w:rPr>
                      <w:rFonts w:ascii="Verdana" w:hAnsi="Verdana"/>
                      <w:b/>
                      <w:bCs/>
                      <w:szCs w:val="24"/>
                      <w:lang w:eastAsia="lt-LT"/>
                    </w:rPr>
                    <w:t>DĖL MARIJAMPOLĖS SAVIVALDYBĖS TARYBOS 2023 M. GEGUŽĖS 29 D. SPRENDIMO NR. 1-173 „DĖL MARIJAMPOLĖS SAVIVALDYBĖS TARYBOS PETICIJŲ KOMISIJOS SUDARYMO IR NUOSTATŲ PATVIRTINIMO“ PAKEITIMO</w:t>
                  </w:r>
                </w:p>
              </w:sdtContent>
            </w:sdt>
            <w:p>
              <w:pPr>
                <w:jc w:val="center"/>
                <w:rPr>
                  <w:rFonts w:ascii="Verdana" w:hAnsi="Verdana"/>
                  <w:szCs w:val="24"/>
                  <w:lang w:eastAsia="lt-LT"/>
                </w:rPr>
              </w:pPr>
            </w:p>
            <w:tbl>
              <w:tblPr>
                <w:tblW w:w="0" w:type="auto"/>
                <w:tblInd w:w="-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45"/>
                <w:gridCol w:w="5670"/>
              </w:tblGrid>
              <w:tr>
                <w:trPr>
                  <w:trHeight w:val="554"/>
                </w:trPr>
                <w:tc>
                  <w:tcPr>
                    <w:tcW w:w="4245" w:type="dxa"/>
                  </w:tcPr>
                  <w:p>
                    <w:pPr>
                      <w:rPr>
                        <w:rFonts w:ascii="Verdana" w:hAnsi="Verdana"/>
                        <w:szCs w:val="24"/>
                        <w:lang w:eastAsia="lt-LT"/>
                      </w:rPr>
                    </w:pPr>
                    <w:r>
                      <w:rPr>
                        <w:rFonts w:ascii="Verdana" w:hAnsi="Verdana"/>
                        <w:szCs w:val="24"/>
                        <w:lang w:eastAsia="lt-LT"/>
                      </w:rPr>
                      <w:t xml:space="preserve">Projekto pavadinimas </w:t>
                    </w:r>
                  </w:p>
                </w:tc>
                <w:tc>
                  <w:tcPr>
                    <w:tcW w:w="5670" w:type="dxa"/>
                  </w:tcPr>
                  <w:p>
                    <w:pPr>
                      <w:rPr>
                        <w:rFonts w:ascii="Verdana" w:hAnsi="Verdana"/>
                        <w:szCs w:val="24"/>
                        <w:lang w:eastAsia="lt-LT"/>
                      </w:rPr>
                    </w:pPr>
                    <w:r>
                      <w:rPr>
                        <w:rFonts w:ascii="Verdana" w:hAnsi="Verdana"/>
                        <w:szCs w:val="24"/>
                        <w:lang w:eastAsia="lt-LT"/>
                      </w:rPr>
                      <w:t>Dėl Marijampolės savivaldybės tarybos 2023 m. gegužės 29 d. sprendimo „Dėl Marijampolės savivaldybės tarybos peticijų komisijos sudarymo ir nuostatų patvirtinimo“ pakeitimo</w:t>
                    </w:r>
                  </w:p>
                </w:tc>
              </w:tr>
              <w:tr>
                <w:trPr>
                  <w:trHeight w:val="554"/>
                </w:trPr>
                <w:tc>
                  <w:tcPr>
                    <w:tcW w:w="4245" w:type="dxa"/>
                  </w:tcPr>
                  <w:p>
                    <w:pPr>
                      <w:rPr>
                        <w:rFonts w:ascii="Verdana" w:hAnsi="Verdana"/>
                        <w:szCs w:val="24"/>
                        <w:lang w:eastAsia="lt-LT"/>
                      </w:rPr>
                    </w:pPr>
                    <w:r>
                      <w:rPr>
                        <w:rFonts w:ascii="Verdana" w:hAnsi="Verdana"/>
                        <w:szCs w:val="24"/>
                        <w:lang w:eastAsia="lt-LT"/>
                      </w:rPr>
                      <w:t xml:space="preserve">Parengto sprendimo projekto tikslai ir uždaviniai </w:t>
                    </w:r>
                  </w:p>
                </w:tc>
                <w:tc>
                  <w:tcPr>
                    <w:tcW w:w="5670" w:type="dxa"/>
                  </w:tcPr>
                  <w:p>
                    <w:pPr>
                      <w:rPr>
                        <w:rFonts w:ascii="Verdana" w:hAnsi="Verdana"/>
                        <w:szCs w:val="24"/>
                        <w:lang w:eastAsia="lt-LT"/>
                      </w:rPr>
                    </w:pPr>
                    <w:r>
                      <w:rPr>
                        <w:rFonts w:ascii="Verdana" w:hAnsi="Verdana"/>
                        <w:szCs w:val="24"/>
                        <w:lang w:eastAsia="lt-LT"/>
                      </w:rPr>
                      <w:t>Atnaujinti Marijampolės savivaldybės tarybos peticijų komisijos nuostatus pagal LR vietos savivaldos įstatymo ir Marijampolės savivaldybės tarybos veiklos reglamento nuostatas</w:t>
                    </w:r>
                  </w:p>
                </w:tc>
              </w:tr>
              <w:tr>
                <w:trPr>
                  <w:trHeight w:val="699"/>
                </w:trPr>
                <w:tc>
                  <w:tcPr>
                    <w:tcW w:w="4245" w:type="dxa"/>
                  </w:tcPr>
                  <w:p>
                    <w:pPr>
                      <w:rPr>
                        <w:rFonts w:ascii="Verdana" w:hAnsi="Verdana"/>
                        <w:szCs w:val="24"/>
                        <w:lang w:eastAsia="lt-LT"/>
                      </w:rPr>
                    </w:pPr>
                    <w:r>
                      <w:rPr>
                        <w:rFonts w:ascii="Verdana" w:hAnsi="Verdana"/>
                        <w:szCs w:val="24"/>
                        <w:lang w:eastAsia="lt-LT"/>
                      </w:rPr>
                      <w:t xml:space="preserve">Numatomos naujos teisinio reglamentavimo nuostatos, priėmus sprendimą laukiami rezultatai </w:t>
                    </w:r>
                  </w:p>
                </w:tc>
                <w:tc>
                  <w:tcPr>
                    <w:tcW w:w="5670" w:type="dxa"/>
                  </w:tcPr>
                  <w:p>
                    <w:pPr>
                      <w:rPr>
                        <w:rFonts w:ascii="Verdana" w:hAnsi="Verdana"/>
                        <w:szCs w:val="24"/>
                        <w:lang w:eastAsia="lt-LT"/>
                      </w:rPr>
                    </w:pPr>
                    <w:r>
                      <w:rPr>
                        <w:rFonts w:ascii="Verdana" w:hAnsi="Verdana"/>
                        <w:szCs w:val="24"/>
                        <w:lang w:eastAsia="lt-LT"/>
                      </w:rPr>
                      <w:t>Bus įgyvendintos LR vietos savivaldos įstatymo ir Marijampolės savivaldybės tarybos veiklos reglamento nuostatos, reglamentuojančios Peticijų komisijos veiklą</w:t>
                    </w:r>
                  </w:p>
                </w:tc>
              </w:tr>
              <w:tr>
                <w:trPr>
                  <w:trHeight w:val="264"/>
                </w:trPr>
                <w:tc>
                  <w:tcPr>
                    <w:tcW w:w="4245" w:type="dxa"/>
                  </w:tcPr>
                  <w:p>
                    <w:pPr>
                      <w:rPr>
                        <w:rFonts w:ascii="Verdana" w:hAnsi="Verdana"/>
                        <w:szCs w:val="24"/>
                        <w:lang w:eastAsia="lt-LT"/>
                      </w:rPr>
                    </w:pPr>
                    <w:r>
                      <w:rPr>
                        <w:rFonts w:ascii="Verdana" w:hAnsi="Verdana"/>
                        <w:szCs w:val="24"/>
                        <w:lang w:eastAsia="lt-LT"/>
                      </w:rPr>
                      <w:t xml:space="preserve">Savivaldybės biudžeto lėšų poreikis ir šaltiniai </w:t>
                    </w:r>
                  </w:p>
                </w:tc>
                <w:tc>
                  <w:tcPr>
                    <w:tcW w:w="5670" w:type="dxa"/>
                  </w:tcPr>
                  <w:p>
                    <w:pPr>
                      <w:rPr>
                        <w:rFonts w:ascii="Verdana" w:hAnsi="Verdana"/>
                        <w:szCs w:val="24"/>
                        <w:lang w:eastAsia="lt-LT"/>
                      </w:rPr>
                    </w:pPr>
                    <w:r>
                      <w:rPr>
                        <w:rFonts w:ascii="Verdana" w:hAnsi="Verdana"/>
                        <w:szCs w:val="24"/>
                        <w:lang w:eastAsia="lt-LT"/>
                      </w:rPr>
                      <w:t xml:space="preserve">- </w:t>
                    </w:r>
                  </w:p>
                </w:tc>
              </w:tr>
              <w:tr>
                <w:trPr>
                  <w:trHeight w:val="699"/>
                </w:trPr>
                <w:tc>
                  <w:tcPr>
                    <w:tcW w:w="4245" w:type="dxa"/>
                  </w:tcPr>
                  <w:p>
                    <w:pPr>
                      <w:rPr>
                        <w:rFonts w:ascii="Verdana" w:hAnsi="Verdana"/>
                        <w:szCs w:val="24"/>
                        <w:lang w:eastAsia="lt-LT"/>
                      </w:rPr>
                    </w:pPr>
                    <w:r>
                      <w:rPr>
                        <w:rFonts w:ascii="Verdana" w:hAnsi="Verdana"/>
                        <w:szCs w:val="24"/>
                        <w:lang w:eastAsia="lt-LT"/>
                      </w:rPr>
                      <w:t xml:space="preserve">Kiti sprendimui priimti ar rengėjo nuomone reikalingi pagrindimai, skaičiavimai ar paaiškinimai </w:t>
                    </w:r>
                  </w:p>
                </w:tc>
                <w:tc>
                  <w:tcPr>
                    <w:tcW w:w="5670" w:type="dxa"/>
                  </w:tcPr>
                  <w:p>
                    <w:pPr>
                      <w:rPr>
                        <w:rFonts w:ascii="Verdana" w:hAnsi="Verdana"/>
                        <w:szCs w:val="24"/>
                        <w:lang w:eastAsia="lt-LT"/>
                      </w:rPr>
                    </w:pPr>
                    <w:r>
                      <w:rPr>
                        <w:rFonts w:ascii="Verdana" w:hAnsi="Verdana"/>
                        <w:szCs w:val="24"/>
                        <w:lang w:eastAsia="lt-LT"/>
                      </w:rPr>
                      <w:t xml:space="preserve">- </w:t>
                    </w:r>
                  </w:p>
                </w:tc>
              </w:tr>
              <w:tr>
                <w:trPr>
                  <w:trHeight w:val="554"/>
                </w:trPr>
                <w:tc>
                  <w:tcPr>
                    <w:tcW w:w="4245" w:type="dxa"/>
                  </w:tcPr>
                  <w:p>
                    <w:pPr>
                      <w:rPr>
                        <w:rFonts w:ascii="Verdana" w:hAnsi="Verdana"/>
                        <w:szCs w:val="24"/>
                        <w:lang w:eastAsia="lt-LT"/>
                      </w:rPr>
                    </w:pPr>
                    <w:r>
                      <w:rPr>
                        <w:rFonts w:ascii="Verdana" w:hAnsi="Verdana"/>
                        <w:szCs w:val="24"/>
                        <w:lang w:eastAsia="lt-LT"/>
                      </w:rPr>
                      <w:t xml:space="preserve">Sprendimo projekto rengėjas ar rengėjų grupė, sprendimo projekto iniciatoriai </w:t>
                    </w:r>
                  </w:p>
                </w:tc>
                <w:tc>
                  <w:tcPr>
                    <w:tcW w:w="5670" w:type="dxa"/>
                  </w:tcPr>
                  <w:p>
                    <w:pPr>
                      <w:rPr>
                        <w:rFonts w:ascii="Verdana" w:hAnsi="Verdana"/>
                        <w:szCs w:val="24"/>
                        <w:lang w:eastAsia="lt-LT"/>
                      </w:rPr>
                    </w:pPr>
                    <w:r>
                      <w:rPr>
                        <w:rFonts w:ascii="Verdana" w:hAnsi="Verdana"/>
                        <w:szCs w:val="24"/>
                        <w:lang w:eastAsia="lt-LT"/>
                      </w:rPr>
                      <w:t>Peticijų komisija,</w:t>
                    </w:r>
                  </w:p>
                  <w:p>
                    <w:pPr>
                      <w:rPr>
                        <w:rFonts w:ascii="Verdana" w:hAnsi="Verdana"/>
                        <w:szCs w:val="24"/>
                        <w:lang w:eastAsia="lt-LT"/>
                      </w:rPr>
                    </w:pPr>
                    <w:r>
                      <w:rPr>
                        <w:rFonts w:ascii="Verdana" w:hAnsi="Verdana"/>
                        <w:szCs w:val="24"/>
                        <w:lang w:eastAsia="lt-LT"/>
                      </w:rPr>
                      <w:t>Bendrųjų reikalų skyriaus vyriausioji specialistė Ilona Venčkauskienė</w:t>
                    </w:r>
                  </w:p>
                </w:tc>
              </w:tr>
              <w:tr>
                <w:trPr>
                  <w:trHeight w:val="699"/>
                </w:trPr>
                <w:tc>
                  <w:tcPr>
                    <w:tcW w:w="4245" w:type="dxa"/>
                  </w:tcPr>
                  <w:p>
                    <w:pPr>
                      <w:rPr>
                        <w:rFonts w:ascii="Verdana" w:hAnsi="Verdana"/>
                        <w:szCs w:val="24"/>
                        <w:lang w:eastAsia="lt-LT"/>
                      </w:rPr>
                    </w:pPr>
                    <w:r>
                      <w:rPr>
                        <w:rFonts w:ascii="Verdana" w:hAnsi="Verdana"/>
                        <w:szCs w:val="24"/>
                        <w:lang w:eastAsia="lt-LT"/>
                      </w:rPr>
                      <w:t xml:space="preserve">Numatomo teisinio reguliavimo poveikio vertinimo rezultatai (jei tokį vertinimą reikia atlikti) </w:t>
                    </w:r>
                  </w:p>
                </w:tc>
                <w:tc>
                  <w:tcPr>
                    <w:tcW w:w="5670" w:type="dxa"/>
                  </w:tcPr>
                  <w:p>
                    <w:pPr>
                      <w:rPr>
                        <w:rFonts w:ascii="Verdana" w:hAnsi="Verdana"/>
                        <w:szCs w:val="24"/>
                        <w:lang w:eastAsia="lt-LT"/>
                      </w:rPr>
                    </w:pPr>
                    <w:r>
                      <w:rPr>
                        <w:rFonts w:ascii="Verdana" w:hAnsi="Verdana"/>
                        <w:szCs w:val="24"/>
                        <w:lang w:eastAsia="lt-LT"/>
                      </w:rPr>
                      <w:t xml:space="preserve">- </w:t>
                    </w:r>
                  </w:p>
                </w:tc>
              </w:tr>
              <w:tr>
                <w:trPr>
                  <w:trHeight w:val="261"/>
                </w:trPr>
                <w:tc>
                  <w:tcPr>
                    <w:tcW w:w="4245" w:type="dxa"/>
                  </w:tcPr>
                  <w:p>
                    <w:pPr>
                      <w:rPr>
                        <w:rFonts w:ascii="Verdana" w:hAnsi="Verdana"/>
                        <w:szCs w:val="24"/>
                        <w:lang w:eastAsia="lt-LT"/>
                      </w:rPr>
                    </w:pPr>
                    <w:r>
                      <w:rPr>
                        <w:rFonts w:ascii="Verdana" w:hAnsi="Verdana"/>
                        <w:szCs w:val="24"/>
                        <w:lang w:eastAsia="lt-LT"/>
                      </w:rPr>
                      <w:t xml:space="preserve">Projektas turi būti suderintas </w:t>
                    </w:r>
                  </w:p>
                </w:tc>
                <w:tc>
                  <w:tcPr>
                    <w:tcW w:w="5670" w:type="dxa"/>
                  </w:tcPr>
                  <w:p>
                    <w:pPr>
                      <w:rPr>
                        <w:rFonts w:ascii="Verdana" w:hAnsi="Verdana"/>
                        <w:szCs w:val="24"/>
                        <w:lang w:eastAsia="lt-LT"/>
                      </w:rPr>
                    </w:pPr>
                    <w:r>
                      <w:rPr>
                        <w:rFonts w:ascii="Verdana" w:hAnsi="Verdana"/>
                        <w:szCs w:val="24"/>
                        <w:lang w:eastAsia="lt-LT"/>
                      </w:rPr>
                      <w:t>Peticijų komisija, Bendrųjų reikalų skyriumi,</w:t>
                    </w:r>
                    <w:r>
                      <w:rPr>
                        <w:rFonts w:ascii="Verdana" w:hAnsi="Verdana"/>
                        <w:color w:val="FF0000"/>
                        <w:szCs w:val="24"/>
                        <w:lang w:eastAsia="lt-LT"/>
                      </w:rPr>
                      <w:t xml:space="preserve"> </w:t>
                    </w:r>
                    <w:r>
                      <w:rPr>
                        <w:rFonts w:ascii="Verdana" w:hAnsi="Verdana"/>
                        <w:szCs w:val="24"/>
                        <w:lang w:eastAsia="lt-LT"/>
                      </w:rPr>
                      <w:t xml:space="preserve">Teisės ir civilinės metrikacijos skyriumi, Administracijos direktoriumi </w:t>
                    </w:r>
                  </w:p>
                </w:tc>
              </w:tr>
              <w:tr>
                <w:trPr>
                  <w:trHeight w:val="116"/>
                </w:trPr>
                <w:tc>
                  <w:tcPr>
                    <w:tcW w:w="4245" w:type="dxa"/>
                  </w:tcPr>
                  <w:p>
                    <w:pPr>
                      <w:rPr>
                        <w:rFonts w:ascii="Verdana" w:hAnsi="Verdana"/>
                        <w:szCs w:val="24"/>
                        <w:lang w:eastAsia="lt-LT"/>
                      </w:rPr>
                    </w:pPr>
                    <w:r>
                      <w:rPr>
                        <w:rFonts w:ascii="Verdana" w:hAnsi="Verdana"/>
                        <w:szCs w:val="24"/>
                        <w:lang w:eastAsia="lt-LT"/>
                      </w:rPr>
                      <w:t xml:space="preserve">Pranešėjas </w:t>
                    </w:r>
                  </w:p>
                </w:tc>
                <w:tc>
                  <w:tcPr>
                    <w:tcW w:w="5670" w:type="dxa"/>
                  </w:tcPr>
                  <w:p>
                    <w:pPr>
                      <w:rPr>
                        <w:rFonts w:ascii="Verdana" w:hAnsi="Verdana"/>
                        <w:szCs w:val="24"/>
                        <w:lang w:eastAsia="lt-LT"/>
                      </w:rPr>
                    </w:pPr>
                    <w:r>
                      <w:rPr>
                        <w:rFonts w:ascii="Verdana" w:hAnsi="Verdana"/>
                        <w:szCs w:val="24"/>
                        <w:lang w:eastAsia="lt-LT"/>
                      </w:rPr>
                      <w:t xml:space="preserve">Vilija Vainalavičienė </w:t>
                    </w:r>
                  </w:p>
                </w:tc>
              </w:tr>
              <w:tr>
                <w:trPr>
                  <w:trHeight w:val="699"/>
                </w:trPr>
                <w:tc>
                  <w:tcPr>
                    <w:tcW w:w="4245" w:type="dxa"/>
                  </w:tcPr>
                  <w:p>
                    <w:pPr>
                      <w:rPr>
                        <w:rFonts w:ascii="Verdana" w:hAnsi="Verdana"/>
                        <w:szCs w:val="24"/>
                        <w:lang w:eastAsia="lt-LT"/>
                      </w:rPr>
                    </w:pPr>
                    <w:r>
                      <w:rPr>
                        <w:rFonts w:ascii="Verdana" w:hAnsi="Verdana"/>
                        <w:szCs w:val="24"/>
                        <w:lang w:eastAsia="lt-LT"/>
                      </w:rPr>
                      <w:t xml:space="preserve">Adresatai, kuriems reikia siųsti sprendimo nuorašą, arba asmenys, kuriems reikia siųsti sprendimą susipažinti </w:t>
                    </w:r>
                  </w:p>
                </w:tc>
                <w:tc>
                  <w:tcPr>
                    <w:tcW w:w="5670" w:type="dxa"/>
                  </w:tcPr>
                  <w:p>
                    <w:pPr>
                      <w:rPr>
                        <w:rFonts w:ascii="Verdana" w:hAnsi="Verdana"/>
                        <w:szCs w:val="24"/>
                        <w:lang w:eastAsia="lt-LT"/>
                      </w:rPr>
                    </w:pPr>
                    <w:r>
                      <w:rPr>
                        <w:rFonts w:ascii="Verdana" w:hAnsi="Verdana"/>
                        <w:szCs w:val="24"/>
                        <w:lang w:eastAsia="lt-LT"/>
                      </w:rPr>
                      <w:t xml:space="preserve">Peticijų komisijos nariai: Eugenijus Alesius, Jonas Bieliauskas, Irena Lunskienė, Lina Sarpalienė, Tarybos posėdžių sekretorė. </w:t>
                    </w:r>
                  </w:p>
                </w:tc>
              </w:tr>
            </w:tbl>
            <w:p>
              <w:pPr>
                <w:rPr>
                  <w:rFonts w:ascii="Verdana" w:hAnsi="Verdana"/>
                  <w:szCs w:val="24"/>
                  <w:lang w:eastAsia="lt-LT"/>
                </w:rPr>
              </w:pPr>
            </w:p>
          </w:sdtContent>
        </w:sdt>
      </w:sdtContent>
    </w:sdt>
    <w:sectPr>
      <w:pgSz w:w="11906" w:h="16838"/>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DengXian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1038"/>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84DBD93C-6F7E-4FF8-AC45-CA75A41EE31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hyperlink" TargetMode="External" Target="https://www.e-tar.lt/portal/lt/legalAct/TAR.D0CD0966D67F/asr"/>
  <Relationship Id="rId17" Type="http://schemas.openxmlformats.org/officeDocument/2006/relationships/header" Target="header4.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4a51975236f4faeb34452a82ef42ce6" PartId="89c1606fecd44d57933d201b32e9c820">
    <Part Type="preambule" DocPartId="31ca6b81fa174ce9a5767aa2509ed84b" PartId="e9a3e681e5044611bcda578c6aea56a9"/>
    <Part Type="punktas" Nr="1" Abbr="1 p." DocPartId="a5317bed7f7847868629445547d5f742" PartId="ad3bb798a91f4920a9c7bc98fa6ee3b2">
      <Part Type="citata" DocPartId="73db054d49274d9db6a2af5007daad6f" PartId="7ac4505007514301a7fcb1988a28e6bf">
        <Part Type="punktas" Nr="12" Abbr="12 p." DocPartId="0cb48890c16840ad939e4c8a646fb751" PartId="223cf0b969ea49e59c7d8e2a170caeda"/>
      </Part>
    </Part>
    <Part Type="punktas" Nr="2" Abbr="2 p." DocPartId="c3882fb563fb45d8acd08feea05182fe" PartId="2a7291c5087b43f2a916fb4f7207be18"/>
    <Part Type="skirsnis" Title="MARIJAMPOLĖS SAVIVALDYBĖS ADMINISTRACIJOS" DocPartId="b4ffac88faea463aa2c11af79b4a0542" PartId="9b5a38b232344c20900925ddb0de4dfd"/>
    <Part Type="skyrius" Nr="999" Title="AIŠKINAMASIS RAŠTAS DĖL MARIJAMPOLĖS SAVIVALDYBĖS TARYBOS 2023 M. GEGUŽĖS 29 D. SPRENDIMO NR. 1-173 „DĖL MARIJAMPOLĖS SAVIVALDYBĖS TARYBOS PETICIJŲ KOMISIJOS SUDARYMO IR NUOSTATŲ PATVIRTINIMO“ PAKEITIMO" DocPartId="89375412759c45ae9905c6413475ca77" PartId="af71a5ae64524cf5a990c8c61d7fa538"/>
  </Part>
</Parts>
</file>

<file path=customXml/itemProps1.xml><?xml version="1.0" encoding="utf-8"?>
<ds:datastoreItem xmlns:ds="http://schemas.openxmlformats.org/officeDocument/2006/customXml" ds:itemID="{F89B8B48-849D-4307-910F-7E9776D2EE2D}">
  <ds:schemaRefs>
    <ds:schemaRef ds:uri="http://schemas.openxmlformats.org/officeDocument/2006/bibliography"/>
  </ds:schemaRefs>
</ds:datastoreItem>
</file>

<file path=customXml/itemProps2.xml><?xml version="1.0" encoding="utf-8"?>
<ds:datastoreItem xmlns:ds="http://schemas.openxmlformats.org/officeDocument/2006/customXml" ds:itemID="{6482F23F-F3F4-433B-A483-8826DB93E31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579</Words>
  <Characters>4211</Characters>
  <Application>Microsoft Office Word</Application>
  <DocSecurity>4</DocSecurity>
  <Lines>123</Lines>
  <Paragraphs>44</Paragraphs>
  <ScaleCrop>false</ScaleCrop>
  <Company>mas</Company>
  <LinksUpToDate>false</LinksUpToDate>
  <CharactersWithSpaces>4746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2025-04-17T12:28:00Z</dcterms:created>
  <dc:creator>Giedrė Česnavičiūtė</dc:creator>
  <lastModifiedBy>adlibuser</lastModifiedBy>
  <lastPrinted>2411-12-31T21:59:00Z</lastPrinted>
  <dcterms:modified xsi:type="dcterms:W3CDTF">2025-04-17T12:28:00Z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A94F311538F04CB2A607F01DAB34AB24_13</vt:lpwstr>
  </property>
</Properties>
</file>