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a119a07fe0e48a299aeef1f1b2fbde9"/>
        <w:lock w:val="sdtLocked"/>
        <w:richText/>
      </w:sdtPr>
      <w:sdtContent>
        <w:p w14:paraId="76784BB5" w14:textId="77777777">
          <w:pPr>
            <w:tabs>
              <w:tab w:val="center" w:pos="4513"/>
              <w:tab w:val="right" w:pos="9026"/>
            </w:tabs>
          </w:pPr>
        </w:p>
        <w:p w14:paraId="465617D0" w14:textId="77777777">
          <w:pPr>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ind w:firstLine="8060"/>
            <w:jc w:val="right"/>
            <w:rPr>
              <w:b/>
              <w:szCs w:val="24"/>
              <w:lang w:eastAsia="lt-LT"/>
            </w:rPr>
          </w:pPr>
        </w:p>
        <w:p w14:paraId="6FDC5C6D" w14:textId="77777777">
          <w:pPr>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jc w:val="right"/>
            <w:rPr>
              <w:b/>
              <w:szCs w:val="24"/>
              <w:lang w:eastAsia="lt-LT"/>
            </w:rPr>
          </w:pPr>
          <w:r>
            <w:rPr>
              <w:b/>
              <w:szCs w:val="24"/>
              <w:lang w:eastAsia="lt-LT"/>
            </w:rPr>
            <w:t>Projektas</w:t>
          </w:r>
        </w:p>
        <w:p w14:paraId="73D2C7F1" w14:textId="77777777">
          <w:pPr>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jc w:val="center"/>
            <w:rPr>
              <w:b/>
              <w:szCs w:val="24"/>
              <w:lang w:eastAsia="lt-LT"/>
            </w:rPr>
          </w:pPr>
        </w:p>
        <w:p w14:paraId="784D5C9D" w14:textId="77777777">
          <w:pPr>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jc w:val="center"/>
            <w:rPr>
              <w:b/>
              <w:szCs w:val="24"/>
              <w:lang w:eastAsia="lt-LT"/>
            </w:rPr>
          </w:pPr>
          <w:r>
            <w:rPr>
              <w:b/>
              <w:szCs w:val="24"/>
              <w:lang w:eastAsia="lt-LT"/>
            </w:rPr>
            <w:t>LIETUVOS RESPUBLIKOS</w:t>
          </w:r>
        </w:p>
        <w:p w14:paraId="4AE6DACF" w14:textId="77777777">
          <w:pPr>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jc w:val="center"/>
            <w:rPr>
              <w:b/>
              <w:szCs w:val="24"/>
              <w:lang w:eastAsia="lt-LT"/>
            </w:rPr>
          </w:pPr>
          <w:r>
            <w:rPr>
              <w:b/>
              <w:szCs w:val="24"/>
              <w:lang w:eastAsia="lt-LT"/>
            </w:rPr>
            <w:t xml:space="preserve">PAREIGINĖS ALGOS (ATLYGINIMO) BAZINIO DYDŽIO </w:t>
          </w:r>
        </w:p>
        <w:p w14:paraId="15652712" w14:textId="77777777">
          <w:pPr>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jc w:val="center"/>
            <w:rPr>
              <w:b/>
              <w:szCs w:val="24"/>
              <w:lang w:eastAsia="lt-LT"/>
            </w:rPr>
          </w:pPr>
          <w:r>
            <w:rPr>
              <w:b/>
              <w:szCs w:val="24"/>
              <w:lang w:eastAsia="lt-LT"/>
            </w:rPr>
            <w:t>ĮSTATYMAS</w:t>
          </w:r>
        </w:p>
        <w:p w14:paraId="64989848" w14:textId="77777777">
          <w:pPr>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jc w:val="center"/>
            <w:rPr>
              <w:szCs w:val="24"/>
              <w:lang w:eastAsia="lt-LT"/>
            </w:rPr>
          </w:pPr>
        </w:p>
        <w:p w14:paraId="4D16EB94" w14:textId="429E8225">
          <w:pPr>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jc w:val="center"/>
            <w:rPr>
              <w:szCs w:val="24"/>
              <w:lang w:eastAsia="lt-LT"/>
            </w:rPr>
          </w:pPr>
          <w:r>
            <w:rPr>
              <w:szCs w:val="24"/>
              <w:lang w:eastAsia="lt-LT"/>
            </w:rPr>
            <w:t>Nr.</w:t>
          </w:r>
        </w:p>
        <w:p w14:paraId="03587C6A" w14:textId="77777777">
          <w:pPr>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jc w:val="center"/>
            <w:rPr>
              <w:szCs w:val="24"/>
              <w:lang w:eastAsia="lt-LT"/>
            </w:rPr>
          </w:pPr>
          <w:r>
            <w:rPr>
              <w:szCs w:val="24"/>
              <w:lang w:eastAsia="lt-LT"/>
            </w:rPr>
            <w:t>Vilnius</w:t>
          </w:r>
        </w:p>
        <w:p w14:paraId="74A99458" w14:textId="77777777">
          <w:pPr>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rPr>
              <w:b/>
              <w:bCs/>
              <w:szCs w:val="24"/>
              <w:lang w:eastAsia="lt-LT"/>
            </w:rPr>
          </w:pPr>
        </w:p>
        <w:sdt>
          <w:sdtPr>
            <w:alias w:val="1 str."/>
            <w:tag w:val="part_dcaf10b5ac9746aa90bac7ee815f6a1d"/>
            <w:lock w:val="sdtLocked"/>
            <w:richText/>
          </w:sdtPr>
          <w:sdtContent>
            <w:p w14:paraId="28ACE9C2" w14:textId="77777777">
              <w:pPr>
                <w:tabs>
                  <w:tab w:val="left" w:pos="916"/>
                  <w:tab w:val="left" w:pos="1832"/>
                  <w:tab w:val="left" w:pos="2748"/>
                  <w:tab w:val="left" w:pos="3664"/>
                  <w:tab w:val="left" w:pos="4580"/>
                  <w:tab w:val="left" w:pos="5496"/>
                  <w:tab w:val="left" w:pos="6412"/>
                  <w:tab w:val="left" w:pos="7328"/>
                  <w:tab w:val="left" w:pos="8244"/>
                  <w:tab w:val="left" w:pos="9498"/>
                  <w:tab w:val="left" w:pos="10076"/>
                  <w:tab w:val="left" w:pos="10992"/>
                  <w:tab w:val="left" w:pos="11908"/>
                  <w:tab w:val="left" w:pos="12824"/>
                  <w:tab w:val="left" w:pos="13740"/>
                  <w:tab w:val="left" w:pos="14656"/>
                </w:tabs>
                <w:spacing w:line="276" w:lineRule="auto"/>
                <w:ind w:firstLine="851"/>
                <w:jc w:val="both"/>
                <w:rPr>
                  <w:szCs w:val="24"/>
                  <w:lang w:eastAsia="lt-LT"/>
                </w:rPr>
              </w:pPr>
              <w:sdt>
                <w:sdtPr>
                  <w:alias w:val="Numeris"/>
                  <w:tag w:val="nr_dcaf10b5ac9746aa90bac7ee815f6a1d"/>
                  <w:lock w:val="sdtLocked"/>
                  <w:richText/>
                </w:sdtPr>
                <w:sdtContent>
                  <w:r>
                    <w:rPr>
                      <w:b/>
                      <w:bCs/>
                      <w:szCs w:val="24"/>
                      <w:lang w:eastAsia="lt-LT"/>
                    </w:rPr>
                    <w:t>1</w:t>
                  </w:r>
                </w:sdtContent>
              </w:sdt>
              <w:r>
                <w:rPr>
                  <w:b/>
                  <w:bCs/>
                  <w:szCs w:val="24"/>
                  <w:lang w:eastAsia="lt-LT"/>
                </w:rPr>
                <w:t xml:space="preserve"> straipsnis. </w:t>
              </w:r>
              <w:sdt>
                <w:sdtPr>
                  <w:alias w:val="Pavadinimas"/>
                  <w:tag w:val="title_dcaf10b5ac9746aa90bac7ee815f6a1d"/>
                  <w:lock w:val="sdtLocked"/>
                  <w:richText/>
                </w:sdtPr>
                <w:sdtContent>
                  <w:r>
                    <w:rPr>
                      <w:b/>
                      <w:szCs w:val="24"/>
                      <w:lang w:eastAsia="lt-LT"/>
                    </w:rPr>
                    <w:t>Įstatymo paskirtis</w:t>
                  </w:r>
                </w:sdtContent>
              </w:sdt>
            </w:p>
            <w:sdt>
              <w:sdtPr>
                <w:alias w:val="1 str. 1 d."/>
                <w:tag w:val="part_b71ca94c87f14f55a3367d91295590c1"/>
                <w:lock w:val="sdtLocked"/>
                <w:richText/>
              </w:sdtPr>
              <w:sdtContent>
                <w:p w14:paraId="0C907FA3" w14:textId="613DEA10">
                  <w:pPr>
                    <w:tabs>
                      <w:tab w:val="left" w:pos="916"/>
                      <w:tab w:val="left" w:pos="1832"/>
                      <w:tab w:val="left" w:pos="2748"/>
                      <w:tab w:val="left" w:pos="3664"/>
                      <w:tab w:val="left" w:pos="4580"/>
                      <w:tab w:val="left" w:pos="5496"/>
                      <w:tab w:val="left" w:pos="6412"/>
                      <w:tab w:val="left" w:pos="7328"/>
                      <w:tab w:val="left" w:pos="8244"/>
                      <w:tab w:val="left" w:pos="9160"/>
                      <w:tab w:val="left" w:pos="9498"/>
                      <w:tab w:val="left" w:pos="10076"/>
                      <w:tab w:val="left" w:pos="10992"/>
                      <w:tab w:val="left" w:pos="11908"/>
                      <w:tab w:val="left" w:pos="12824"/>
                      <w:tab w:val="left" w:pos="13740"/>
                      <w:tab w:val="left" w:pos="14656"/>
                    </w:tabs>
                    <w:spacing w:line="276" w:lineRule="auto"/>
                    <w:ind w:firstLine="851"/>
                    <w:jc w:val="both"/>
                    <w:rPr>
                      <w:lang w:eastAsia="lt-LT"/>
                    </w:rPr>
                  </w:pPr>
                  <w:r>
                    <w:rPr>
                      <w:lang w:eastAsia="lt-LT"/>
                    </w:rPr>
                    <w:t>Šis įstatymas nustato pareiginės algos (atlyginimo) bazinį dydį</w:t>
                  </w:r>
                  <w:r>
                    <w:t xml:space="preserve"> </w:t>
                  </w:r>
                  <w:r>
                    <w:rPr>
                      <w:lang w:eastAsia="lt-LT"/>
                    </w:rPr>
                    <w:t>ir jo peržiūrėjimą.</w:t>
                  </w:r>
                </w:p>
                <w:p w14:paraId="1E7D409F" w14:textId="77777777">
                  <w:pPr>
                    <w:tabs>
                      <w:tab w:val="left" w:pos="9498"/>
                    </w:tabs>
                    <w:spacing w:line="276" w:lineRule="auto"/>
                    <w:ind w:firstLine="851"/>
                    <w:jc w:val="both"/>
                    <w:rPr>
                      <w:szCs w:val="24"/>
                      <w:lang w:eastAsia="lt-LT"/>
                    </w:rPr>
                  </w:pPr>
                </w:p>
              </w:sdtContent>
            </w:sdt>
          </w:sdtContent>
        </w:sdt>
        <w:sdt>
          <w:sdtPr>
            <w:alias w:val="2 str."/>
            <w:tag w:val="part_7f0de7f2eb00463585bc6d671993eba1"/>
            <w:lock w:val="sdtLocked"/>
            <w:richText/>
          </w:sdtPr>
          <w:sdtContent>
            <w:p w14:paraId="4624D446" w14:textId="77777777">
              <w:pPr>
                <w:tabs>
                  <w:tab w:val="left" w:pos="9498"/>
                </w:tabs>
                <w:spacing w:line="276" w:lineRule="auto"/>
                <w:ind w:firstLine="851"/>
                <w:jc w:val="both"/>
                <w:rPr>
                  <w:szCs w:val="24"/>
                  <w:lang w:eastAsia="lt-LT"/>
                </w:rPr>
              </w:pPr>
              <w:sdt>
                <w:sdtPr>
                  <w:alias w:val="Numeris"/>
                  <w:tag w:val="nr_7f0de7f2eb00463585bc6d671993eba1"/>
                  <w:lock w:val="sdtLocked"/>
                  <w:richText/>
                </w:sdtPr>
                <w:sdtContent>
                  <w:r>
                    <w:rPr>
                      <w:b/>
                      <w:bCs/>
                      <w:szCs w:val="24"/>
                      <w:lang w:eastAsia="lt-LT"/>
                    </w:rPr>
                    <w:t>2</w:t>
                  </w:r>
                </w:sdtContent>
              </w:sdt>
              <w:r>
                <w:rPr>
                  <w:b/>
                  <w:bCs/>
                  <w:szCs w:val="24"/>
                  <w:lang w:eastAsia="lt-LT"/>
                </w:rPr>
                <w:t xml:space="preserve"> straipsnis. </w:t>
              </w:r>
              <w:sdt>
                <w:sdtPr>
                  <w:alias w:val="Pavadinimas"/>
                  <w:tag w:val="title_7f0de7f2eb00463585bc6d671993eba1"/>
                  <w:lock w:val="sdtLocked"/>
                  <w:richText/>
                </w:sdtPr>
                <w:sdtContent>
                  <w:r>
                    <w:rPr>
                      <w:b/>
                      <w:szCs w:val="24"/>
                      <w:lang w:eastAsia="lt-LT"/>
                    </w:rPr>
                    <w:t>Įstatymo taikymas</w:t>
                  </w:r>
                </w:sdtContent>
              </w:sdt>
            </w:p>
            <w:sdt>
              <w:sdtPr>
                <w:alias w:val="2 str. 1 d."/>
                <w:tag w:val="part_bfeeea841b3a4a44bb6c7dea0002c803"/>
                <w:lock w:val="sdtLocked"/>
                <w:richText/>
              </w:sdtPr>
              <w:sdtContent>
                <w:p w14:paraId="0DF06A55" w14:textId="3F6AD372">
                  <w:pPr>
                    <w:tabs>
                      <w:tab w:val="left" w:pos="1276"/>
                      <w:tab w:val="left" w:pos="2748"/>
                      <w:tab w:val="left" w:pos="3664"/>
                      <w:tab w:val="left" w:pos="4580"/>
                      <w:tab w:val="left" w:pos="5496"/>
                      <w:tab w:val="left" w:pos="6412"/>
                      <w:tab w:val="left" w:pos="7328"/>
                      <w:tab w:val="left" w:pos="8244"/>
                      <w:tab w:val="left" w:pos="9160"/>
                      <w:tab w:val="left" w:pos="9498"/>
                      <w:tab w:val="left" w:pos="10076"/>
                      <w:tab w:val="left" w:pos="10992"/>
                      <w:tab w:val="left" w:pos="11908"/>
                      <w:tab w:val="left" w:pos="12824"/>
                      <w:tab w:val="left" w:pos="13740"/>
                      <w:tab w:val="left" w:pos="14656"/>
                    </w:tabs>
                    <w:spacing w:line="276" w:lineRule="auto"/>
                    <w:ind w:firstLine="851"/>
                    <w:jc w:val="both"/>
                    <w:rPr>
                      <w:lang w:eastAsia="lt-LT"/>
                    </w:rPr>
                  </w:pPr>
                  <w:r>
                    <w:rPr>
                      <w:lang w:eastAsia="lt-LT"/>
                    </w:rPr>
                    <w:t xml:space="preserve">Šio įstatymo 3 straipsnio 1 dalyje nurodytas pareiginės algos (atlyginimo) bazinis dydis taikomas </w:t>
                  </w:r>
                  <w:r>
                    <w:rPr>
                      <w:rFonts w:eastAsia="Cambria"/>
                      <w:color w:val="000000"/>
                      <w:szCs w:val="24"/>
                    </w:rPr>
                    <w:t>valstybės politikų, valstybės pareigūnų,</w:t>
                  </w:r>
                  <w:r>
                    <w:rPr>
                      <w:color w:val="000000"/>
                      <w:szCs w:val="24"/>
                      <w:lang w:eastAsia="lt-LT"/>
                    </w:rPr>
                    <w:t xml:space="preserve"> prokurorų, žvalgybos pareigūnų, Vadovybės apsaugos tarnybos pareigūnų, Specialiųjų tyrimų tarnybos pareigūnų, Lietuvos Respublikos Konstitucinio Teismo, bendrosios kompetencijos ir specializuotų teismų teisėjų,</w:t>
                  </w:r>
                  <w:r>
                    <w:rPr>
                      <w:rFonts w:eastAsia="Cambria"/>
                      <w:color w:val="000000"/>
                      <w:szCs w:val="24"/>
                    </w:rPr>
                    <w:t xml:space="preserve"> </w:t>
                  </w:r>
                  <w:r>
                    <w:rPr>
                      <w:szCs w:val="24"/>
                      <w:lang w:eastAsia="lt-LT"/>
                    </w:rPr>
                    <w:t>valstybės tarnautojų, įskaitant statutinius valstybės tarnautojus, regionų plėtros tarybų administracijų direktorių ir administracijų darbuotojų, valstybės ir savivaldybių biudžetinių įstaigų,</w:t>
                  </w:r>
                  <w:r>
                    <w:rPr>
                      <w:lang w:eastAsia="lt-LT"/>
                    </w:rPr>
                    <w:t xml:space="preserve"> </w:t>
                  </w:r>
                  <w:r>
                    <w:rPr>
                      <w:szCs w:val="24"/>
                      <w:lang w:eastAsia="lt-LT"/>
                    </w:rPr>
                    <w:t xml:space="preserve">finansuojamų iš valstybės biudžeto, savivaldybių biudžetų, Valstybinio socialinio draudimo fondo biudžeto ir kitų valstybės įsteigtų pinigų fondų lėšų (toliau – valstybės ir savivaldybių biudžetinės įstaigos), darbuotojų pareiginėms algoms (atlyginimams), </w:t>
                  </w:r>
                  <w:r>
                    <w:rPr>
                      <w:color w:val="000000"/>
                      <w:szCs w:val="24"/>
                      <w:lang w:eastAsia="lt-LT"/>
                    </w:rPr>
                    <w:t>karių tarnybiniams atlyginimams,</w:t>
                  </w:r>
                  <w:r>
                    <w:rPr>
                      <w:szCs w:val="24"/>
                      <w:lang w:eastAsia="lt-LT"/>
                    </w:rPr>
                    <w:t xml:space="preserve"> įstatymų pagrindais sudarytų komisijų narių </w:t>
                  </w:r>
                  <w:r>
                    <w:rPr>
                      <w:szCs w:val="24"/>
                    </w:rPr>
                    <w:t>(grupių, tarybų, Teisėjų garbės teismo, darbo arbitražo, Lietuvos mokslo tarybos valdybos ir ekspertų komitetų), finansuojamų iš valstybės ir savivaldybių biudžetų (toliau kartu – komisijos), pirmininkų, pirmininkų pavaduotojų ir narių (toliau – komisijų nariai) atlygiui už darbą</w:t>
                  </w:r>
                  <w:r>
                    <w:rPr>
                      <w:szCs w:val="24"/>
                      <w:lang w:eastAsia="lt-LT"/>
                    </w:rPr>
                    <w:t xml:space="preserve"> apskaičiuoti</w:t>
                  </w:r>
                  <w:r>
                    <w:rPr>
                      <w:szCs w:val="24"/>
                    </w:rPr>
                    <w:t>.</w:t>
                  </w:r>
                </w:p>
                <w:p w14:paraId="5B2BFDBE" w14:textId="77777777">
                  <w:pPr>
                    <w:tabs>
                      <w:tab w:val="left" w:pos="851"/>
                      <w:tab w:val="left" w:pos="1832"/>
                      <w:tab w:val="left" w:pos="2748"/>
                      <w:tab w:val="left" w:pos="3664"/>
                      <w:tab w:val="left" w:pos="4580"/>
                      <w:tab w:val="left" w:pos="5496"/>
                      <w:tab w:val="left" w:pos="6412"/>
                      <w:tab w:val="left" w:pos="7328"/>
                      <w:tab w:val="left" w:pos="8244"/>
                      <w:tab w:val="left" w:pos="9160"/>
                      <w:tab w:val="left" w:pos="9498"/>
                      <w:tab w:val="left" w:pos="10076"/>
                      <w:tab w:val="left" w:pos="10992"/>
                      <w:tab w:val="left" w:pos="11908"/>
                      <w:tab w:val="left" w:pos="12824"/>
                      <w:tab w:val="left" w:pos="13740"/>
                      <w:tab w:val="left" w:pos="14656"/>
                    </w:tabs>
                    <w:spacing w:line="276" w:lineRule="auto"/>
                    <w:ind w:firstLine="913"/>
                    <w:jc w:val="both"/>
                    <w:rPr>
                      <w:szCs w:val="24"/>
                      <w:lang w:eastAsia="lt-LT"/>
                    </w:rPr>
                  </w:pPr>
                </w:p>
              </w:sdtContent>
            </w:sdt>
          </w:sdtContent>
        </w:sdt>
        <w:sdt>
          <w:sdtPr>
            <w:alias w:val="3 str."/>
            <w:tag w:val="part_1d4ec8e6523548c29862bece8dc62cc9"/>
            <w:lock w:val="sdtLocked"/>
            <w:richText/>
          </w:sdtPr>
          <w:sdtContent>
            <w:p w14:paraId="41B24B13" w14:textId="17FD1390">
              <w:pPr>
                <w:tabs>
                  <w:tab w:val="left" w:pos="9498"/>
                </w:tabs>
                <w:spacing w:line="276" w:lineRule="auto"/>
                <w:ind w:left="851"/>
                <w:jc w:val="both"/>
                <w:rPr>
                  <w:szCs w:val="24"/>
                  <w:lang w:eastAsia="lt-LT"/>
                </w:rPr>
              </w:pPr>
              <w:sdt>
                <w:sdtPr>
                  <w:alias w:val="Numeris"/>
                  <w:tag w:val="nr_1d4ec8e6523548c29862bece8dc62cc9"/>
                  <w:lock w:val="sdtLocked"/>
                  <w:richText/>
                </w:sdtPr>
                <w:sdtContent>
                  <w:r>
                    <w:rPr>
                      <w:b/>
                      <w:bCs/>
                      <w:szCs w:val="24"/>
                      <w:lang w:eastAsia="lt-LT"/>
                    </w:rPr>
                    <w:t>3</w:t>
                  </w:r>
                </w:sdtContent>
              </w:sdt>
              <w:r>
                <w:rPr>
                  <w:b/>
                  <w:bCs/>
                  <w:szCs w:val="24"/>
                  <w:lang w:eastAsia="lt-LT"/>
                </w:rPr>
                <w:t xml:space="preserve"> straipsnis. </w:t>
              </w:r>
              <w:sdt>
                <w:sdtPr>
                  <w:alias w:val="Pavadinimas"/>
                  <w:tag w:val="title_1d4ec8e6523548c29862bece8dc62cc9"/>
                  <w:lock w:val="sdtLocked"/>
                  <w:richText/>
                </w:sdtPr>
                <w:sdtContent>
                  <w:r>
                    <w:rPr>
                      <w:b/>
                      <w:bCs/>
                      <w:szCs w:val="24"/>
                      <w:lang w:eastAsia="lt-LT"/>
                    </w:rPr>
                    <w:t>P</w:t>
                  </w:r>
                  <w:r>
                    <w:rPr>
                      <w:b/>
                      <w:szCs w:val="24"/>
                      <w:lang w:eastAsia="lt-LT"/>
                    </w:rPr>
                    <w:t>areiginės algos (atlyginimo) bazinis dydis ir jo peržiūrėjimas</w:t>
                  </w:r>
                  <w:r>
                    <w:rPr>
                      <w:szCs w:val="24"/>
                      <w:lang w:eastAsia="lt-LT"/>
                    </w:rPr>
                    <w:t xml:space="preserve"> </w:t>
                  </w:r>
                </w:sdtContent>
              </w:sdt>
            </w:p>
            <w:sdt>
              <w:sdtPr>
                <w:alias w:val="3 str. 1 d."/>
                <w:tag w:val="part_20432b13b1f8454d81ff25b5134b047f"/>
                <w:lock w:val="sdtLocked"/>
                <w:richText/>
              </w:sdtPr>
              <w:sdtContent>
                <w:p w14:paraId="6FF6E4B4" w14:textId="31F85DE1">
                  <w:pPr>
                    <w:spacing w:line="276" w:lineRule="auto"/>
                    <w:ind w:firstLine="851"/>
                    <w:jc w:val="both"/>
                    <w:rPr>
                      <w:lang w:eastAsia="lt-LT"/>
                    </w:rPr>
                  </w:pPr>
                  <w:sdt>
                    <w:sdtPr>
                      <w:alias w:val="Numeris"/>
                      <w:tag w:val="nr_20432b13b1f8454d81ff25b5134b047f"/>
                      <w:lock w:val="sdtLocked"/>
                      <w:richText/>
                    </w:sdtPr>
                    <w:sdtContent>
                      <w:r>
                        <w:rPr>
                          <w:rFonts w:eastAsia="Cambria"/>
                          <w:color w:val="000000"/>
                        </w:rPr>
                        <w:t>1</w:t>
                      </w:r>
                    </w:sdtContent>
                  </w:sdt>
                  <w:r>
                    <w:rPr>
                      <w:rFonts w:eastAsia="Cambria"/>
                      <w:color w:val="000000"/>
                    </w:rPr>
                    <w:t>. Pareiginės algos (a</w:t>
                  </w:r>
                  <w:r>
                    <w:rPr>
                      <w:lang w:eastAsia="lt-LT"/>
                    </w:rPr>
                    <w:t xml:space="preserve">tlyginimo) bazinis dydis 2023 metams (n) ir 2024 metams (n+1) nustatomas pagal Lietuvos statistikos departamento paskelbtą praėjusių metų (n-2) vidutinį mėnesinį šalies darbo užmokestį (su individualiomis įmonėmis) ir yra 1579,4 euro. </w:t>
                  </w:r>
                </w:p>
              </w:sdtContent>
            </w:sdt>
            <w:sdt>
              <w:sdtPr>
                <w:alias w:val="3 str. 2 d."/>
                <w:tag w:val="part_7229d8765aba41c6b3fdb09d35d2584a"/>
                <w:lock w:val="sdtLocked"/>
                <w:richText/>
              </w:sdtPr>
              <w:sdtContent>
                <w:p w14:paraId="6DB0AE32" w14:textId="2A95CE91">
                  <w:pPr>
                    <w:spacing w:line="276" w:lineRule="auto"/>
                    <w:ind w:firstLine="851"/>
                    <w:jc w:val="both"/>
                    <w:rPr>
                      <w:lang w:eastAsia="lt-LT"/>
                    </w:rPr>
                  </w:pPr>
                  <w:sdt>
                    <w:sdtPr>
                      <w:alias w:val="Numeris"/>
                      <w:tag w:val="nr_7229d8765aba41c6b3fdb09d35d2584a"/>
                      <w:lock w:val="sdtLocked"/>
                      <w:richText/>
                    </w:sdtPr>
                    <w:sdtContent>
                      <w:r>
                        <w:rPr>
                          <w:lang w:eastAsia="lt-LT"/>
                        </w:rPr>
                        <w:t>2</w:t>
                      </w:r>
                    </w:sdtContent>
                  </w:sdt>
                  <w:r>
                    <w:rPr>
                      <w:lang w:eastAsia="lt-LT"/>
                    </w:rPr>
                    <w:t xml:space="preserve">. Šio straipsnio 1 dalyje nurodytas pareiginės algos (atlyginimo) bazinis dydis peržiūrimas ne rečiau, kaip kas trejus metus, atsižvelgiant į </w:t>
                  </w:r>
                  <w:r>
                    <w:t xml:space="preserve">darbo užmokesčio pokyčių darbo rinkoje tendencijas ir </w:t>
                  </w:r>
                  <w:r>
                    <w:rPr>
                      <w:lang w:eastAsia="lt-LT"/>
                    </w:rPr>
                    <w:t xml:space="preserve">šalies ekonominę </w:t>
                  </w:r>
                  <w:r>
                    <w:t xml:space="preserve"> situaciją ir tvirtinamas atitinkamų metų Lietuvos Respublikos valstybės biudžeto ir savivaldybių biudžetų finansinių rodiklių patvirtinimo įstatyme.</w:t>
                  </w:r>
                  <w:r>
                    <w:rPr>
                      <w:lang w:eastAsia="lt-LT"/>
                    </w:rPr>
                    <w:t xml:space="preserve"> Pirmą kartą pareiginės algos (atlyginimo) bazinis dydis peržiūrimas 2025 metams.  </w:t>
                  </w:r>
                </w:p>
              </w:sdtContent>
            </w:sdt>
            <w:sdt>
              <w:sdtPr>
                <w:alias w:val="3 str. 3 d."/>
                <w:tag w:val="part_f6c9151b3ee04a0294a2be1699df337f"/>
                <w:lock w:val="sdtLocked"/>
                <w:richText/>
              </w:sdtPr>
              <w:sdtContent>
                <w:p w14:paraId="2E17A814" w14:textId="04310F2B">
                  <w:pPr>
                    <w:spacing w:line="276" w:lineRule="auto"/>
                    <w:ind w:firstLine="851"/>
                    <w:jc w:val="both"/>
                    <w:rPr>
                      <w:szCs w:val="24"/>
                      <w:lang w:eastAsia="lt-LT"/>
                    </w:rPr>
                  </w:pPr>
                  <w:sdt>
                    <w:sdtPr>
                      <w:alias w:val="Numeris"/>
                      <w:tag w:val="nr_f6c9151b3ee04a0294a2be1699df337f"/>
                      <w:lock w:val="sdtLocked"/>
                      <w:richText/>
                    </w:sdtPr>
                    <w:sdtContent>
                      <w:r>
                        <w:rPr>
                          <w:szCs w:val="24"/>
                          <w:lang w:eastAsia="lt-LT"/>
                        </w:rPr>
                        <w:t>3</w:t>
                      </w:r>
                    </w:sdtContent>
                  </w:sdt>
                  <w:r>
                    <w:rPr>
                      <w:szCs w:val="24"/>
                      <w:lang w:eastAsia="lt-LT"/>
                    </w:rPr>
                    <w:t>. Šio straipsnio 2 dalyje nustatyta tvarka peržiūrėtas tvirtinamas naujas pareiginės algos (atlyginimo) bazinis dydis negali būti mažesnis už iki jo peržiūros buvusį pareiginės algos (atlyginimo) bazinį dydį, išskyrus atvejus, kai iš esmės pablogėja valstybės ekonominė ir finansinė būklė</w:t>
                  </w:r>
                  <w:r>
                    <w:t xml:space="preserve"> dėl </w:t>
                  </w:r>
                  <w:r>
                    <w:rPr>
                      <w:szCs w:val="24"/>
                      <w:lang w:eastAsia="lt-LT"/>
                    </w:rPr>
                    <w:t>krizių ar kitų ypatingų aplinkybių atvejais.</w:t>
                  </w:r>
                </w:p>
                <w:p w14:paraId="5C97E11A" w14:textId="77777777">
                  <w:pPr>
                    <w:spacing w:line="276" w:lineRule="auto"/>
                    <w:ind w:firstLine="851"/>
                    <w:jc w:val="both"/>
                    <w:rPr>
                      <w:szCs w:val="24"/>
                      <w:lang w:eastAsia="lt-LT"/>
                    </w:rPr>
                  </w:pPr>
                </w:p>
              </w:sdtContent>
            </w:sdt>
          </w:sdtContent>
        </w:sdt>
        <w:sdt>
          <w:sdtPr>
            <w:alias w:val="4 str."/>
            <w:tag w:val="part_0d47b4adec234af4b2cb411b097800a5"/>
            <w:lock w:val="sdtLocked"/>
            <w:richText/>
          </w:sdtPr>
          <w:sdtContent>
            <w:p w14:paraId="49A39A7B" w14:textId="127CA44C">
              <w:pPr>
                <w:spacing w:line="276" w:lineRule="auto"/>
                <w:ind w:firstLine="851"/>
                <w:jc w:val="both"/>
                <w:rPr>
                  <w:b/>
                  <w:bCs/>
                </w:rPr>
              </w:pPr>
              <w:sdt>
                <w:sdtPr>
                  <w:alias w:val="Numeris"/>
                  <w:tag w:val="nr_0d47b4adec234af4b2cb411b097800a5"/>
                  <w:lock w:val="sdtLocked"/>
                  <w:richText/>
                </w:sdtPr>
                <w:sdtContent>
                  <w:r>
                    <w:rPr>
                      <w:b/>
                      <w:bCs/>
                      <w:lang w:eastAsia="lt-LT"/>
                    </w:rPr>
                    <w:t>4</w:t>
                  </w:r>
                </w:sdtContent>
              </w:sdt>
              <w:r>
                <w:rPr>
                  <w:b/>
                  <w:bCs/>
                  <w:lang w:eastAsia="lt-LT"/>
                </w:rPr>
                <w:t xml:space="preserve"> straipsnis. </w:t>
              </w:r>
              <w:sdt>
                <w:sdtPr>
                  <w:alias w:val="Pavadinimas"/>
                  <w:tag w:val="title_0d47b4adec234af4b2cb411b097800a5"/>
                  <w:lock w:val="sdtLocked"/>
                  <w:richText/>
                </w:sdtPr>
                <w:sdtContent>
                  <w:r>
                    <w:rPr>
                      <w:b/>
                      <w:bCs/>
                      <w:lang w:eastAsia="lt-LT"/>
                    </w:rPr>
                    <w:t>Įstatymo įsigaliojimas, taikymas ir įgyvendinimas.</w:t>
                  </w:r>
                  <w:r>
                    <w:rPr>
                      <w:b/>
                      <w:bCs/>
                    </w:rPr>
                    <w:t xml:space="preserve"> </w:t>
                  </w:r>
                </w:sdtContent>
              </w:sdt>
            </w:p>
            <w:sdt>
              <w:sdtPr>
                <w:alias w:val="4 str. 1 d."/>
                <w:tag w:val="part_8e5cf64b0b9743d8ab33c625318d4a7f"/>
                <w:lock w:val="sdtLocked"/>
                <w:richText/>
              </w:sdtPr>
              <w:sdtContent>
                <w:p w14:paraId="6B2876CE" w14:textId="6A159DAB">
                  <w:pPr>
                    <w:spacing w:line="276" w:lineRule="auto"/>
                    <w:ind w:firstLine="851"/>
                    <w:jc w:val="both"/>
                    <w:rPr>
                      <w:b/>
                    </w:rPr>
                  </w:pPr>
                  <w:sdt>
                    <w:sdtPr>
                      <w:alias w:val="Numeris"/>
                      <w:tag w:val="nr_8e5cf64b0b9743d8ab33c625318d4a7f"/>
                      <w:lock w:val="sdtLocked"/>
                      <w:richText/>
                    </w:sdtPr>
                    <w:sdtContent>
                      <w:r>
                        <w:t>1</w:t>
                      </w:r>
                    </w:sdtContent>
                  </w:sdt>
                  <w:r>
                    <w:t>. Šis įstatymas, išskyrus šio straipsnio 7 dalį, įsigalioja 2023 m. sausio 1 d.</w:t>
                  </w:r>
                  <w:r>
                    <w:rPr>
                      <w:lang w:val="en-US"/>
                    </w:rPr>
                    <w:t xml:space="preserve"> </w:t>
                  </w:r>
                </w:p>
              </w:sdtContent>
            </w:sdt>
            <w:sdt>
              <w:sdtPr>
                <w:alias w:val="4 str. 2 d."/>
                <w:tag w:val="part_8bfab578f2f2493b9be12e9a57afeec5"/>
                <w:lock w:val="sdtLocked"/>
                <w:richText/>
              </w:sdtPr>
              <w:sdtContent>
                <w:p w14:paraId="1A42B921" w14:textId="3565CCD0">
                  <w:pPr>
                    <w:spacing w:line="276" w:lineRule="auto"/>
                    <w:ind w:firstLine="851"/>
                    <w:jc w:val="both"/>
                    <w:rPr>
                      <w:szCs w:val="24"/>
                      <w:lang w:eastAsia="lt-LT"/>
                    </w:rPr>
                  </w:pPr>
                  <w:sdt>
                    <w:sdtPr>
                      <w:alias w:val="Numeris"/>
                      <w:tag w:val="nr_8bfab578f2f2493b9be12e9a57afeec5"/>
                      <w:lock w:val="sdtLocked"/>
                      <w:richText/>
                    </w:sdtPr>
                    <w:sdtContent>
                      <w:r>
                        <w:rPr>
                          <w:szCs w:val="24"/>
                          <w:lang w:eastAsia="lt-LT"/>
                        </w:rPr>
                        <w:t>2</w:t>
                      </w:r>
                    </w:sdtContent>
                  </w:sdt>
                  <w:r>
                    <w:rPr>
                      <w:szCs w:val="24"/>
                      <w:lang w:eastAsia="lt-LT"/>
                    </w:rPr>
                    <w:t>. Valstybės pareigūnų, Lietuvos Respublikos Konstitucinio Teismo, bendrosios kompetencijos ir specializuotų teismų teisėjų,</w:t>
                  </w:r>
                  <w:r>
                    <w:t xml:space="preserve"> </w:t>
                  </w:r>
                  <w:r>
                    <w:rPr>
                      <w:szCs w:val="24"/>
                      <w:lang w:eastAsia="lt-LT"/>
                    </w:rPr>
                    <w:t xml:space="preserve">valstybės tarnautojų (išskyrus nurodytus šio straipsnio 3 ir 5 dalyse) pareiginėms algoms (atlyginimams) apskaičiuoti šio įstatymo nuostatos taikomos nuo 2023 m. </w:t>
                  </w:r>
                  <w:r>
                    <w:rPr>
                      <w:rFonts w:eastAsia="SimSun"/>
                      <w:kern w:val="3"/>
                      <w:szCs w:val="24"/>
                      <w:shd w:val="clear" w:color="auto" w:fill="FFFFFF"/>
                      <w:lang w:eastAsia="lt-LT" w:bidi="hi-IN"/>
                    </w:rPr>
                    <w:t>liepos</w:t>
                  </w:r>
                  <w:r>
                    <w:rPr>
                      <w:szCs w:val="24"/>
                      <w:lang w:eastAsia="lt-LT"/>
                    </w:rPr>
                    <w:t xml:space="preserve"> 1 d.</w:t>
                  </w:r>
                </w:p>
              </w:sdtContent>
            </w:sdt>
            <w:sdt>
              <w:sdtPr>
                <w:alias w:val="4 str. 3 d."/>
                <w:tag w:val="part_9ca5f31d7b864998a0751d2699c62ee4"/>
                <w:lock w:val="sdtLocked"/>
                <w:richText/>
              </w:sdtPr>
              <w:sdtContent>
                <w:p w14:paraId="6E103103" w14:textId="4297AA1B">
                  <w:pPr>
                    <w:spacing w:line="276" w:lineRule="auto"/>
                    <w:ind w:firstLine="851"/>
                    <w:jc w:val="both"/>
                    <w:rPr>
                      <w:color w:val="000000"/>
                      <w:szCs w:val="24"/>
                    </w:rPr>
                  </w:pPr>
                  <w:sdt>
                    <w:sdtPr>
                      <w:alias w:val="Numeris"/>
                      <w:tag w:val="nr_9ca5f31d7b864998a0751d2699c62ee4"/>
                      <w:lock w:val="sdtLocked"/>
                      <w:richText/>
                    </w:sdtPr>
                    <w:sdtContent>
                      <w:r>
                        <w:rPr>
                          <w:lang w:eastAsia="lt-LT"/>
                        </w:rPr>
                        <w:t>3</w:t>
                      </w:r>
                    </w:sdtContent>
                  </w:sdt>
                  <w:r>
                    <w:rPr>
                      <w:lang w:eastAsia="lt-LT"/>
                    </w:rPr>
                    <w:t xml:space="preserve">. Valstybės politikų, išskyrus savivaldybių merus, ir įstaigų vadovų – valstybės tarnautojų pareiginėms algoms apskaičiuoti šio įstatymo nuostatos taikomos nuo valstybės politikų, išskyrus savivaldybių merus, ir įstaigų vadovų – valstybės tarnautojų naujos kadencijos pradžios, bet ne anksčiau kaip nuo 2023 m. liepos 1 d., išskyrus atvejus kai su </w:t>
                  </w:r>
                  <w:r>
                    <w:rPr>
                      <w:color w:val="000000"/>
                      <w:szCs w:val="24"/>
                    </w:rPr>
                    <w:t xml:space="preserve"> iki 2023 m. birželio 30 d. kadencijai priimtais į pareigas įstaigų vadovais – valstybės tarnautojais Lietuvos Respublikos valstybės tarnybos įstatymo nustatyta tvarka sudaromas susitarimas dėl pagrindinių kadencijos laikotarpio ir (ar) tam tikrų jo etapų veiklos tikslų ir rezultatų likusiai kadencijos daliai, bet ne trumpesnei kaip 2,5 metų.</w:t>
                  </w:r>
                </w:p>
              </w:sdtContent>
            </w:sdt>
            <w:sdt>
              <w:sdtPr>
                <w:alias w:val="4 str. 4 d."/>
                <w:tag w:val="part_e3fbf04a02764d1aa1ed9571d3a471cc"/>
                <w:lock w:val="sdtLocked"/>
                <w:richText/>
              </w:sdtPr>
              <w:sdtContent>
                <w:p w14:paraId="6FAA4780" w14:textId="2DBD34E9">
                  <w:pPr>
                    <w:spacing w:line="276" w:lineRule="auto"/>
                    <w:ind w:firstLine="851"/>
                    <w:jc w:val="both"/>
                    <w:rPr>
                      <w:lang w:eastAsia="lt-LT"/>
                    </w:rPr>
                  </w:pPr>
                  <w:sdt>
                    <w:sdtPr>
                      <w:alias w:val="Numeris"/>
                      <w:tag w:val="nr_e3fbf04a02764d1aa1ed9571d3a471cc"/>
                      <w:lock w:val="sdtLocked"/>
                      <w:richText/>
                    </w:sdtPr>
                    <w:sdtContent>
                      <w:r>
                        <w:rPr>
                          <w:color w:val="000000"/>
                          <w:szCs w:val="24"/>
                        </w:rPr>
                        <w:t>4</w:t>
                      </w:r>
                    </w:sdtContent>
                  </w:sdt>
                  <w:r>
                    <w:rPr>
                      <w:color w:val="000000"/>
                      <w:szCs w:val="24"/>
                    </w:rPr>
                    <w:t>.</w:t>
                  </w:r>
                  <w:r>
                    <w:t xml:space="preserve"> S</w:t>
                  </w:r>
                  <w:r>
                    <w:rPr>
                      <w:color w:val="000000"/>
                      <w:szCs w:val="24"/>
                    </w:rPr>
                    <w:t>avivaldybių merams šio įstatymo nuostatos taikomos nuo tos dienos, kai 2023 metais naujai išrinktos savivaldybių tarybos susirenka į pirmąjį posėdį.</w:t>
                  </w:r>
                </w:p>
              </w:sdtContent>
            </w:sdt>
            <w:sdt>
              <w:sdtPr>
                <w:alias w:val="4 str. 5 d."/>
                <w:tag w:val="part_149bfec3812f4667a55d3eff01606091"/>
                <w:lock w:val="sdtLocked"/>
                <w:richText/>
              </w:sdtPr>
              <w:sdtContent>
                <w:p w14:paraId="7AA12EFF" w14:textId="7E352A09">
                  <w:pPr>
                    <w:spacing w:line="276" w:lineRule="auto"/>
                    <w:ind w:firstLine="851"/>
                    <w:jc w:val="both"/>
                    <w:rPr>
                      <w:lang w:eastAsia="lt-LT"/>
                    </w:rPr>
                  </w:pPr>
                  <w:sdt>
                    <w:sdtPr>
                      <w:alias w:val="Numeris"/>
                      <w:tag w:val="nr_149bfec3812f4667a55d3eff01606091"/>
                      <w:lock w:val="sdtLocked"/>
                      <w:richText/>
                    </w:sdtPr>
                    <w:sdtContent>
                      <w:r>
                        <w:rPr>
                          <w:color w:val="000000"/>
                          <w:lang w:eastAsia="lt-LT"/>
                        </w:rPr>
                        <w:t>5</w:t>
                      </w:r>
                    </w:sdtContent>
                  </w:sdt>
                  <w:r>
                    <w:rPr>
                      <w:color w:val="000000"/>
                      <w:lang w:eastAsia="lt-LT"/>
                    </w:rPr>
                    <w:t xml:space="preserve">. Vadovybės apsaugos tarnybos, prokurorų, </w:t>
                  </w:r>
                  <w:r>
                    <w:rPr>
                      <w:lang w:eastAsia="lt-LT"/>
                    </w:rPr>
                    <w:t xml:space="preserve">statutinių valstybės tarnautojų pareiginėms algoms, </w:t>
                  </w:r>
                  <w:r>
                    <w:rPr>
                      <w:szCs w:val="24"/>
                      <w:lang w:eastAsia="lt-LT"/>
                    </w:rPr>
                    <w:t>regionų plėtros tarybų administracijų direktorių ir administracijų darbuotojų,</w:t>
                  </w:r>
                  <w:r>
                    <w:rPr>
                      <w:lang w:eastAsia="lt-LT"/>
                    </w:rPr>
                    <w:t xml:space="preserve"> valstybės ir savivaldybių biudžetinių įstaigų darbuotojų pareiginėms algoms (atlyginimams), karių tarnybiniams atlyginimams, komisijų narių atlygiui už darbą apskaičiuoti šio įstatymo nuostatos taikomos nuo 2024 m. sausio 1 d.</w:t>
                  </w:r>
                </w:p>
              </w:sdtContent>
            </w:sdt>
            <w:sdt>
              <w:sdtPr>
                <w:alias w:val="4 str. 6 d."/>
                <w:tag w:val="part_f0d6771bb6524e098f86931de013ad16"/>
                <w:lock w:val="sdtLocked"/>
                <w:richText/>
              </w:sdtPr>
              <w:sdtContent>
                <w:p w14:paraId="1494F3E3" w14:textId="62D5C290">
                  <w:pPr>
                    <w:spacing w:line="276" w:lineRule="auto"/>
                    <w:ind w:firstLine="851"/>
                    <w:jc w:val="both"/>
                    <w:rPr>
                      <w:lang w:eastAsia="lt-LT"/>
                    </w:rPr>
                  </w:pPr>
                  <w:sdt>
                    <w:sdtPr>
                      <w:alias w:val="Numeris"/>
                      <w:tag w:val="nr_f0d6771bb6524e098f86931de013ad16"/>
                      <w:lock w:val="sdtLocked"/>
                      <w:richText/>
                    </w:sdtPr>
                    <w:sdtContent>
                      <w:r>
                        <w:rPr>
                          <w:lang w:eastAsia="lt-LT"/>
                        </w:rPr>
                        <w:t>6</w:t>
                      </w:r>
                    </w:sdtContent>
                  </w:sdt>
                  <w:r>
                    <w:rPr>
                      <w:lang w:eastAsia="lt-LT"/>
                    </w:rPr>
                    <w:t xml:space="preserve">. Šio straipsnio 2 dalyje nurodytiems asmenims iki 2023 m. birželio 30 d., o 5  dalyje nurodytiems asmenims ˗ iki 2023  m. gruodžio 31 d. taikomas Lietuvos Respublikos valstybės politikų, teisėjų, valstybės pareigūnų, valstybės tarnautojų, valstybės ir savivaldybių biudžetinių įstaigų darbuotojų pareiginės algos (atlyginimo) bazinio dydžio, taikomo 2023 metais, įstatyme nustatytas valstybės politikų, teisėjų, valstybės pareigūnų, valstybės tarnautojų, valstybės ir savivaldybių biudžetinių įstaigų darbuotojų pareiginės algos (atlyginimo) bazinis dydis.</w:t>
                  </w:r>
                </w:p>
              </w:sdtContent>
            </w:sdt>
            <w:sdt>
              <w:sdtPr>
                <w:alias w:val="4 str. 7 d."/>
                <w:tag w:val="part_daa6e434393142ae9c97b82b42f588ba"/>
                <w:lock w:val="sdtLocked"/>
                <w:richText/>
              </w:sdtPr>
              <w:sdtContent>
                <w:p w14:paraId="61174046" w14:textId="37896D3C">
                  <w:pPr>
                    <w:spacing w:line="276" w:lineRule="auto"/>
                    <w:ind w:firstLine="851"/>
                    <w:jc w:val="both"/>
                    <w:rPr>
                      <w:szCs w:val="24"/>
                    </w:rPr>
                  </w:pPr>
                  <w:sdt>
                    <w:sdtPr>
                      <w:alias w:val="Numeris"/>
                      <w:tag w:val="nr_daa6e434393142ae9c97b82b42f588ba"/>
                      <w:lock w:val="sdtLocked"/>
                      <w:richText/>
                    </w:sdtPr>
                    <w:sdtContent>
                      <w:r>
                        <w:rPr>
                          <w:lang w:eastAsia="lt-LT"/>
                        </w:rPr>
                        <w:t>7</w:t>
                      </w:r>
                    </w:sdtContent>
                  </w:sdt>
                  <w:r>
                    <w:rPr>
                      <w:lang w:eastAsia="lt-LT"/>
                    </w:rPr>
                    <w:t xml:space="preserve">. </w:t>
                  </w:r>
                  <w:r>
                    <w:rPr>
                      <w:szCs w:val="24"/>
                    </w:rPr>
                    <w:t>Lietuvos Respublikos Vyriausybė, kitos institucijos ar įstaigos iki</w:t>
                  </w:r>
                  <w:r>
                    <w:rPr>
                      <w:lang w:eastAsia="lt-LT"/>
                    </w:rPr>
                    <w:t xml:space="preserve"> 2023 m. birželio 30 d.</w:t>
                  </w:r>
                  <w:r>
                    <w:rPr>
                      <w:szCs w:val="24"/>
                    </w:rPr>
                    <w:t xml:space="preserve"> priima šio įstatymo įgyvendinamuosius teisės aktus, išskyrus šio straipsnio 5 dalyje išdėstytoms nuostatoms įgyvendinti reikalingus teisės aktus, kuriuos Vyriausybė, kitos institucijos ar įstaigos  priima iki 2023 m. gruodžio 31 d.</w:t>
                  </w:r>
                </w:p>
                <w:p w14:paraId="1147695C" w14:textId="77777777">
                  <w:pPr>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ind w:firstLine="851"/>
                    <w:jc w:val="both"/>
                    <w:rPr>
                      <w:szCs w:val="24"/>
                    </w:rPr>
                  </w:pPr>
                </w:p>
                <w:p w14:paraId="039EB0C1" w14:textId="347F664C">
                  <w:pPr>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ind w:firstLine="913"/>
                    <w:jc w:val="both"/>
                    <w:rPr>
                      <w:i/>
                      <w:szCs w:val="24"/>
                      <w:lang w:eastAsia="lt-LT"/>
                    </w:rPr>
                  </w:pPr>
                </w:p>
                <w:p w14:paraId="79EF901C" w14:textId="77777777">
                  <w:pPr>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ind w:firstLine="851"/>
                    <w:jc w:val="both"/>
                    <w:rPr>
                      <w:i/>
                      <w:szCs w:val="24"/>
                      <w:lang w:eastAsia="lt-LT"/>
                    </w:rPr>
                  </w:pPr>
                </w:p>
              </w:sdtContent>
            </w:sdt>
          </w:sdtContent>
        </w:sdt>
        <w:sdt>
          <w:sdtPr>
            <w:alias w:val="signatura"/>
            <w:tag w:val="part_17331dd7af07497296121f59e3555186"/>
            <w:lock w:val="sdtLocked"/>
            <w:richText/>
          </w:sdtPr>
          <w:sdtContent>
            <w:p w14:paraId="7678849E" w14:textId="77777777">
              <w:pPr>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ind w:firstLine="851"/>
                <w:jc w:val="both"/>
                <w:rPr>
                  <w:i/>
                  <w:szCs w:val="24"/>
                  <w:lang w:eastAsia="lt-LT"/>
                </w:rPr>
              </w:pPr>
              <w:r>
                <w:rPr>
                  <w:i/>
                  <w:szCs w:val="24"/>
                  <w:lang w:eastAsia="lt-LT"/>
                </w:rPr>
                <w:t>Skelbiu šį Lietuvos Respublikos Seimo priimtą įstatymą.</w:t>
              </w:r>
            </w:p>
            <w:p w14:paraId="0884AABF" w14:textId="77777777">
              <w:pPr>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jc w:val="both"/>
                <w:rPr>
                  <w:i/>
                  <w:szCs w:val="24"/>
                  <w:lang w:eastAsia="lt-LT"/>
                </w:rPr>
              </w:pPr>
            </w:p>
            <w:p w14:paraId="649712EA" w14:textId="77777777">
              <w:pPr>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jc w:val="both"/>
                <w:rPr>
                  <w:szCs w:val="24"/>
                  <w:lang w:eastAsia="lt-LT"/>
                </w:rPr>
              </w:pPr>
            </w:p>
            <w:p w14:paraId="12BD7753" w14:textId="77777777">
              <w:pPr>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jc w:val="both"/>
                <w:rPr>
                  <w:szCs w:val="24"/>
                  <w:lang w:eastAsia="lt-LT"/>
                </w:rPr>
              </w:pPr>
            </w:p>
            <w:p w14:paraId="0997563D" w14:textId="77777777">
              <w:pPr>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jc w:val="both"/>
                <w:rPr>
                  <w:szCs w:val="24"/>
                  <w:lang w:eastAsia="lt-LT"/>
                </w:rPr>
              </w:pPr>
              <w:r>
                <w:rPr>
                  <w:szCs w:val="24"/>
                  <w:lang w:eastAsia="lt-LT"/>
                </w:rPr>
                <w:t>Respublikos Prezidentas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709" w:right="70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9B1BF4" w14:textId="77777777">
      <w:r>
        <w:separator/>
      </w:r>
    </w:p>
  </w:endnote>
  <w:endnote w:type="continuationSeparator" w:id="0">
    <w:p w14:paraId="13839805"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87B909" w14:textId="77777777">
    <w:pPr>
      <w:tabs>
        <w:tab w:val="center" w:pos="4513"/>
        <w:tab w:val="right" w:pos="9026"/>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BF44E" w14:textId="77777777">
    <w:pPr>
      <w:tabs>
        <w:tab w:val="center" w:pos="4513"/>
        <w:tab w:val="right" w:pos="9026"/>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5677E7" w14:textId="77777777">
    <w:pPr>
      <w:tabs>
        <w:tab w:val="center" w:pos="4513"/>
        <w:tab w:val="right" w:pos="9026"/>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97D0C7" w14:textId="77777777">
      <w:r>
        <w:separator/>
      </w:r>
    </w:p>
  </w:footnote>
  <w:footnote w:type="continuationSeparator" w:id="0">
    <w:p w14:paraId="46D69F43"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9CE407" w14:textId="77777777">
    <w:pPr>
      <w:tabs>
        <w:tab w:val="center" w:pos="4513"/>
        <w:tab w:val="right" w:pos="902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A0D908" w14:textId="5534A89B">
    <w:pPr>
      <w:tabs>
        <w:tab w:val="center" w:pos="4513"/>
        <w:tab w:val="right" w:pos="9026"/>
      </w:tabs>
      <w:jc w:val="center"/>
    </w:pPr>
    <w:r>
      <w:fldChar w:fldCharType="begin"/>
    </w:r>
    <w:r>
      <w:instrText>PAGE   \* MERGEFORMAT</w:instrText>
    </w:r>
    <w:r>
      <w:fldChar w:fldCharType="separate"/>
    </w:r>
    <w:r>
      <w:t>2</w:t>
    </w:r>
    <w:r>
      <w:fldChar w:fldCharType="end"/>
    </w:r>
  </w:p>
  <w:p w14:paraId="4ED5D99F" w14:textId="77777777">
    <w:pPr>
      <w:tabs>
        <w:tab w:val="center" w:pos="4513"/>
        <w:tab w:val="right" w:pos="902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F4290E" w14:textId="77777777">
    <w:pPr>
      <w:tabs>
        <w:tab w:val="center" w:pos="4513"/>
        <w:tab w:val="right" w:pos="902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634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E9D4BF"/>
  <w15:docId w15:val="{EA952BD9-CE08-461E-BB76-97DE45BFDB2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6055750">
      <w:bodyDiv w:val="1"/>
      <w:marLeft w:val="0"/>
      <w:marRight w:val="0"/>
      <w:marTop w:val="0"/>
      <w:marBottom w:val="0"/>
      <w:divBdr>
        <w:top w:val="none" w:sz="0" w:space="0" w:color="auto"/>
        <w:left w:val="none" w:sz="0" w:space="0" w:color="auto"/>
        <w:bottom w:val="none" w:sz="0" w:space="0" w:color="auto"/>
        <w:right w:val="none" w:sz="0" w:space="0" w:color="auto"/>
      </w:divBdr>
      <w:divsChild>
        <w:div w:id="1475298266">
          <w:marLeft w:val="0"/>
          <w:marRight w:val="0"/>
          <w:marTop w:val="0"/>
          <w:marBottom w:val="0"/>
          <w:divBdr>
            <w:top w:val="none" w:sz="0" w:space="0" w:color="auto"/>
            <w:left w:val="none" w:sz="0" w:space="0" w:color="auto"/>
            <w:bottom w:val="none" w:sz="0" w:space="0" w:color="auto"/>
            <w:right w:val="none" w:sz="0" w:space="0" w:color="auto"/>
          </w:divBdr>
        </w:div>
      </w:divsChild>
    </w:div>
    <w:div w:id="322702375">
      <w:bodyDiv w:val="1"/>
      <w:marLeft w:val="0"/>
      <w:marRight w:val="0"/>
      <w:marTop w:val="0"/>
      <w:marBottom w:val="0"/>
      <w:divBdr>
        <w:top w:val="none" w:sz="0" w:space="0" w:color="auto"/>
        <w:left w:val="none" w:sz="0" w:space="0" w:color="auto"/>
        <w:bottom w:val="none" w:sz="0" w:space="0" w:color="auto"/>
        <w:right w:val="none" w:sz="0" w:space="0" w:color="auto"/>
      </w:divBdr>
    </w:div>
    <w:div w:id="325864976">
      <w:bodyDiv w:val="1"/>
      <w:marLeft w:val="0"/>
      <w:marRight w:val="0"/>
      <w:marTop w:val="0"/>
      <w:marBottom w:val="0"/>
      <w:divBdr>
        <w:top w:val="none" w:sz="0" w:space="0" w:color="auto"/>
        <w:left w:val="none" w:sz="0" w:space="0" w:color="auto"/>
        <w:bottom w:val="none" w:sz="0" w:space="0" w:color="auto"/>
        <w:right w:val="none" w:sz="0" w:space="0" w:color="auto"/>
      </w:divBdr>
    </w:div>
    <w:div w:id="467549484">
      <w:bodyDiv w:val="1"/>
      <w:marLeft w:val="0"/>
      <w:marRight w:val="0"/>
      <w:marTop w:val="0"/>
      <w:marBottom w:val="0"/>
      <w:divBdr>
        <w:top w:val="none" w:sz="0" w:space="0" w:color="auto"/>
        <w:left w:val="none" w:sz="0" w:space="0" w:color="auto"/>
        <w:bottom w:val="none" w:sz="0" w:space="0" w:color="auto"/>
        <w:right w:val="none" w:sz="0" w:space="0" w:color="auto"/>
      </w:divBdr>
    </w:div>
    <w:div w:id="707334829">
      <w:bodyDiv w:val="1"/>
      <w:marLeft w:val="0"/>
      <w:marRight w:val="0"/>
      <w:marTop w:val="0"/>
      <w:marBottom w:val="0"/>
      <w:divBdr>
        <w:top w:val="none" w:sz="0" w:space="0" w:color="auto"/>
        <w:left w:val="none" w:sz="0" w:space="0" w:color="auto"/>
        <w:bottom w:val="none" w:sz="0" w:space="0" w:color="auto"/>
        <w:right w:val="none" w:sz="0" w:space="0" w:color="auto"/>
      </w:divBdr>
    </w:div>
    <w:div w:id="1094017825">
      <w:bodyDiv w:val="1"/>
      <w:marLeft w:val="0"/>
      <w:marRight w:val="0"/>
      <w:marTop w:val="0"/>
      <w:marBottom w:val="0"/>
      <w:divBdr>
        <w:top w:val="none" w:sz="0" w:space="0" w:color="auto"/>
        <w:left w:val="none" w:sz="0" w:space="0" w:color="auto"/>
        <w:bottom w:val="none" w:sz="0" w:space="0" w:color="auto"/>
        <w:right w:val="none" w:sz="0" w:space="0" w:color="auto"/>
      </w:divBdr>
    </w:div>
    <w:div w:id="1274901386">
      <w:bodyDiv w:val="1"/>
      <w:marLeft w:val="0"/>
      <w:marRight w:val="0"/>
      <w:marTop w:val="0"/>
      <w:marBottom w:val="0"/>
      <w:divBdr>
        <w:top w:val="none" w:sz="0" w:space="0" w:color="auto"/>
        <w:left w:val="none" w:sz="0" w:space="0" w:color="auto"/>
        <w:bottom w:val="none" w:sz="0" w:space="0" w:color="auto"/>
        <w:right w:val="none" w:sz="0" w:space="0" w:color="auto"/>
      </w:divBdr>
      <w:divsChild>
        <w:div w:id="842741038">
          <w:marLeft w:val="0"/>
          <w:marRight w:val="0"/>
          <w:marTop w:val="0"/>
          <w:marBottom w:val="0"/>
          <w:divBdr>
            <w:top w:val="none" w:sz="0" w:space="0" w:color="auto"/>
            <w:left w:val="none" w:sz="0" w:space="0" w:color="auto"/>
            <w:bottom w:val="none" w:sz="0" w:space="0" w:color="auto"/>
            <w:right w:val="none" w:sz="0" w:space="0" w:color="auto"/>
          </w:divBdr>
        </w:div>
      </w:divsChild>
    </w:div>
    <w:div w:id="1285651893">
      <w:bodyDiv w:val="1"/>
      <w:marLeft w:val="0"/>
      <w:marRight w:val="0"/>
      <w:marTop w:val="0"/>
      <w:marBottom w:val="0"/>
      <w:divBdr>
        <w:top w:val="none" w:sz="0" w:space="0" w:color="auto"/>
        <w:left w:val="none" w:sz="0" w:space="0" w:color="auto"/>
        <w:bottom w:val="none" w:sz="0" w:space="0" w:color="auto"/>
        <w:right w:val="none" w:sz="0" w:space="0" w:color="auto"/>
      </w:divBdr>
    </w:div>
    <w:div w:id="1346590027">
      <w:bodyDiv w:val="1"/>
      <w:marLeft w:val="0"/>
      <w:marRight w:val="0"/>
      <w:marTop w:val="0"/>
      <w:marBottom w:val="0"/>
      <w:divBdr>
        <w:top w:val="none" w:sz="0" w:space="0" w:color="auto"/>
        <w:left w:val="none" w:sz="0" w:space="0" w:color="auto"/>
        <w:bottom w:val="none" w:sz="0" w:space="0" w:color="auto"/>
        <w:right w:val="none" w:sz="0" w:space="0" w:color="auto"/>
      </w:divBdr>
      <w:divsChild>
        <w:div w:id="1492023413">
          <w:marLeft w:val="0"/>
          <w:marRight w:val="0"/>
          <w:marTop w:val="0"/>
          <w:marBottom w:val="0"/>
          <w:divBdr>
            <w:top w:val="none" w:sz="0" w:space="0" w:color="auto"/>
            <w:left w:val="none" w:sz="0" w:space="0" w:color="auto"/>
            <w:bottom w:val="none" w:sz="0" w:space="0" w:color="auto"/>
            <w:right w:val="none" w:sz="0" w:space="0" w:color="auto"/>
          </w:divBdr>
        </w:div>
      </w:divsChild>
    </w:div>
    <w:div w:id="1733769184">
      <w:bodyDiv w:val="1"/>
      <w:marLeft w:val="0"/>
      <w:marRight w:val="0"/>
      <w:marTop w:val="0"/>
      <w:marBottom w:val="0"/>
      <w:divBdr>
        <w:top w:val="none" w:sz="0" w:space="0" w:color="auto"/>
        <w:left w:val="none" w:sz="0" w:space="0" w:color="auto"/>
        <w:bottom w:val="none" w:sz="0" w:space="0" w:color="auto"/>
        <w:right w:val="none" w:sz="0" w:space="0" w:color="auto"/>
      </w:divBdr>
      <w:divsChild>
        <w:div w:id="94904686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0C215B7BCCD21429982F091D3330C68" ma:contentTypeVersion="10" ma:contentTypeDescription="Kurkite naują dokumentą." ma:contentTypeScope="" ma:versionID="efca7e30ded47134ad6072f9b023cc7a">
  <xsd:schema xmlns:xsd="http://www.w3.org/2001/XMLSchema" xmlns:xs="http://www.w3.org/2001/XMLSchema" xmlns:p="http://schemas.microsoft.com/office/2006/metadata/properties" xmlns:ns2="535b3375-9d0c-4886-bcdd-3fc3dd2666c9" xmlns:ns3="7f863958-2371-488d-bd0c-90b8fde756f1" targetNamespace="http://schemas.microsoft.com/office/2006/metadata/properties" ma:root="true" ma:fieldsID="a4aa013147d3428997b4325271626c96" ns2:_="" ns3:_="">
    <xsd:import namespace="535b3375-9d0c-4886-bcdd-3fc3dd2666c9"/>
    <xsd:import namespace="7f863958-2371-488d-bd0c-90b8fde756f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35b3375-9d0c-4886-bcdd-3fc3dd2666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863958-2371-488d-bd0c-90b8fde756f1"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e6e9ee256413433f8ef8f8471cfb9abc" PartId="4a119a07fe0e48a299aeef1f1b2fbde9">
    <Part Type="straipsnis" Nr="1" Abbr="1 str." Title="Įstatymo paskirtis" DocPartId="c64e36cb29384904b891ef95a8d06853" PartId="dcaf10b5ac9746aa90bac7ee815f6a1d">
      <Part Type="strDalis" Nr="1" Abbr="1 str. 1 d." DocPartId="4d286e8aeaea44359b2ebefec36fcc88" PartId="b71ca94c87f14f55a3367d91295590c1"/>
    </Part>
    <Part Type="straipsnis" Nr="2" Abbr="2 str." Title="Įstatymo taikymas" DocPartId="42176f838c184ee89b233856d5425f6b" PartId="7f0de7f2eb00463585bc6d671993eba1">
      <Part Type="strDalis" Nr="1" Abbr="2 str. 1 d." DocPartId="132ead6cd02b4426ac99eed5cd398dd6" PartId="bfeeea841b3a4a44bb6c7dea0002c803"/>
    </Part>
    <Part Type="straipsnis" Nr="3" Abbr="3 str." Title="Pareiginės algos (atlyginimo) bazinis dydis ir jo peržiūrėjimas" DocPartId="cd730c1ce651408aa89ac1279f0dcf64" PartId="1d4ec8e6523548c29862bece8dc62cc9">
      <Part Type="strDalis" Nr="1" Abbr="3 str. 1 d." DocPartId="61440fef172249d0b45e2212c9f80082" PartId="20432b13b1f8454d81ff25b5134b047f"/>
      <Part Type="strDalis" Nr="2" Abbr="3 str. 2 d." DocPartId="e70ad9dfcb4e4eba9faa6af543531fa3" PartId="7229d8765aba41c6b3fdb09d35d2584a"/>
      <Part Type="strDalis" Nr="3" Abbr="3 str. 3 d." DocPartId="ab664501394840c08afcd3a58ade1100" PartId="f6c9151b3ee04a0294a2be1699df337f"/>
    </Part>
    <Part Type="straipsnis" Nr="4" Abbr="4 str." Title="Įstatymo įsigaliojimas, taikymas ir įgyvendinimas." DocPartId="1f55d2a6aae94d0b83d6c596aab2314b" PartId="0d47b4adec234af4b2cb411b097800a5">
      <Part Type="strDalis" Nr="1" Abbr="4 str. 1 d." DocPartId="b5c7e00fd5b44b05996bd4570b2881d7" PartId="8e5cf64b0b9743d8ab33c625318d4a7f"/>
      <Part Type="strDalis" Nr="2" Abbr="4 str. 2 d." DocPartId="7a67f282b895493cbe36c637158ccb74" PartId="8bfab578f2f2493b9be12e9a57afeec5"/>
      <Part Type="strDalis" Nr="3" Abbr="4 str. 3 d." DocPartId="89b306daca3342fe912ee59fd9d6147b" PartId="9ca5f31d7b864998a0751d2699c62ee4"/>
      <Part Type="strDalis" Nr="4" Abbr="4 str. 4 d." DocPartId="e6aabc8d1c7646ecaa25fbe1c1f24c9d" PartId="e3fbf04a02764d1aa1ed9571d3a471cc"/>
      <Part Type="strDalis" Nr="5" Abbr="4 str. 5 d." DocPartId="fbff0d6f51c74a25907c5d50d12aad2a" PartId="149bfec3812f4667a55d3eff01606091"/>
      <Part Type="strDalis" Nr="6" Abbr="4 str. 6 d." DocPartId="1e4fb5e41a484341beec740278b47294" PartId="f0d6771bb6524e098f86931de013ad16"/>
      <Part Type="strDalis" Nr="7" Abbr="4 str. 7 d." DocPartId="ea158bfd963e4587838a5828a4b060be" PartId="daa6e434393142ae9c97b82b42f588ba"/>
    </Part>
    <Part Type="signatura" DocPartId="7f52e33fa033472d99891978f9e8e464" PartId="17331dd7af07497296121f59e3555186"/>
  </Part>
</Parts>
</file>

<file path=customXml/itemProps1.xml><?xml version="1.0" encoding="utf-8"?>
<ds:datastoreItem xmlns:ds="http://schemas.openxmlformats.org/officeDocument/2006/customXml" ds:itemID="{D96CF0EC-21B1-48E8-B036-4757A3A882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35b3375-9d0c-4886-bcdd-3fc3dd2666c9"/>
    <ds:schemaRef ds:uri="7f863958-2371-488d-bd0c-90b8fde756f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9B2CD50-13E5-4D2F-9D1C-200F543F4D94}">
  <ds:schemaRefs>
    <ds:schemaRef ds:uri="http://schemas.microsoft.com/sharepoint/v3/contenttype/forms"/>
  </ds:schemaRefs>
</ds:datastoreItem>
</file>

<file path=customXml/itemProps3.xml><?xml version="1.0" encoding="utf-8"?>
<ds:datastoreItem xmlns:ds="http://schemas.openxmlformats.org/officeDocument/2006/customXml" ds:itemID="{24E7EDA7-AFBD-4931-85D7-024133404D8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85495D4-74EE-4034-8AB9-809215A08348}">
  <ds:schemaRefs>
    <ds:schemaRef ds:uri="http://schemas.openxmlformats.org/officeDocument/2006/bibliography"/>
  </ds:schemaRefs>
</ds:datastoreItem>
</file>

<file path=customXml/itemProps5.xml><?xml version="1.0" encoding="utf-8"?>
<ds:datastoreItem xmlns:ds="http://schemas.openxmlformats.org/officeDocument/2006/customXml" ds:itemID="{F5790FA3-7C12-4A9B-89A5-B598279DA17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646</Words>
  <Characters>4570</Characters>
  <Application>Microsoft Office Word</Application>
  <DocSecurity>4</DocSecurity>
  <Lines>81</Lines>
  <Paragraphs>27</Paragraphs>
  <ScaleCrop>false</ScaleCrop>
  <HeadingPairs>
    <vt:vector size="2" baseType="variant">
      <vt:variant>
        <vt:lpstr>Pavadinimas</vt:lpstr>
      </vt:variant>
      <vt:variant>
        <vt:i4>1</vt:i4>
      </vt:variant>
    </vt:vector>
  </HeadingPairs>
  <TitlesOfParts>
    <vt:vector size="1" baseType="lpstr">
      <vt:lpstr>Pro</vt:lpstr>
    </vt:vector>
  </TitlesOfParts>
  <Company>Soc. apsaugos ir darbo min.</Company>
  <LinksUpToDate>false</LinksUpToDate>
  <CharactersWithSpaces>5189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2022-10-26T07:10:00Z</dcterms:created>
  <dc:creator>LR SADM</dc:creator>
  <lastModifiedBy>adlibuser</lastModifiedBy>
  <lastPrinted>2022-09-14T11:14:00Z</lastPrinted>
  <dcterms:modified xsi:type="dcterms:W3CDTF">2022-10-26T07:10:00Z</dcterms:modified>
  <revision>2</revision>
  <dc:title>Pro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0x01010090C215B7BCCD21429982F091D3330C68</vt:lpwstr>
  </property>
</Properties>
</file>