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6128b3cc339748ab9f0421400ea0eb9f"/>
        <w:lock w:val="sdtLocked"/>
        <w:richText/>
      </w:sdtPr>
      <w:sdtContent>
        <w:p>
          <w:pPr>
            <w:tabs>
              <w:tab w:val="center" w:pos="4819"/>
              <w:tab w:val="right" w:pos="9638"/>
            </w:tabs>
          </w:pPr>
        </w:p>
        <w:p>
          <w:pPr>
            <w:tabs>
              <w:tab w:val="center" w:pos="4819"/>
              <w:tab w:val="right" w:pos="9638"/>
            </w:tabs>
            <w:jc w:val="center"/>
            <w:rPr>
              <w:szCs w:val="24"/>
            </w:rPr>
          </w:pPr>
        </w:p>
        <w:p>
          <w:pPr>
            <w:ind w:left="7200" w:firstLine="720"/>
            <w:jc w:val="both"/>
            <w:rPr>
              <w:b/>
              <w:bCs/>
              <w:szCs w:val="24"/>
              <w:lang w:eastAsia="lt-LT"/>
            </w:rPr>
          </w:pPr>
          <w:r>
            <w:rPr>
              <w:b/>
              <w:bCs/>
              <w:szCs w:val="24"/>
              <w:lang w:eastAsia="lt-LT"/>
            </w:rPr>
            <w:t>Projektas</w:t>
          </w:r>
        </w:p>
        <w:p>
          <w:pPr>
            <w:ind w:left="852" w:firstLine="7068"/>
            <w:jc w:val="both"/>
            <w:rPr>
              <w:szCs w:val="24"/>
              <w:lang w:eastAsia="lt-LT"/>
            </w:rPr>
          </w:pPr>
          <w:r>
            <w:rPr>
              <w:szCs w:val="24"/>
              <w:lang w:eastAsia="lt-LT"/>
            </w:rPr>
            <w:t>Nr. TSP-</w:t>
          </w:r>
        </w:p>
        <w:p>
          <w:pPr>
            <w:jc w:val="center"/>
            <w:rPr>
              <w:szCs w:val="24"/>
            </w:rPr>
          </w:pPr>
        </w:p>
        <w:p>
          <w:pPr>
            <w:keepNext/>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color w:val="000000"/>
              <w:szCs w:val="24"/>
            </w:rPr>
          </w:pPr>
          <w:r>
            <w:rPr>
              <w:b/>
              <w:bCs/>
              <w:color w:val="000000"/>
              <w:szCs w:val="24"/>
              <w:lang w:eastAsia="lt-LT"/>
            </w:rPr>
            <w:t xml:space="preserve">DĖL </w:t>
          </w:r>
          <w:r>
            <w:rPr>
              <w:b/>
              <w:bCs/>
              <w:szCs w:val="24"/>
            </w:rPr>
            <w:t xml:space="preserve">RADVILIŠKIO RAJONO </w:t>
          </w:r>
          <w:r>
            <w:rPr>
              <w:b/>
              <w:bCs/>
              <w:color w:val="000000"/>
              <w:szCs w:val="24"/>
            </w:rPr>
            <w:t>SAVIVALDYBĖS TARYBOS SPRENDIMO </w:t>
          </w:r>
        </w:p>
        <w:p>
          <w:pPr>
            <w:jc w:val="center"/>
            <w:rPr>
              <w:b/>
              <w:bCs/>
              <w:szCs w:val="24"/>
            </w:rPr>
          </w:pPr>
          <w:r>
            <w:rPr>
              <w:b/>
              <w:bCs/>
              <w:color w:val="000000"/>
              <w:szCs w:val="24"/>
            </w:rPr>
            <w:t>PRIPAŽINIMO NETEKUSIU GALIOS</w:t>
          </w:r>
        </w:p>
        <w:p>
          <w:pPr>
            <w:jc w:val="center"/>
            <w:rPr>
              <w:szCs w:val="24"/>
            </w:rPr>
          </w:pPr>
        </w:p>
        <w:p>
          <w:pPr>
            <w:ind w:firstLine="62"/>
            <w:jc w:val="center"/>
            <w:rPr>
              <w:szCs w:val="24"/>
            </w:rPr>
          </w:pPr>
          <w:r>
            <w:rPr>
              <w:szCs w:val="24"/>
            </w:rPr>
            <w:t xml:space="preserve">2025 m. gegužės         Nr. T-</w:t>
          </w:r>
        </w:p>
        <w:p>
          <w:pPr>
            <w:jc w:val="center"/>
            <w:rPr>
              <w:szCs w:val="24"/>
            </w:rPr>
          </w:pPr>
          <w:r>
            <w:rPr>
              <w:szCs w:val="24"/>
            </w:rPr>
            <w:t>Radviliškis</w:t>
          </w:r>
        </w:p>
        <w:p>
          <w:pPr>
            <w:jc w:val="center"/>
            <w:rPr>
              <w:szCs w:val="24"/>
            </w:rPr>
          </w:pPr>
        </w:p>
        <w:sdt>
          <w:sdtPr>
            <w:alias w:val="preambule"/>
            <w:tag w:val="part_fadc7177160b4938935e4806250abb52"/>
            <w:lock w:val="sdtLocked"/>
            <w:richText/>
          </w:sdtPr>
          <w:sdtContent>
            <w:p>
              <w:pPr>
                <w:ind w:firstLine="709"/>
                <w:jc w:val="both"/>
                <w:textAlignment w:val="baseline"/>
                <w:rPr>
                  <w:szCs w:val="24"/>
                  <w:lang w:eastAsia="lt-LT"/>
                </w:rPr>
              </w:pPr>
              <w:r>
                <w:rPr>
                  <w:szCs w:val="24"/>
                  <w:lang w:eastAsia="lt-LT"/>
                </w:rPr>
                <w:t xml:space="preserve">Vadovaudamasi Lietuvos Respublikos Vietos savivaldos įstatymo 16 straipsnio 1 dalimi, Radviliškio rajono savivaldybės taryba </w:t>
              </w:r>
              <w:r>
                <w:rPr>
                  <w:spacing w:val="50"/>
                  <w:szCs w:val="24"/>
                  <w:lang w:eastAsia="lt-LT"/>
                </w:rPr>
                <w:t>nusprendži</w:t>
              </w:r>
              <w:r>
                <w:rPr>
                  <w:szCs w:val="24"/>
                  <w:lang w:eastAsia="lt-LT"/>
                </w:rPr>
                <w:t>a:</w:t>
              </w:r>
            </w:p>
          </w:sdtContent>
        </w:sdt>
        <w:sdt>
          <w:sdtPr>
            <w:alias w:val="pastraipa"/>
            <w:tag w:val="part_b1fcdf8abbaa45ecb03d5d889fe5ef27"/>
            <w:lock w:val="sdtLocked"/>
            <w:richText/>
          </w:sdtPr>
          <w:sdtContent>
            <w:p>
              <w:pPr>
                <w:ind w:firstLine="709"/>
                <w:jc w:val="both"/>
                <w:textAlignment w:val="baseline"/>
                <w:rPr>
                  <w:szCs w:val="24"/>
                  <w:lang w:eastAsia="lt-LT"/>
                </w:rPr>
              </w:pPr>
              <w:r>
                <w:rPr>
                  <w:szCs w:val="24"/>
                </w:rPr>
                <w:t xml:space="preserve">Pripažinti netekusiu galios </w:t>
              </w:r>
              <w:r>
                <w:rPr>
                  <w:color w:val="000000"/>
                  <w:szCs w:val="24"/>
                  <w:lang w:eastAsia="lt-LT"/>
                </w:rPr>
                <w:t>Radviliškio rajono savivaldybės tarybos 2021 m. vasario 25 d. sprendimą Nr. T-437 „Dėl papildomo finansavimo skyrimo iš savivaldybės biudžeto lėšų, globėjams, šeimynoms ir budintiems globotojams tvarkos aprašo patvirtinimo“.</w:t>
              </w:r>
            </w:p>
            <w:p>
              <w:pPr>
                <w:ind w:firstLine="709"/>
                <w:jc w:val="both"/>
                <w:textAlignment w:val="baseline"/>
                <w:rPr>
                  <w:szCs w:val="24"/>
                  <w:lang w:eastAsia="lt-LT"/>
                </w:rPr>
              </w:pPr>
            </w:p>
            <w:p>
              <w:pPr>
                <w:tabs>
                  <w:tab w:val="left" w:pos="709"/>
                </w:tabs>
                <w:rPr>
                  <w:szCs w:val="24"/>
                </w:rPr>
              </w:pPr>
            </w:p>
            <w:p>
              <w:pPr>
                <w:tabs>
                  <w:tab w:val="left" w:pos="709"/>
                </w:tabs>
                <w:rPr>
                  <w:szCs w:val="24"/>
                </w:rPr>
              </w:pPr>
            </w:p>
            <w:p>
              <w:pPr>
                <w:rPr>
                  <w:szCs w:val="24"/>
                </w:rPr>
              </w:pPr>
              <w:r>
                <w:rPr>
                  <w:szCs w:val="24"/>
                </w:rPr>
                <w:t xml:space="preserve">Savivaldybės meras </w:t>
                <w:tab/>
                <w:tab/>
                <w:tab/>
                <w:t xml:space="preserve">                                    </w:t>
                <w:tab/>
                <w:tab/>
                <w:tab/>
                <w:tab/>
                <w:t xml:space="preserve">               </w:t>
              </w:r>
            </w:p>
            <w:p>
              <w:pPr>
                <w:rPr>
                  <w:szCs w:val="24"/>
                  <w:lang w:eastAsia="lt-LT"/>
                </w:rPr>
              </w:pPr>
            </w:p>
            <w:p>
              <w:pPr>
                <w:tabs>
                  <w:tab w:val="left" w:pos="315"/>
                </w:tabs>
                <w:rPr>
                  <w:b/>
                  <w:bCs/>
                  <w:szCs w:val="24"/>
                </w:rPr>
              </w:pPr>
            </w:p>
            <w:p>
              <w:pPr>
                <w:jc w:val="center"/>
                <w:rPr>
                  <w:b/>
                  <w:bCs/>
                  <w:szCs w:val="24"/>
                </w:rPr>
              </w:pPr>
            </w:p>
            <w:p>
              <w:pPr>
                <w:jc w:val="center"/>
                <w:rPr>
                  <w:b/>
                  <w:bCs/>
                  <w:szCs w:val="24"/>
                </w:rPr>
              </w:pPr>
            </w:p>
            <w:p>
              <w:pPr>
                <w:jc w:val="center"/>
                <w:rPr>
                  <w:b/>
                  <w:bCs/>
                  <w:szCs w:val="24"/>
                </w:rPr>
              </w:pPr>
            </w:p>
            <w:p>
              <w:pPr>
                <w:rPr>
                  <w:b/>
                  <w:bCs/>
                  <w:szCs w:val="24"/>
                </w:rPr>
              </w:pPr>
            </w:p>
            <w:p>
              <w:pPr>
                <w:rPr>
                  <w:b/>
                  <w:bCs/>
                  <w:szCs w:val="24"/>
                </w:rPr>
              </w:pPr>
            </w:p>
            <w:p>
              <w:pPr>
                <w:rPr>
                  <w:b/>
                  <w:bCs/>
                  <w:szCs w:val="24"/>
                </w:rPr>
              </w:pPr>
            </w:p>
            <w:p>
              <w:pPr>
                <w:rPr>
                  <w:b/>
                  <w:bCs/>
                  <w:szCs w:val="24"/>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701" w:left="1701" w:header="709" w:footer="709" w:gutter="0"/>
                  <w:cols w:space="708"/>
                  <w:titlePg/>
                  <w:docGrid w:linePitch="360"/>
                </w:sectPr>
              </w:pPr>
            </w:p>
            <w:p>
              <w:pPr>
                <w:tabs>
                  <w:tab w:val="center" w:pos="4986"/>
                  <w:tab w:val="right" w:pos="9972"/>
                </w:tabs>
              </w:pPr>
            </w:p>
          </w:sdtContent>
        </w:sdt>
        <w:sdt>
          <w:sdtPr>
            <w:alias w:val="skirsnis"/>
            <w:tag w:val="part_9cd4979adc354c449ed33f7fccf2a832"/>
            <w:lock w:val="sdtLocked"/>
            <w:richText/>
          </w:sdtPr>
          <w:sdtContent>
            <w:sdt>
              <w:sdtPr>
                <w:alias w:val="Pavadinimas"/>
                <w:tag w:val="title_9cd4979adc354c449ed33f7fccf2a832"/>
                <w:lock w:val="sdtLocked"/>
                <w:richText/>
              </w:sdtPr>
              <w:sdtContent>
                <w:p>
                  <w:pPr>
                    <w:ind w:right="278"/>
                    <w:jc w:val="center"/>
                    <w:rPr>
                      <w:b/>
                      <w:szCs w:val="24"/>
                    </w:rPr>
                  </w:pPr>
                  <w:r>
                    <w:rPr>
                      <w:b/>
                      <w:szCs w:val="24"/>
                    </w:rPr>
                    <w:t>RADVILIŠKIO RAJONO SAVIVALDYBĖS TARYBOS SPRENDIMO PROJEKTO</w:t>
                  </w:r>
                </w:p>
                <w:p>
                  <w:pPr>
                    <w:jc w:val="center"/>
                    <w:rPr>
                      <w:b/>
                      <w:bCs/>
                      <w:color w:val="000000"/>
                      <w:szCs w:val="24"/>
                    </w:rPr>
                  </w:pPr>
                  <w:r>
                    <w:rPr>
                      <w:b/>
                      <w:szCs w:val="24"/>
                    </w:rPr>
                    <w:t>„</w:t>
                  </w:r>
                  <w:r>
                    <w:rPr>
                      <w:b/>
                      <w:bCs/>
                      <w:color w:val="000000"/>
                      <w:szCs w:val="24"/>
                      <w:lang w:eastAsia="lt-LT"/>
                    </w:rPr>
                    <w:t xml:space="preserve">DĖL </w:t>
                  </w:r>
                  <w:r>
                    <w:rPr>
                      <w:b/>
                      <w:bCs/>
                      <w:szCs w:val="24"/>
                    </w:rPr>
                    <w:t xml:space="preserve">RADVILIŠKIO RAJONO </w:t>
                  </w:r>
                  <w:r>
                    <w:rPr>
                      <w:b/>
                      <w:bCs/>
                      <w:color w:val="000000"/>
                      <w:szCs w:val="24"/>
                    </w:rPr>
                    <w:t>SAVIVALDYBĖS TARYBOS SPRENDIMO </w:t>
                  </w:r>
                </w:p>
                <w:p>
                  <w:pPr>
                    <w:jc w:val="center"/>
                    <w:rPr>
                      <w:b/>
                      <w:bCs/>
                      <w:szCs w:val="24"/>
                    </w:rPr>
                  </w:pPr>
                  <w:r>
                    <w:rPr>
                      <w:b/>
                      <w:bCs/>
                      <w:color w:val="000000"/>
                      <w:szCs w:val="24"/>
                    </w:rPr>
                    <w:t>PRIPAŽINIMO NETEKUSIU GALIOS</w:t>
                  </w:r>
                  <w:r>
                    <w:rPr>
                      <w:b/>
                      <w:szCs w:val="24"/>
                    </w:rPr>
                    <w:t>”</w:t>
                  </w:r>
                </w:p>
                <w:p>
                  <w:pPr>
                    <w:ind w:right="278"/>
                    <w:jc w:val="center"/>
                    <w:rPr>
                      <w:b/>
                      <w:bCs/>
                      <w:szCs w:val="24"/>
                    </w:rPr>
                  </w:pPr>
                  <w:r>
                    <w:rPr>
                      <w:b/>
                      <w:bCs/>
                      <w:szCs w:val="24"/>
                    </w:rPr>
                    <w:t>AIŠKINAMASIS RAŠTAS</w:t>
                  </w:r>
                </w:p>
              </w:sdtContent>
            </w:sdt>
            <w:p>
              <w:pPr>
                <w:ind w:right="177" w:firstLine="4925"/>
                <w:rPr>
                  <w:szCs w:val="24"/>
                </w:rPr>
              </w:pPr>
            </w:p>
            <w:p>
              <w:pPr>
                <w:ind w:right="177"/>
                <w:jc w:val="center"/>
                <w:rPr>
                  <w:szCs w:val="24"/>
                </w:rPr>
              </w:pPr>
              <w:r>
                <w:rPr>
                  <w:szCs w:val="24"/>
                </w:rPr>
                <w:t>2025 m. gegužės 8 d.</w:t>
              </w:r>
            </w:p>
            <w:p>
              <w:pPr>
                <w:ind w:right="177"/>
                <w:jc w:val="center"/>
                <w:rPr>
                  <w:szCs w:val="24"/>
                </w:rPr>
              </w:pPr>
              <w:r>
                <w:rPr>
                  <w:szCs w:val="24"/>
                </w:rPr>
                <w:t>Radviliškis</w:t>
              </w:r>
            </w:p>
            <w:p>
              <w:pPr>
                <w:ind w:left="-120"/>
                <w:rPr>
                  <w:szCs w:val="24"/>
                </w:rPr>
              </w:pPr>
            </w:p>
            <w:sdt>
              <w:sdtPr>
                <w:alias w:val="1 p."/>
                <w:tag w:val="part_aee1f21b14664ec182a2823c3d54456a"/>
                <w:lock w:val="sdtLocked"/>
                <w:richText/>
              </w:sdtPr>
              <w:sdtContent>
                <w:p>
                  <w:pPr>
                    <w:tabs>
                      <w:tab w:val="left" w:pos="993"/>
                    </w:tabs>
                    <w:ind w:firstLine="709"/>
                    <w:jc w:val="both"/>
                    <w:rPr>
                      <w:b/>
                      <w:bCs/>
                      <w:szCs w:val="24"/>
                    </w:rPr>
                  </w:pPr>
                  <w:sdt>
                    <w:sdtPr>
                      <w:alias w:val="Numeris"/>
                      <w:tag w:val="nr_aee1f21b14664ec182a2823c3d54456a"/>
                      <w:lock w:val="sdtLocked"/>
                      <w:richText/>
                    </w:sdtPr>
                    <w:sdtContent>
                      <w:r>
                        <w:rPr>
                          <w:b/>
                          <w:bCs/>
                          <w:szCs w:val="24"/>
                        </w:rPr>
                        <w:t>1</w:t>
                      </w:r>
                    </w:sdtContent>
                  </w:sdt>
                  <w:r>
                    <w:rPr>
                      <w:b/>
                      <w:bCs/>
                      <w:szCs w:val="24"/>
                    </w:rPr>
                    <w:t>.</w:t>
                    <w:tab/>
                    <w:t>Parengto sprendimo rengimą paskatinusios priežastys, parengto projekto tikslai, sprendimo projekto tikslai ir uždaviniai.</w:t>
                  </w:r>
                </w:p>
                <w:p>
                  <w:pPr>
                    <w:tabs>
                      <w:tab w:val="left" w:pos="993"/>
                    </w:tabs>
                    <w:ind w:firstLine="709"/>
                    <w:jc w:val="both"/>
                    <w:rPr>
                      <w:b/>
                      <w:bCs/>
                      <w:szCs w:val="24"/>
                    </w:rPr>
                  </w:pPr>
                  <w:r>
                    <w:rPr>
                      <w:szCs w:val="24"/>
                    </w:rPr>
                    <w:t>Siekiant suderinti Šeimynų įstatymo nuostatas su Vietos savivaldos įstatymo nuostatomis Radviliškio savivaldybės mero</w:t>
                  </w:r>
                  <w:r>
                    <w:rPr>
                      <w:b/>
                      <w:bCs/>
                      <w:szCs w:val="24"/>
                    </w:rPr>
                    <w:t xml:space="preserve"> </w:t>
                  </w:r>
                  <w:r>
                    <w:rPr>
                      <w:szCs w:val="24"/>
                    </w:rPr>
                    <w:t xml:space="preserve">2024 m. spalio 17 d. potvarkiu Nr. M-556 (2.5 E) „Dėl Šeimynų steigimo, veiklos nutraukimo ir finansavimo Radviliškio rajono savivaldybėje tvarkos aprašo patvirtinimo“ buvo patvirtintas Šeimynų steigimo, veiklos nutraukimo ir finansavimo Radviliškio rajono savivaldybėje tvarkos aprašas, kuriame patvirtintos nuostatos, buvusios teikiamame laikyti netekusiu galios tvarkos apraše. LR socialinių paslaugų įstatymo 11 straipsnio 1 dalyje numatyta, kad gali būti mokami pagalbos pinigai, todėl, vadovaujantis šia rekomendacija, šis finansavimas bus reglamentuojamas Radviliškio rajono savivaldybės gyventojų mokėjimo už socialines paslaugas tvarkos apraše, tvirtinamame Savivaldybės tarybos sprendimu. </w:t>
                  </w:r>
                </w:p>
              </w:sdtContent>
            </w:sdt>
            <w:sdt>
              <w:sdtPr>
                <w:alias w:val="2 p."/>
                <w:tag w:val="part_e6ed4ca93b5d4c1a95363b7604a6cc7b"/>
                <w:lock w:val="sdtLocked"/>
                <w:richText/>
              </w:sdtPr>
              <w:sdtContent>
                <w:p>
                  <w:pPr>
                    <w:tabs>
                      <w:tab w:val="left" w:pos="993"/>
                    </w:tabs>
                    <w:suppressAutoHyphens/>
                    <w:ind w:left="1069" w:hanging="360"/>
                    <w:jc w:val="both"/>
                    <w:rPr>
                      <w:b/>
                      <w:bCs/>
                      <w:szCs w:val="24"/>
                    </w:rPr>
                  </w:pPr>
                  <w:sdt>
                    <w:sdtPr>
                      <w:alias w:val="Numeris"/>
                      <w:tag w:val="nr_e6ed4ca93b5d4c1a95363b7604a6cc7b"/>
                      <w:lock w:val="sdtLocked"/>
                      <w:richText/>
                    </w:sdtPr>
                    <w:sdtContent>
                      <w:r>
                        <w:rPr>
                          <w:b/>
                          <w:bCs/>
                          <w:szCs w:val="24"/>
                        </w:rPr>
                        <w:t>2</w:t>
                      </w:r>
                    </w:sdtContent>
                  </w:sdt>
                  <w:r>
                    <w:rPr>
                      <w:b/>
                      <w:bCs/>
                      <w:szCs w:val="24"/>
                    </w:rPr>
                    <w:t>.</w:t>
                    <w:tab/>
                    <w:t>Projekto iniciatoriai (institucija, asmenys ar piliečių atstovai) ir rengėjai.</w:t>
                  </w:r>
                </w:p>
                <w:p>
                  <w:pPr>
                    <w:tabs>
                      <w:tab w:val="left" w:pos="993"/>
                    </w:tabs>
                    <w:suppressAutoHyphens/>
                    <w:ind w:left="709"/>
                    <w:jc w:val="both"/>
                    <w:rPr>
                      <w:szCs w:val="24"/>
                    </w:rPr>
                  </w:pPr>
                  <w:r>
                    <w:rPr>
                      <w:szCs w:val="24"/>
                    </w:rPr>
                    <w:t>Radviliškio rajono savivaldybės administracijos Socialinės paramos skyrius.</w:t>
                  </w:r>
                </w:p>
              </w:sdtContent>
            </w:sdt>
            <w:sdt>
              <w:sdtPr>
                <w:alias w:val="3 p."/>
                <w:tag w:val="part_4d224ece46724a749cae9302783053a5"/>
                <w:lock w:val="sdtLocked"/>
                <w:richText/>
              </w:sdtPr>
              <w:sdtContent>
                <w:p>
                  <w:pPr>
                    <w:tabs>
                      <w:tab w:val="left" w:pos="993"/>
                    </w:tabs>
                    <w:suppressAutoHyphens/>
                    <w:ind w:left="1069" w:hanging="360"/>
                    <w:jc w:val="both"/>
                    <w:rPr>
                      <w:b/>
                      <w:szCs w:val="24"/>
                    </w:rPr>
                  </w:pPr>
                  <w:sdt>
                    <w:sdtPr>
                      <w:alias w:val="Numeris"/>
                      <w:tag w:val="nr_4d224ece46724a749cae9302783053a5"/>
                      <w:lock w:val="sdtLocked"/>
                      <w:richText/>
                    </w:sdtPr>
                    <w:sdtContent>
                      <w:r>
                        <w:rPr>
                          <w:b/>
                          <w:szCs w:val="24"/>
                        </w:rPr>
                        <w:t>3</w:t>
                      </w:r>
                    </w:sdtContent>
                  </w:sdt>
                  <w:r>
                    <w:rPr>
                      <w:b/>
                      <w:szCs w:val="24"/>
                    </w:rPr>
                    <w:t>.</w:t>
                    <w:tab/>
                    <w:t>Kaip šiuo metu yra reguliuojami sprendimo projekte aptarti teisiniai santykiai.</w:t>
                  </w:r>
                </w:p>
                <w:p>
                  <w:pPr>
                    <w:ind w:firstLine="709"/>
                    <w:jc w:val="both"/>
                    <w:textAlignment w:val="baseline"/>
                    <w:rPr>
                      <w:szCs w:val="24"/>
                    </w:rPr>
                  </w:pPr>
                  <w:r>
                    <w:rPr>
                      <w:szCs w:val="24"/>
                    </w:rPr>
                    <w:t>Šeimynų steigimo, veiklos nutraukimo ir finansavimo Radviliškio rajono savivaldybėje tvarkos aprašas, patvirtintas Radviliškio rajono savivaldybės mero 2024 m. spalio 17 d. potvarkiu Nr. M-556 (2.5 E) „Dėl Šeimynų steigimo, veiklos nutraukimo ir finansavimo Radviliškio rajono savivaldybėje tvarkos aprašo patvirtinimo“. P</w:t>
                  </w:r>
                  <w:r>
                    <w:rPr>
                      <w:szCs w:val="24"/>
                      <w:lang w:eastAsia="lt-LT"/>
                    </w:rPr>
                    <w:t>apildomo finansavimo skyrimo iš savivaldybės biudžeto lėšų, globėjams, šeimynoms ir budintiems globotojams tvarkos aprašas, patvirtintas Radviliškio rajono savivaldybės tarybos 2021 m. vasario 25 d. sprendimą Nr. T-437 „Dėl papildomo finansavimo skyrimo iš savivaldybės biudžeto lėšų, globėjams, šeimynoms ir budintiems globotojams tvarkos aprašo patvirtinimo“.</w:t>
                  </w:r>
                </w:p>
              </w:sdtContent>
            </w:sdt>
            <w:sdt>
              <w:sdtPr>
                <w:alias w:val="4 p."/>
                <w:tag w:val="part_aba0768f9e8f40be928570c79bde231e"/>
                <w:lock w:val="sdtLocked"/>
                <w:richText/>
              </w:sdtPr>
              <w:sdtContent>
                <w:p>
                  <w:pPr>
                    <w:tabs>
                      <w:tab w:val="left" w:pos="993"/>
                    </w:tabs>
                    <w:suppressAutoHyphens/>
                    <w:ind w:firstLine="709"/>
                    <w:jc w:val="both"/>
                    <w:rPr>
                      <w:b/>
                      <w:bCs/>
                      <w:szCs w:val="24"/>
                    </w:rPr>
                  </w:pPr>
                  <w:sdt>
                    <w:sdtPr>
                      <w:alias w:val="Numeris"/>
                      <w:tag w:val="nr_aba0768f9e8f40be928570c79bde231e"/>
                      <w:lock w:val="sdtLocked"/>
                      <w:richText/>
                    </w:sdtPr>
                    <w:sdtContent>
                      <w:r>
                        <w:rPr>
                          <w:b/>
                          <w:bCs/>
                          <w:szCs w:val="24"/>
                        </w:rPr>
                        <w:t>4</w:t>
                      </w:r>
                    </w:sdtContent>
                  </w:sdt>
                  <w:r>
                    <w:rPr>
                      <w:b/>
                      <w:bCs/>
                      <w:szCs w:val="24"/>
                    </w:rPr>
                    <w:t>.</w:t>
                    <w:tab/>
                    <w:t xml:space="preserve">Kokios siūlomos naujos teisinio reguliavimo nuostatos, kokių teigiamų rezultatų laukiama. </w:t>
                  </w:r>
                </w:p>
                <w:p>
                  <w:pPr>
                    <w:tabs>
                      <w:tab w:val="left" w:pos="993"/>
                    </w:tabs>
                    <w:suppressAutoHyphens/>
                    <w:ind w:firstLine="709"/>
                    <w:jc w:val="both"/>
                    <w:rPr>
                      <w:b/>
                      <w:bCs/>
                      <w:szCs w:val="24"/>
                    </w:rPr>
                  </w:pPr>
                  <w:r>
                    <w:rPr>
                      <w:szCs w:val="24"/>
                    </w:rPr>
                    <w:t>Jau patvirtintas</w:t>
                  </w:r>
                  <w:r>
                    <w:rPr>
                      <w:b/>
                      <w:bCs/>
                      <w:szCs w:val="24"/>
                    </w:rPr>
                    <w:t xml:space="preserve"> </w:t>
                  </w:r>
                  <w:r>
                    <w:rPr>
                      <w:szCs w:val="24"/>
                    </w:rPr>
                    <w:t>Šeimynų steigimo, veiklos nutraukimo ir finansavimo Radviliškio rajono savivaldybėje tvarkos aprašas, patvirtintas Radviliškio rajono savivaldybės mero 2024 m. spalio 17 d. potvarkiu Nr. M-556 (2.5 E) „Dėl Šeimynų steigimo, veiklos nutraukimo ir finansavimo Radviliškio rajono savivaldybėje tvarkos aprašo patvirtinimo“, kuriame patvirtintos nuostatos dėl šeimynų finansavimo. Papildomas finansavimas globėjams, budintiems globotojas ir nuolatiniams globotojams bus numatytas Radviliškio rajono savivaldybės gyventojų mokėjimo už socialines paslaugas tvarkos apraše, tvirtinamame Savivaldybės tarybos sprendimu.</w:t>
                  </w:r>
                </w:p>
              </w:sdtContent>
            </w:sdt>
            <w:sdt>
              <w:sdtPr>
                <w:alias w:val="5 p."/>
                <w:tag w:val="part_eab22a4f20a842b38598c57cd2ff642c"/>
                <w:lock w:val="sdtLocked"/>
                <w:richText/>
              </w:sdtPr>
              <w:sdtContent>
                <w:p>
                  <w:pPr>
                    <w:ind w:firstLine="709"/>
                    <w:jc w:val="both"/>
                    <w:rPr>
                      <w:szCs w:val="24"/>
                    </w:rPr>
                  </w:pPr>
                  <w:sdt>
                    <w:sdtPr>
                      <w:alias w:val="Numeris"/>
                      <w:tag w:val="nr_eab22a4f20a842b38598c57cd2ff642c"/>
                      <w:lock w:val="sdtLocked"/>
                      <w:richText/>
                    </w:sdtPr>
                    <w:sdtContent>
                      <w:r>
                        <w:rPr>
                          <w:b/>
                          <w:bCs/>
                          <w:szCs w:val="24"/>
                        </w:rPr>
                        <w:t>5</w:t>
                      </w:r>
                    </w:sdtContent>
                  </w:sdt>
                  <w:r>
                    <w:rPr>
                      <w:b/>
                      <w:bCs/>
                      <w:szCs w:val="24"/>
                    </w:rPr>
                    <w:t xml:space="preserve">. Galimos neigiamos priimto sprendimo projekto pasekmės ir kokių priemonių reikėtų imtis, kad tokių pasekmių būtų išvengta. </w:t>
                  </w:r>
                </w:p>
                <w:p>
                  <w:pPr>
                    <w:ind w:firstLine="709"/>
                    <w:jc w:val="both"/>
                    <w:rPr>
                      <w:b/>
                      <w:bCs/>
                      <w:szCs w:val="24"/>
                    </w:rPr>
                  </w:pPr>
                  <w:r>
                    <w:rPr>
                      <w:szCs w:val="24"/>
                    </w:rPr>
                    <w:t>Neigiamų pasekmių nenumatoma.</w:t>
                  </w:r>
                </w:p>
              </w:sdtContent>
            </w:sdt>
            <w:sdt>
              <w:sdtPr>
                <w:alias w:val="6 p."/>
                <w:tag w:val="part_9334cece0b4e4679a3e6660bb0bfbd89"/>
                <w:lock w:val="sdtLocked"/>
                <w:richText/>
              </w:sdtPr>
              <w:sdtContent>
                <w:p>
                  <w:pPr>
                    <w:ind w:firstLine="709"/>
                    <w:jc w:val="both"/>
                    <w:rPr>
                      <w:szCs w:val="24"/>
                    </w:rPr>
                  </w:pPr>
                  <w:sdt>
                    <w:sdtPr>
                      <w:alias w:val="Numeris"/>
                      <w:tag w:val="nr_9334cece0b4e4679a3e6660bb0bfbd89"/>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 </w:t>
                  </w:r>
                </w:p>
                <w:p>
                  <w:pPr>
                    <w:ind w:firstLine="720"/>
                    <w:jc w:val="both"/>
                    <w:rPr>
                      <w:szCs w:val="24"/>
                    </w:rPr>
                  </w:pPr>
                  <w:r>
                    <w:rPr>
                      <w:szCs w:val="24"/>
                    </w:rPr>
                    <w:t>-</w:t>
                  </w:r>
                </w:p>
              </w:sdtContent>
            </w:sdt>
            <w:sdt>
              <w:sdtPr>
                <w:alias w:val="7 p."/>
                <w:tag w:val="part_da3272ee675b479f93045331a17b3386"/>
                <w:lock w:val="sdtLocked"/>
                <w:richText/>
              </w:sdtPr>
              <w:sdtContent>
                <w:p>
                  <w:pPr>
                    <w:ind w:firstLine="709"/>
                    <w:jc w:val="both"/>
                    <w:rPr>
                      <w:szCs w:val="24"/>
                    </w:rPr>
                  </w:pPr>
                  <w:sdt>
                    <w:sdtPr>
                      <w:alias w:val="Numeris"/>
                      <w:tag w:val="nr_da3272ee675b479f93045331a17b3386"/>
                      <w:lock w:val="sdtLocked"/>
                      <w:richText/>
                    </w:sdtPr>
                    <w:sdtContent>
                      <w:r>
                        <w:rPr>
                          <w:b/>
                          <w:bCs/>
                          <w:szCs w:val="24"/>
                        </w:rPr>
                        <w:t>7</w:t>
                      </w:r>
                    </w:sdtContent>
                  </w:sdt>
                  <w:r>
                    <w:rPr>
                      <w:b/>
                      <w:bCs/>
                      <w:szCs w:val="24"/>
                    </w:rPr>
                    <w:t xml:space="preserve">. </w:t>
                  </w:r>
                  <w:r>
                    <w:rPr>
                      <w:b/>
                      <w:szCs w:val="24"/>
                    </w:rPr>
                    <w:t xml:space="preserve">Sprendimo projektui įgyvendinti reikalingos lėšos, finansavimo šaltiniai. </w:t>
                  </w:r>
                </w:p>
                <w:p>
                  <w:pPr>
                    <w:ind w:firstLine="709"/>
                    <w:jc w:val="both"/>
                    <w:rPr>
                      <w:b/>
                      <w:szCs w:val="24"/>
                    </w:rPr>
                  </w:pPr>
                  <w:r>
                    <w:rPr>
                      <w:szCs w:val="24"/>
                    </w:rPr>
                    <w:t xml:space="preserve">Sprendimo projektui įgyvendinti papildomų lėšų nereikės.  </w:t>
                  </w:r>
                </w:p>
              </w:sdtContent>
            </w:sdt>
            <w:sdt>
              <w:sdtPr>
                <w:alias w:val="8 p."/>
                <w:tag w:val="part_6f62b4af51104c6d95b892c233b477f3"/>
                <w:lock w:val="sdtLocked"/>
                <w:richText/>
              </w:sdtPr>
              <w:sdtContent>
                <w:p>
                  <w:pPr>
                    <w:tabs>
                      <w:tab w:val="left" w:pos="1418"/>
                    </w:tabs>
                    <w:ind w:left="709"/>
                    <w:jc w:val="both"/>
                    <w:rPr>
                      <w:b/>
                      <w:bCs/>
                      <w:szCs w:val="24"/>
                    </w:rPr>
                  </w:pPr>
                  <w:sdt>
                    <w:sdtPr>
                      <w:alias w:val="Numeris"/>
                      <w:tag w:val="nr_6f62b4af51104c6d95b892c233b477f3"/>
                      <w:lock w:val="sdtLocked"/>
                      <w:richText/>
                    </w:sdtPr>
                    <w:sdtContent>
                      <w:r>
                        <w:rPr>
                          <w:b/>
                          <w:bCs/>
                          <w:szCs w:val="24"/>
                        </w:rPr>
                        <w:t>8</w:t>
                      </w:r>
                    </w:sdtContent>
                  </w:sdt>
                  <w:r>
                    <w:rPr>
                      <w:b/>
                      <w:bCs/>
                      <w:szCs w:val="24"/>
                    </w:rPr>
                    <w:t xml:space="preserve">. Sprendimo projekto rengimo metu gauti specialistų vertinimai ir išvados. </w:t>
                  </w:r>
                </w:p>
                <w:p>
                  <w:pPr>
                    <w:ind w:left="709"/>
                    <w:jc w:val="both"/>
                    <w:rPr>
                      <w:b/>
                      <w:bCs/>
                      <w:szCs w:val="24"/>
                    </w:rPr>
                  </w:pPr>
                  <w:r>
                    <w:rPr>
                      <w:szCs w:val="24"/>
                    </w:rPr>
                    <w:t xml:space="preserve">– </w:t>
                  </w:r>
                </w:p>
              </w:sdtContent>
            </w:sdt>
            <w:sdt>
              <w:sdtPr>
                <w:alias w:val="9 p."/>
                <w:tag w:val="part_850dae85eefd44bea230ff08a498fbd9"/>
                <w:lock w:val="sdtLocked"/>
                <w:richText/>
              </w:sdtPr>
              <w:sdtContent>
                <w:p>
                  <w:pPr>
                    <w:ind w:left="709"/>
                    <w:jc w:val="both"/>
                    <w:rPr>
                      <w:b/>
                      <w:bCs/>
                      <w:szCs w:val="24"/>
                    </w:rPr>
                  </w:pPr>
                  <w:sdt>
                    <w:sdtPr>
                      <w:alias w:val="Numeris"/>
                      <w:tag w:val="nr_850dae85eefd44bea230ff08a498fbd9"/>
                      <w:lock w:val="sdtLocked"/>
                      <w:richText/>
                    </w:sdtPr>
                    <w:sdtContent>
                      <w:r>
                        <w:rPr>
                          <w:b/>
                          <w:bCs/>
                          <w:szCs w:val="24"/>
                        </w:rPr>
                        <w:t>9</w:t>
                      </w:r>
                    </w:sdtContent>
                  </w:sdt>
                  <w:r>
                    <w:rPr>
                      <w:b/>
                      <w:bCs/>
                      <w:szCs w:val="24"/>
                    </w:rPr>
                    <w:t xml:space="preserve">. Numatomo teisinio reguliavimo poveikio vertinimo rezultatai. </w:t>
                  </w:r>
                </w:p>
                <w:p>
                  <w:pPr>
                    <w:ind w:left="709"/>
                    <w:jc w:val="both"/>
                    <w:rPr>
                      <w:b/>
                      <w:bCs/>
                      <w:szCs w:val="24"/>
                    </w:rPr>
                  </w:pPr>
                  <w:r>
                    <w:rPr>
                      <w:szCs w:val="24"/>
                    </w:rPr>
                    <w:t xml:space="preserve">– </w:t>
                  </w:r>
                </w:p>
              </w:sdtContent>
            </w:sdt>
            <w:sdt>
              <w:sdtPr>
                <w:alias w:val="10 p."/>
                <w:tag w:val="part_2ff362f8817d4b7ca3c9b9418493b6c7"/>
                <w:lock w:val="sdtLocked"/>
                <w:richText/>
              </w:sdtPr>
              <w:sdtContent>
                <w:p>
                  <w:pPr>
                    <w:ind w:left="709"/>
                    <w:jc w:val="both"/>
                    <w:rPr>
                      <w:b/>
                      <w:bCs/>
                      <w:szCs w:val="24"/>
                    </w:rPr>
                  </w:pPr>
                  <w:sdt>
                    <w:sdtPr>
                      <w:alias w:val="Numeris"/>
                      <w:tag w:val="nr_2ff362f8817d4b7ca3c9b9418493b6c7"/>
                      <w:lock w:val="sdtLocked"/>
                      <w:richText/>
                    </w:sdtPr>
                    <w:sdtContent>
                      <w:r>
                        <w:rPr>
                          <w:b/>
                          <w:bCs/>
                          <w:szCs w:val="24"/>
                        </w:rPr>
                        <w:t>10</w:t>
                      </w:r>
                    </w:sdtContent>
                  </w:sdt>
                  <w:r>
                    <w:rPr>
                      <w:b/>
                      <w:bCs/>
                      <w:szCs w:val="24"/>
                    </w:rPr>
                    <w:t>. Sprendimo projekto antikorupcinis vertinimas.</w:t>
                  </w:r>
                </w:p>
                <w:p>
                  <w:pPr>
                    <w:tabs>
                      <w:tab w:val="left" w:pos="1134"/>
                    </w:tabs>
                    <w:ind w:firstLine="709"/>
                    <w:jc w:val="both"/>
                    <w:rPr>
                      <w:rFonts w:eastAsia="Calibri"/>
                      <w:szCs w:val="24"/>
                    </w:rPr>
                  </w:pPr>
                  <w:r>
                    <w:rPr>
                      <w:rFonts w:eastAsia="Calibri"/>
                      <w:szCs w:val="24"/>
                    </w:rPr>
                    <w:t>Teisės akto projektas antikorupciniam vertinimui neteikiamas.</w:t>
                  </w:r>
                </w:p>
              </w:sdtContent>
            </w:sdt>
            <w:sdt>
              <w:sdtPr>
                <w:alias w:val="11 p."/>
                <w:tag w:val="part_2a69d25cb6344be3b84807763148ec42"/>
                <w:lock w:val="sdtLocked"/>
                <w:richText/>
              </w:sdtPr>
              <w:sdtContent>
                <w:p>
                  <w:pPr>
                    <w:tabs>
                      <w:tab w:val="left" w:pos="1134"/>
                    </w:tabs>
                    <w:ind w:firstLine="709"/>
                    <w:jc w:val="both"/>
                    <w:rPr>
                      <w:b/>
                      <w:bCs/>
                      <w:szCs w:val="24"/>
                    </w:rPr>
                  </w:pPr>
                  <w:sdt>
                    <w:sdtPr>
                      <w:alias w:val="Numeris"/>
                      <w:tag w:val="nr_2a69d25cb6344be3b84807763148ec42"/>
                      <w:lock w:val="sdtLocked"/>
                      <w:richText/>
                    </w:sdtPr>
                    <w:sdtContent>
                      <w:r>
                        <w:rPr>
                          <w:b/>
                          <w:bCs/>
                          <w:szCs w:val="24"/>
                        </w:rPr>
                        <w:t>11</w:t>
                      </w:r>
                    </w:sdtContent>
                  </w:sdt>
                  <w:r>
                    <w:rPr>
                      <w:b/>
                      <w:bCs/>
                      <w:szCs w:val="24"/>
                    </w:rPr>
                    <w:t xml:space="preserve">. Kiti, iniciatoriaus nuomone, reikalingi pagrindimai ir paaiškinimai. </w:t>
                  </w:r>
                </w:p>
                <w:p>
                  <w:pPr>
                    <w:tabs>
                      <w:tab w:val="left" w:pos="1134"/>
                    </w:tabs>
                    <w:ind w:firstLine="709"/>
                    <w:jc w:val="both"/>
                    <w:rPr>
                      <w:b/>
                      <w:bCs/>
                      <w:szCs w:val="24"/>
                    </w:rPr>
                  </w:pPr>
                  <w:r>
                    <w:rPr>
                      <w:szCs w:val="24"/>
                    </w:rPr>
                    <w:t xml:space="preserve">– </w:t>
                  </w:r>
                </w:p>
              </w:sdtContent>
            </w:sdt>
            <w:sdt>
              <w:sdtPr>
                <w:alias w:val="12 p."/>
                <w:tag w:val="part_2077603c2010428cabbbe8fb2fe436ad"/>
                <w:lock w:val="sdtLocked"/>
                <w:richText/>
              </w:sdtPr>
              <w:sdtContent>
                <w:p>
                  <w:pPr>
                    <w:ind w:left="709"/>
                    <w:jc w:val="both"/>
                    <w:rPr>
                      <w:b/>
                      <w:bCs/>
                      <w:szCs w:val="24"/>
                    </w:rPr>
                  </w:pPr>
                  <w:sdt>
                    <w:sdtPr>
                      <w:alias w:val="Numeris"/>
                      <w:tag w:val="nr_2077603c2010428cabbbe8fb2fe436ad"/>
                      <w:lock w:val="sdtLocked"/>
                      <w:richText/>
                    </w:sdtPr>
                    <w:sdtContent>
                      <w:r>
                        <w:rPr>
                          <w:b/>
                          <w:bCs/>
                          <w:szCs w:val="24"/>
                        </w:rPr>
                        <w:t>12</w:t>
                      </w:r>
                    </w:sdtContent>
                  </w:sdt>
                  <w:r>
                    <w:rPr>
                      <w:b/>
                      <w:bCs/>
                      <w:szCs w:val="24"/>
                    </w:rPr>
                    <w:t xml:space="preserve">. Pridedami dokumentai. </w:t>
                  </w:r>
                  <w:r>
                    <w:rPr>
                      <w:szCs w:val="24"/>
                    </w:rPr>
                    <w:t xml:space="preserve"> </w:t>
                  </w:r>
                </w:p>
              </w:sdtContent>
            </w:sdt>
          </w:sdtContent>
        </w:sdt>
        <w:sdt>
          <w:sdtPr>
            <w:alias w:val="signatura"/>
            <w:tag w:val="part_a908dcc5c249495386cb5a8196fd5fe9"/>
            <w:lock w:val="sdtLocked"/>
            <w:richText/>
          </w:sdtPr>
          <w:sdtContent>
            <w:p>
              <w:pPr>
                <w:tabs>
                  <w:tab w:val="left" w:pos="1134"/>
                </w:tabs>
                <w:ind w:firstLine="709"/>
                <w:jc w:val="both"/>
                <w:rPr>
                  <w:szCs w:val="24"/>
                </w:rPr>
              </w:pPr>
              <w:r>
                <w:rPr>
                  <w:szCs w:val="24"/>
                </w:rPr>
                <w:t xml:space="preserve">– </w:t>
              </w:r>
            </w:p>
            <w:p>
              <w:pPr>
                <w:tabs>
                  <w:tab w:val="left" w:pos="1134"/>
                </w:tabs>
                <w:ind w:firstLine="709"/>
                <w:jc w:val="both"/>
                <w:rPr>
                  <w:b/>
                  <w:bCs/>
                  <w:szCs w:val="24"/>
                </w:rPr>
              </w:pPr>
            </w:p>
            <w:p>
              <w:pPr>
                <w:tabs>
                  <w:tab w:val="left" w:pos="1134"/>
                </w:tabs>
                <w:ind w:firstLine="709"/>
                <w:jc w:val="both"/>
                <w:rPr>
                  <w:b/>
                  <w:bCs/>
                  <w:szCs w:val="24"/>
                </w:rPr>
              </w:pPr>
            </w:p>
            <w:p>
              <w:pPr>
                <w:tabs>
                  <w:tab w:val="left" w:pos="1134"/>
                </w:tabs>
                <w:ind w:firstLine="709"/>
                <w:jc w:val="both"/>
                <w:rPr>
                  <w:b/>
                  <w:bCs/>
                  <w:szCs w:val="24"/>
                </w:rPr>
              </w:pPr>
            </w:p>
            <w:p>
              <w:pPr>
                <w:shd w:val="clear" w:color="auto" w:fill="FFFFFF"/>
                <w:rPr>
                  <w:szCs w:val="24"/>
                  <w:lang w:eastAsia="lt-LT"/>
                </w:rPr>
              </w:pPr>
              <w:r>
                <w:rPr>
                  <w:szCs w:val="24"/>
                  <w:lang w:eastAsia="lt-LT"/>
                </w:rPr>
                <w:t>Radviliškio rajono savivaldybės administracijos</w:t>
              </w:r>
            </w:p>
            <w:p>
              <w:pPr>
                <w:shd w:val="clear" w:color="auto" w:fill="FFFFFF"/>
                <w:rPr>
                  <w:color w:val="000000"/>
                  <w:szCs w:val="24"/>
                  <w:lang w:eastAsia="lt-LT"/>
                </w:rPr>
              </w:pPr>
              <w:r>
                <w:rPr>
                  <w:color w:val="000000"/>
                  <w:szCs w:val="24"/>
                  <w:lang w:eastAsia="lt-LT"/>
                </w:rPr>
                <w:t xml:space="preserve">Socialinės paramos skyriaus </w:t>
              </w:r>
              <w:r>
                <w:rPr>
                  <w:szCs w:val="24"/>
                </w:rPr>
                <w:t xml:space="preserve">specialistė </w:t>
                <w:tab/>
                <w:tab/>
                <w:tab/>
                <w:tab/>
                <w:t xml:space="preserve">                      Alma Dailidonienė</w:t>
              </w:r>
            </w:p>
          </w:sdtContent>
        </w:sdt>
      </w:sdtContent>
    </w:sdt>
    <w:sectPr>
      <w:pgSz w:w="11906" w:h="16838" w:code="9"/>
      <w:pgMar w:top="1134" w:right="567" w:bottom="1135"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overflowPunct w:val="0"/>
      <w:textAlignment w:val="baseline"/>
      <w:rPr>
        <w:rFonts w:ascii="TimesLT" w:hAnsi="TimesLT"/>
        <w:sz w:val="26"/>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3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60FD0F5-1E35-4527-81FD-BA6C8A8066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9626348">
      <w:bodyDiv w:val="1"/>
      <w:marLeft w:val="0"/>
      <w:marRight w:val="0"/>
      <w:marTop w:val="0"/>
      <w:marBottom w:val="0"/>
      <w:divBdr>
        <w:top w:val="none" w:sz="0" w:space="0" w:color="auto"/>
        <w:left w:val="none" w:sz="0" w:space="0" w:color="auto"/>
        <w:bottom w:val="none" w:sz="0" w:space="0" w:color="auto"/>
        <w:right w:val="none" w:sz="0" w:space="0" w:color="auto"/>
      </w:divBdr>
    </w:div>
    <w:div w:id="307445667">
      <w:bodyDiv w:val="1"/>
      <w:marLeft w:val="0"/>
      <w:marRight w:val="0"/>
      <w:marTop w:val="0"/>
      <w:marBottom w:val="0"/>
      <w:divBdr>
        <w:top w:val="none" w:sz="0" w:space="0" w:color="auto"/>
        <w:left w:val="none" w:sz="0" w:space="0" w:color="auto"/>
        <w:bottom w:val="none" w:sz="0" w:space="0" w:color="auto"/>
        <w:right w:val="none" w:sz="0" w:space="0" w:color="auto"/>
      </w:divBdr>
    </w:div>
    <w:div w:id="1145272432">
      <w:bodyDiv w:val="1"/>
      <w:marLeft w:val="0"/>
      <w:marRight w:val="0"/>
      <w:marTop w:val="0"/>
      <w:marBottom w:val="0"/>
      <w:divBdr>
        <w:top w:val="none" w:sz="0" w:space="0" w:color="auto"/>
        <w:left w:val="none" w:sz="0" w:space="0" w:color="auto"/>
        <w:bottom w:val="none" w:sz="0" w:space="0" w:color="auto"/>
        <w:right w:val="none" w:sz="0" w:space="0" w:color="auto"/>
      </w:divBdr>
    </w:div>
    <w:div w:id="1156606015">
      <w:bodyDiv w:val="1"/>
      <w:marLeft w:val="0"/>
      <w:marRight w:val="0"/>
      <w:marTop w:val="0"/>
      <w:marBottom w:val="0"/>
      <w:divBdr>
        <w:top w:val="none" w:sz="0" w:space="0" w:color="auto"/>
        <w:left w:val="none" w:sz="0" w:space="0" w:color="auto"/>
        <w:bottom w:val="none" w:sz="0" w:space="0" w:color="auto"/>
        <w:right w:val="none" w:sz="0" w:space="0" w:color="auto"/>
      </w:divBdr>
    </w:div>
    <w:div w:id="1245532415">
      <w:bodyDiv w:val="1"/>
      <w:marLeft w:val="0"/>
      <w:marRight w:val="0"/>
      <w:marTop w:val="0"/>
      <w:marBottom w:val="0"/>
      <w:divBdr>
        <w:top w:val="none" w:sz="0" w:space="0" w:color="auto"/>
        <w:left w:val="none" w:sz="0" w:space="0" w:color="auto"/>
        <w:bottom w:val="none" w:sz="0" w:space="0" w:color="auto"/>
        <w:right w:val="none" w:sz="0" w:space="0" w:color="auto"/>
      </w:divBdr>
    </w:div>
    <w:div w:id="1288703100">
      <w:bodyDiv w:val="1"/>
      <w:marLeft w:val="0"/>
      <w:marRight w:val="0"/>
      <w:marTop w:val="0"/>
      <w:marBottom w:val="0"/>
      <w:divBdr>
        <w:top w:val="none" w:sz="0" w:space="0" w:color="auto"/>
        <w:left w:val="none" w:sz="0" w:space="0" w:color="auto"/>
        <w:bottom w:val="none" w:sz="0" w:space="0" w:color="auto"/>
        <w:right w:val="none" w:sz="0" w:space="0" w:color="auto"/>
      </w:divBdr>
    </w:div>
    <w:div w:id="1391533263">
      <w:bodyDiv w:val="1"/>
      <w:marLeft w:val="0"/>
      <w:marRight w:val="0"/>
      <w:marTop w:val="0"/>
      <w:marBottom w:val="0"/>
      <w:divBdr>
        <w:top w:val="none" w:sz="0" w:space="0" w:color="auto"/>
        <w:left w:val="none" w:sz="0" w:space="0" w:color="auto"/>
        <w:bottom w:val="none" w:sz="0" w:space="0" w:color="auto"/>
        <w:right w:val="none" w:sz="0" w:space="0" w:color="auto"/>
      </w:divBdr>
    </w:div>
    <w:div w:id="1482193951">
      <w:bodyDiv w:val="1"/>
      <w:marLeft w:val="0"/>
      <w:marRight w:val="0"/>
      <w:marTop w:val="0"/>
      <w:marBottom w:val="0"/>
      <w:divBdr>
        <w:top w:val="none" w:sz="0" w:space="0" w:color="auto"/>
        <w:left w:val="none" w:sz="0" w:space="0" w:color="auto"/>
        <w:bottom w:val="none" w:sz="0" w:space="0" w:color="auto"/>
        <w:right w:val="none" w:sz="0" w:space="0" w:color="auto"/>
      </w:divBdr>
    </w:div>
    <w:div w:id="1526750670">
      <w:bodyDiv w:val="1"/>
      <w:marLeft w:val="0"/>
      <w:marRight w:val="0"/>
      <w:marTop w:val="0"/>
      <w:marBottom w:val="0"/>
      <w:divBdr>
        <w:top w:val="none" w:sz="0" w:space="0" w:color="auto"/>
        <w:left w:val="none" w:sz="0" w:space="0" w:color="auto"/>
        <w:bottom w:val="none" w:sz="0" w:space="0" w:color="auto"/>
        <w:right w:val="none" w:sz="0" w:space="0" w:color="auto"/>
      </w:divBdr>
      <w:divsChild>
        <w:div w:id="958992585">
          <w:marLeft w:val="0"/>
          <w:marRight w:val="0"/>
          <w:marTop w:val="0"/>
          <w:marBottom w:val="0"/>
          <w:divBdr>
            <w:top w:val="none" w:sz="0" w:space="0" w:color="auto"/>
            <w:left w:val="none" w:sz="0" w:space="0" w:color="auto"/>
            <w:bottom w:val="none" w:sz="0" w:space="0" w:color="auto"/>
            <w:right w:val="none" w:sz="0" w:space="0" w:color="auto"/>
          </w:divBdr>
          <w:divsChild>
            <w:div w:id="851997345">
              <w:marLeft w:val="0"/>
              <w:marRight w:val="0"/>
              <w:marTop w:val="0"/>
              <w:marBottom w:val="0"/>
              <w:divBdr>
                <w:top w:val="none" w:sz="0" w:space="0" w:color="auto"/>
                <w:left w:val="none" w:sz="0" w:space="0" w:color="auto"/>
                <w:bottom w:val="none" w:sz="0" w:space="0" w:color="auto"/>
                <w:right w:val="none" w:sz="0" w:space="0" w:color="auto"/>
              </w:divBdr>
              <w:divsChild>
                <w:div w:id="409929487">
                  <w:marLeft w:val="0"/>
                  <w:marRight w:val="0"/>
                  <w:marTop w:val="0"/>
                  <w:marBottom w:val="0"/>
                  <w:divBdr>
                    <w:top w:val="none" w:sz="0" w:space="0" w:color="auto"/>
                    <w:left w:val="none" w:sz="0" w:space="0" w:color="auto"/>
                    <w:bottom w:val="none" w:sz="0" w:space="0" w:color="auto"/>
                    <w:right w:val="none" w:sz="0" w:space="0" w:color="auto"/>
                  </w:divBdr>
                </w:div>
                <w:div w:id="1274629684">
                  <w:marLeft w:val="0"/>
                  <w:marRight w:val="0"/>
                  <w:marTop w:val="0"/>
                  <w:marBottom w:val="0"/>
                  <w:divBdr>
                    <w:top w:val="none" w:sz="0" w:space="0" w:color="auto"/>
                    <w:left w:val="none" w:sz="0" w:space="0" w:color="auto"/>
                    <w:bottom w:val="none" w:sz="0" w:space="0" w:color="auto"/>
                    <w:right w:val="none" w:sz="0" w:space="0" w:color="auto"/>
                  </w:divBdr>
                </w:div>
              </w:divsChild>
            </w:div>
            <w:div w:id="1154831397">
              <w:marLeft w:val="0"/>
              <w:marRight w:val="0"/>
              <w:marTop w:val="0"/>
              <w:marBottom w:val="0"/>
              <w:divBdr>
                <w:top w:val="none" w:sz="0" w:space="0" w:color="auto"/>
                <w:left w:val="none" w:sz="0" w:space="0" w:color="auto"/>
                <w:bottom w:val="none" w:sz="0" w:space="0" w:color="auto"/>
                <w:right w:val="none" w:sz="0" w:space="0" w:color="auto"/>
              </w:divBdr>
            </w:div>
          </w:divsChild>
        </w:div>
        <w:div w:id="87194132">
          <w:marLeft w:val="0"/>
          <w:marRight w:val="0"/>
          <w:marTop w:val="0"/>
          <w:marBottom w:val="0"/>
          <w:divBdr>
            <w:top w:val="none" w:sz="0" w:space="0" w:color="auto"/>
            <w:left w:val="none" w:sz="0" w:space="0" w:color="auto"/>
            <w:bottom w:val="none" w:sz="0" w:space="0" w:color="auto"/>
            <w:right w:val="none" w:sz="0" w:space="0" w:color="auto"/>
          </w:divBdr>
        </w:div>
        <w:div w:id="2020768342">
          <w:marLeft w:val="0"/>
          <w:marRight w:val="0"/>
          <w:marTop w:val="0"/>
          <w:marBottom w:val="0"/>
          <w:divBdr>
            <w:top w:val="none" w:sz="0" w:space="0" w:color="auto"/>
            <w:left w:val="none" w:sz="0" w:space="0" w:color="auto"/>
            <w:bottom w:val="none" w:sz="0" w:space="0" w:color="auto"/>
            <w:right w:val="none" w:sz="0" w:space="0" w:color="auto"/>
          </w:divBdr>
        </w:div>
      </w:divsChild>
    </w:div>
    <w:div w:id="1904561834">
      <w:bodyDiv w:val="1"/>
      <w:marLeft w:val="0"/>
      <w:marRight w:val="0"/>
      <w:marTop w:val="0"/>
      <w:marBottom w:val="0"/>
      <w:divBdr>
        <w:top w:val="none" w:sz="0" w:space="0" w:color="auto"/>
        <w:left w:val="none" w:sz="0" w:space="0" w:color="auto"/>
        <w:bottom w:val="none" w:sz="0" w:space="0" w:color="auto"/>
        <w:right w:val="none" w:sz="0" w:space="0" w:color="auto"/>
      </w:divBdr>
    </w:div>
    <w:div w:id="1988852555">
      <w:bodyDiv w:val="1"/>
      <w:marLeft w:val="0"/>
      <w:marRight w:val="0"/>
      <w:marTop w:val="0"/>
      <w:marBottom w:val="0"/>
      <w:divBdr>
        <w:top w:val="none" w:sz="0" w:space="0" w:color="auto"/>
        <w:left w:val="none" w:sz="0" w:space="0" w:color="auto"/>
        <w:bottom w:val="none" w:sz="0" w:space="0" w:color="auto"/>
        <w:right w:val="none" w:sz="0" w:space="0" w:color="auto"/>
      </w:divBdr>
    </w:div>
    <w:div w:id="2048142901">
      <w:bodyDiv w:val="1"/>
      <w:marLeft w:val="0"/>
      <w:marRight w:val="0"/>
      <w:marTop w:val="0"/>
      <w:marBottom w:val="0"/>
      <w:divBdr>
        <w:top w:val="none" w:sz="0" w:space="0" w:color="auto"/>
        <w:left w:val="none" w:sz="0" w:space="0" w:color="auto"/>
        <w:bottom w:val="none" w:sz="0" w:space="0" w:color="auto"/>
        <w:right w:val="none" w:sz="0" w:space="0" w:color="auto"/>
      </w:divBdr>
    </w:div>
    <w:div w:id="2067102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A60B68B-EF1C-45F9-883B-1F87F91AAA7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9192e1ebf1740b69772506d2fc7ed2b" PartId="6128b3cc339748ab9f0421400ea0eb9f">
    <Part Type="preambule" DocPartId="07245a81dd954d5a8cc62eecd475c1dd" PartId="fadc7177160b4938935e4806250abb52"/>
    <Part Type="pastraipa" DocPartId="7c296f185fc24ff09c15d19cf2dbc972" PartId="b1fcdf8abbaa45ecb03d5d889fe5ef27"/>
    <Part Type="skirsnis" Title="RADVILIŠKIO RAJONO SAVIVALDYBĖS TARYBOS SPRENDIMO PROJEKTO „DĖL RADVILIŠKIO RAJONO SAVIVALDYBĖS TARYBOS SPRENDIMO  PRIPAŽINIMO NETEKUSIU GALIOS” AIŠKINAMASIS RAŠTAS" DocPartId="5e5c755150704bbd97cdd42385f1fdd5" PartId="9cd4979adc354c449ed33f7fccf2a832">
      <Part Type="punktas" Nr="1" Abbr="1 p." DocPartId="8920e676f70045df907720b952c0ec20" PartId="aee1f21b14664ec182a2823c3d54456a"/>
      <Part Type="punktas" Nr="2" Abbr="2 p." DocPartId="5c26fbf58c1d41bd95f661c8af1273ca" PartId="e6ed4ca93b5d4c1a95363b7604a6cc7b"/>
      <Part Type="punktas" Nr="3" Abbr="3 p." DocPartId="75e7635ed13741aea4d17f761d13e7b7" PartId="4d224ece46724a749cae9302783053a5"/>
      <Part Type="punktas" Nr="4" Abbr="4 p." DocPartId="5869cbb36e844afe9dad6bb7f20d7417" PartId="aba0768f9e8f40be928570c79bde231e"/>
      <Part Type="punktas" Nr="5" Abbr="5 p." DocPartId="ef5a8864e30f40eab9c3dee2e6d5f13e" PartId="eab22a4f20a842b38598c57cd2ff642c"/>
      <Part Type="punktas" Nr="6" Abbr="6 p." DocPartId="bf44497aa96844ce8721af7aa22faf6b" PartId="9334cece0b4e4679a3e6660bb0bfbd89"/>
      <Part Type="punktas" Nr="7" Abbr="7 p." DocPartId="f6a2a75cab7f4b6c85fc42668e6217bd" PartId="da3272ee675b479f93045331a17b3386"/>
      <Part Type="punktas" Nr="8" Abbr="8 p." DocPartId="5a3da5a1451a47328b18f12811b1a390" PartId="6f62b4af51104c6d95b892c233b477f3"/>
      <Part Type="punktas" Nr="9" Abbr="9 p." DocPartId="d37308e11cab4bf38d9d9b25c109c9ce" PartId="850dae85eefd44bea230ff08a498fbd9"/>
      <Part Type="punktas" Nr="10" Abbr="10 p." DocPartId="d9892c5992aa4963802327d4da1d64fd" PartId="2ff362f8817d4b7ca3c9b9418493b6c7"/>
      <Part Type="punktas" Nr="11" Abbr="11 p." DocPartId="88cc8b2c4a2d4020b34c63433dab9837" PartId="2a69d25cb6344be3b84807763148ec42"/>
      <Part Type="punktas" Nr="12" Abbr="12 p." DocPartId="7ae5c5eb20f744bdb3c5bbc3224adfb5" PartId="2077603c2010428cabbbe8fb2fe436ad"/>
    </Part>
    <Part Type="signatura" DocPartId="53b693add8d143bbbc5429e94c05b3b7" PartId="a908dcc5c249495386cb5a8196fd5fe9"/>
  </Part>
</Parts>
</file>

<file path=customXml/itemProps1.xml><?xml version="1.0" encoding="utf-8"?>
<ds:datastoreItem xmlns:ds="http://schemas.openxmlformats.org/officeDocument/2006/customXml" ds:itemID="{46EDFC8A-CFDB-4648-8DA1-749406C30AD7}">
  <ds:schemaRefs>
    <ds:schemaRef ds:uri="http://schemas.openxmlformats.org/officeDocument/2006/bibliography"/>
  </ds:schemaRefs>
</ds:datastoreItem>
</file>

<file path=customXml/itemProps2.xml><?xml version="1.0" encoding="utf-8"?>
<ds:datastoreItem xmlns:ds="http://schemas.openxmlformats.org/officeDocument/2006/customXml" ds:itemID="{81B817F5-F042-4292-9FEB-B7D6A99780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515</Words>
  <Characters>3908</Characters>
  <Application>Microsoft Office Word</Application>
  <DocSecurity>4</DocSecurity>
  <Lines>97</Lines>
  <Paragraphs>45</Paragraphs>
  <ScaleCrop>false</ScaleCrop>
  <HeadingPairs>
    <vt:vector size="2" baseType="variant">
      <vt:variant>
        <vt:lpstr>Pavadinimas</vt:lpstr>
      </vt:variant>
      <vt:variant>
        <vt:i4>1</vt:i4>
      </vt:variant>
    </vt:vector>
  </HeadingPairs>
  <TitlesOfParts>
    <vt:vector size="1" baseType="lpstr">
      <vt:lpstr>2018-01-</vt:lpstr>
    </vt:vector>
  </TitlesOfParts>
  <Company/>
  <LinksUpToDate>false</LinksUpToDate>
  <CharactersWithSpaces>4378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2025-05-19T10:37:00Z</dcterms:created>
  <dc:creator>Vladislava</dc:creator>
  <lastModifiedBy>adlibuser</lastModifiedBy>
  <lastPrinted>2024-11-28T06:38:00Z</lastPrinted>
  <dcterms:modified xsi:type="dcterms:W3CDTF">2025-05-19T10:37:00Z</dcterms:modified>
  <revision>2</revision>
  <dc:title>2018-01-</dc:title>
</coreProperties>
</file>