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keepNext/>
        <w:jc w:val="right"/>
        <w:outlineLvl w:val="1"/>
        <w:rPr>
          <w:b/>
        </w:rPr>
      </w:pPr>
      <w:r>
        <w:rPr>
          <w:b/>
        </w:rPr>
        <w:t>Projektas</w:t>
      </w:r>
    </w:p>
    <w:p>
      <w:pPr>
        <w:keepNext/>
        <w:spacing w:line="276" w:lineRule="auto"/>
        <w:jc w:val="center"/>
        <w:rPr>
          <w:b/>
          <w:caps/>
        </w:rPr>
      </w:pPr>
      <w:r>
        <w:rPr>
          <w:b/>
          <w:caps/>
        </w:rPr>
        <w:t>PRIENŲ RAJONO savivaldybės TARYBA</w:t>
      </w:r>
    </w:p>
    <w:p>
      <w:pPr>
        <w:keepNext/>
        <w:spacing w:line="276" w:lineRule="auto"/>
        <w:jc w:val="center"/>
        <w:rPr>
          <w:b/>
        </w:rPr>
      </w:pPr>
    </w:p>
    <w:p>
      <w:pPr>
        <w:keepNext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276" w:lineRule="auto"/>
        <w:jc w:val="center"/>
        <w:rPr>
          <w:b/>
          <w:caps/>
          <w:szCs w:val="24"/>
        </w:rPr>
      </w:pPr>
      <w:r>
        <w:rPr>
          <w:b/>
          <w:szCs w:val="24"/>
        </w:rPr>
        <w:t>DĖL TURTO PERDAVIMO VALDYTI IR NAUDOTI PANAUDOS TEISE PRIENŲ RAJONO NEĮGALIŲJŲ DRAUGIJAI</w:t>
      </w:r>
    </w:p>
    <w:p>
      <w:pPr>
        <w:spacing w:line="276" w:lineRule="auto"/>
        <w:jc w:val="center"/>
        <w:rPr>
          <w:b/>
          <w:caps/>
        </w:rPr>
      </w:pPr>
    </w:p>
    <w:p>
      <w:pPr>
        <w:spacing w:line="276" w:lineRule="auto"/>
        <w:jc w:val="center"/>
        <w:rPr>
          <w:bCs/>
        </w:rPr>
      </w:pPr>
      <w:r>
        <w:rPr>
          <w:bCs/>
          <w:caps/>
        </w:rPr>
        <w:t xml:space="preserve">2022 </w:t>
      </w:r>
      <w:r>
        <w:rPr>
          <w:bCs/>
        </w:rPr>
        <w:t xml:space="preserve">m. birželio      d</w:t>
      </w:r>
      <w:r>
        <w:rPr>
          <w:bCs/>
          <w:caps/>
        </w:rPr>
        <w:t>. N</w:t>
      </w:r>
      <w:r>
        <w:rPr>
          <w:bCs/>
        </w:rPr>
        <w:t xml:space="preserve">r. </w:t>
      </w:r>
    </w:p>
    <w:p>
      <w:pPr>
        <w:keepNext/>
        <w:spacing w:line="276" w:lineRule="auto"/>
        <w:jc w:val="center"/>
        <w:outlineLvl w:val="5"/>
      </w:pPr>
      <w:r>
        <w:t>Prienai</w:t>
      </w:r>
    </w:p>
    <w:p>
      <w:pPr>
        <w:spacing w:line="276" w:lineRule="auto"/>
        <w:jc w:val="center"/>
      </w:pPr>
    </w:p>
    <w:p>
      <w:pPr>
        <w:tabs>
          <w:tab w:val="num" w:pos="1276"/>
        </w:tabs>
        <w:spacing w:line="276" w:lineRule="auto"/>
        <w:ind w:firstLine="993"/>
        <w:jc w:val="both"/>
      </w:pPr>
      <w:r>
        <w:rPr>
          <w:szCs w:val="24"/>
          <w:lang w:val="pl-PL"/>
        </w:rPr>
        <w:t xml:space="preserve">Vadovaudamasi Lietuvos Respublikos vietos savivaldos įstatymo 16 straipsnio 2 dalies 26 punktu, 48 straipsnio 2 dalimi, </w:t>
      </w:r>
      <w:r>
        <w:rPr>
          <w:szCs w:val="24"/>
        </w:rPr>
        <w:t xml:space="preserve">Lietuvos Respublikos valstybės ir savivaldybių turto valdymo, naudojimo ir disponavimo juo įstatymo 14 straipsnio 1 dalies 3 punktu, 2 ir 3 dalimis, Prienų rajono savivaldybės turto valdymo, naudojimo ir disponavimo juo tvarkos aprašo, patvirtinto Prienų rajono savivaldybės tarybos 2021 m. balandžio 29 d. sprendimu Nr. T3-115 „Dėl Prienų rajono savivaldybės turto valdymo, naudojimo ir disponavimo juo tvarkos aprašo patvirtinimo“, 26.3, 27.7, 30.1 ir 35.2 papunkčiais, 28 punktu, </w:t>
      </w:r>
      <w:r>
        <w:t>Prienų rajono savivaldybės taryba n</w:t>
      </w:r>
      <w:r>
        <w:rPr>
          <w:spacing w:val="20"/>
          <w:szCs w:val="24"/>
        </w:rPr>
        <w:t xml:space="preserve"> u s p r e n d ž i a</w:t>
      </w:r>
      <w:r>
        <w:t xml:space="preserve">: </w:t>
      </w:r>
    </w:p>
    <w:p>
      <w:pPr>
        <w:tabs>
          <w:tab w:val="left" w:pos="1276"/>
          <w:tab w:val="left" w:pos="1418"/>
          <w:tab w:val="center" w:pos="4153"/>
          <w:tab w:val="right" w:pos="8306"/>
        </w:tabs>
        <w:spacing w:line="276" w:lineRule="auto"/>
        <w:ind w:firstLine="993"/>
        <w:jc w:val="both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>.</w:t>
        <w:tab/>
      </w:r>
      <w:r>
        <w:t xml:space="preserve">Perduoti Prienų rajono neįgaliųjų draugijai (į. k. </w:t>
      </w:r>
      <w:r>
        <w:rPr>
          <w:szCs w:val="24"/>
        </w:rPr>
        <w:t>293122840</w:t>
      </w:r>
      <w:r>
        <w:t xml:space="preserve">) 5 metams (su galimybe pratęsti 5 metams) valdyti ir naudoti panaudos teise Prienų rajono savivaldybei nuosavybės teise priklausantį ir šiuo metu Prienų rajono savivaldybės administracijos patikėjimo teise valdomą trumpalaikį turtą: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1275"/>
        <w:gridCol w:w="1276"/>
        <w:gridCol w:w="1099"/>
      </w:tblGrid>
      <w:tr>
        <w:tc>
          <w:tcPr>
            <w:tcW w:w="817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Eil. </w:t>
            </w:r>
          </w:p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Nr.</w:t>
            </w:r>
          </w:p>
        </w:tc>
        <w:tc>
          <w:tcPr>
            <w:tcW w:w="5387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Turto pavadinimas</w:t>
            </w:r>
          </w:p>
        </w:tc>
        <w:tc>
          <w:tcPr>
            <w:tcW w:w="1275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Kiekis, vnt.</w:t>
            </w:r>
          </w:p>
        </w:tc>
        <w:tc>
          <w:tcPr>
            <w:tcW w:w="1276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Vieneto kaina, Eur</w:t>
            </w:r>
          </w:p>
        </w:tc>
        <w:tc>
          <w:tcPr>
            <w:tcW w:w="1099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Bendra kaina, Eur</w:t>
            </w:r>
          </w:p>
        </w:tc>
      </w:tr>
      <w:tr>
        <w:tc>
          <w:tcPr>
            <w:tcW w:w="817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Vaikiškas stalas „Flisat“</w:t>
            </w:r>
          </w:p>
        </w:tc>
        <w:tc>
          <w:tcPr>
            <w:tcW w:w="1275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59,99</w:t>
            </w:r>
          </w:p>
        </w:tc>
        <w:tc>
          <w:tcPr>
            <w:tcW w:w="1099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59,99</w:t>
            </w:r>
          </w:p>
        </w:tc>
      </w:tr>
      <w:tr>
        <w:tc>
          <w:tcPr>
            <w:tcW w:w="817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Fotelis „Omtanksam N Gunnared“ (tamsiai pilkas)</w:t>
            </w:r>
          </w:p>
        </w:tc>
        <w:tc>
          <w:tcPr>
            <w:tcW w:w="1275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299,00</w:t>
            </w:r>
          </w:p>
        </w:tc>
        <w:tc>
          <w:tcPr>
            <w:tcW w:w="1099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299,00</w:t>
            </w:r>
          </w:p>
        </w:tc>
      </w:tr>
      <w:tr>
        <w:tc>
          <w:tcPr>
            <w:tcW w:w="817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Dvivietė sofa „Linanas2VT SF Vissile“ (tamsiai pilka)</w:t>
            </w:r>
          </w:p>
        </w:tc>
        <w:tc>
          <w:tcPr>
            <w:tcW w:w="1275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199,57</w:t>
            </w:r>
          </w:p>
        </w:tc>
        <w:tc>
          <w:tcPr>
            <w:tcW w:w="1099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199,57</w:t>
            </w:r>
          </w:p>
        </w:tc>
      </w:tr>
      <w:tr>
        <w:tc>
          <w:tcPr>
            <w:tcW w:w="817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Staliukas „Lisabo“ (uosio lukšto)</w:t>
            </w:r>
          </w:p>
        </w:tc>
        <w:tc>
          <w:tcPr>
            <w:tcW w:w="1275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133,43</w:t>
            </w:r>
          </w:p>
        </w:tc>
        <w:tc>
          <w:tcPr>
            <w:tcW w:w="1099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133,43</w:t>
            </w:r>
          </w:p>
        </w:tc>
      </w:tr>
      <w:tr>
        <w:tc>
          <w:tcPr>
            <w:tcW w:w="817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Sulankstomas stalas „Norden NN ST-KNY“ (beržo)</w:t>
            </w:r>
          </w:p>
        </w:tc>
        <w:tc>
          <w:tcPr>
            <w:tcW w:w="1275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199,00</w:t>
            </w:r>
          </w:p>
        </w:tc>
        <w:tc>
          <w:tcPr>
            <w:tcW w:w="1099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199,00</w:t>
            </w:r>
          </w:p>
        </w:tc>
      </w:tr>
      <w:tr>
        <w:tc>
          <w:tcPr>
            <w:tcW w:w="817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Dėžė „Trofast N“ (geltona)</w:t>
            </w:r>
          </w:p>
        </w:tc>
        <w:tc>
          <w:tcPr>
            <w:tcW w:w="1275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2,00</w:t>
            </w:r>
          </w:p>
        </w:tc>
        <w:tc>
          <w:tcPr>
            <w:tcW w:w="1099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2,00</w:t>
            </w:r>
          </w:p>
        </w:tc>
      </w:tr>
      <w:tr>
        <w:tc>
          <w:tcPr>
            <w:tcW w:w="817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Dėžė „Trofast N“ (žalia)</w:t>
            </w:r>
          </w:p>
        </w:tc>
        <w:tc>
          <w:tcPr>
            <w:tcW w:w="1275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2,00</w:t>
            </w:r>
          </w:p>
        </w:tc>
        <w:tc>
          <w:tcPr>
            <w:tcW w:w="1099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2,00</w:t>
            </w:r>
          </w:p>
        </w:tc>
      </w:tr>
      <w:tr>
        <w:tc>
          <w:tcPr>
            <w:tcW w:w="817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Vaikiška taburetė „Flisat“</w:t>
            </w:r>
          </w:p>
        </w:tc>
        <w:tc>
          <w:tcPr>
            <w:tcW w:w="1275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199,99</w:t>
            </w:r>
          </w:p>
        </w:tc>
        <w:tc>
          <w:tcPr>
            <w:tcW w:w="1099" w:type="dxa"/>
          </w:tcPr>
          <w:p>
            <w:pPr>
              <w:tabs>
                <w:tab w:val="left" w:pos="1276"/>
                <w:tab w:val="left" w:pos="141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39,98</w:t>
            </w:r>
          </w:p>
        </w:tc>
      </w:tr>
    </w:tbl>
    <w:p/>
    <w:p>
      <w:pPr>
        <w:tabs>
          <w:tab w:val="left" w:pos="1276"/>
          <w:tab w:val="left" w:pos="1418"/>
        </w:tabs>
        <w:spacing w:line="276" w:lineRule="auto"/>
        <w:ind w:firstLine="993"/>
        <w:jc w:val="both"/>
      </w:pPr>
      <w:r>
        <w:t>2</w:t>
      </w:r>
      <w:r>
        <w:t>.</w:t>
        <w:tab/>
        <w:t>Nustatyti, kad sprendimo 1 punkte nurodytas turtas turi būti naudojamas panaudos gavėjo veikloms (išskyrus komercinę veiklą) vykdyti.</w:t>
      </w:r>
    </w:p>
    <w:p>
      <w:pPr>
        <w:tabs>
          <w:tab w:val="left" w:pos="1276"/>
          <w:tab w:val="left" w:pos="1418"/>
        </w:tabs>
        <w:spacing w:line="276" w:lineRule="auto"/>
        <w:ind w:firstLine="993"/>
        <w:jc w:val="both"/>
      </w:pPr>
      <w:r>
        <w:t>3</w:t>
      </w:r>
      <w:r>
        <w:t>.</w:t>
        <w:tab/>
        <w:t xml:space="preserve">Įgalioti Prienų rajono savivaldybės administracijos direktorių pasirašyti sprendimo                                   1 punkte nurodyto turto panaudos sutartį ir </w:t>
      </w:r>
      <w:r>
        <w:rPr>
          <w:color w:val="000000"/>
        </w:rPr>
        <w:t>perdavimo–priėmimo</w:t>
      </w:r>
      <w:r>
        <w:t xml:space="preserve"> aktą.</w:t>
      </w:r>
    </w:p>
    <w:p>
      <w:pPr>
        <w:spacing w:line="276" w:lineRule="auto"/>
        <w:ind w:firstLine="1134"/>
        <w:jc w:val="both"/>
      </w:pPr>
      <w:r>
        <w:rPr>
          <w:bCs/>
          <w:szCs w:val="24"/>
        </w:rPr>
        <w:t>Šis sprendimas per vieną mėnesį nuo jo paskelbimo ar įteikimo dienos gali būti skundžiamas Lietuvos Respublikos administracinių bylų teisenos įstatymo nustatyta tvarka Lietuvos Respublikos administracinių ginčų komisijos Kauno apygardos skyriui (</w:t>
      </w:r>
      <w:r>
        <w:rPr>
          <w:szCs w:val="24"/>
        </w:rPr>
        <w:t>Laisvės al. 36, Kaunas</w:t>
      </w:r>
      <w:r>
        <w:rPr>
          <w:bCs/>
          <w:szCs w:val="24"/>
        </w:rPr>
        <w:t>) arba Regionų apygardos administraciniam teismui bet kuriuose teismo rūmuose (Šiaulių rūmai, Dvaro g. 80, Šiauliai; Panevėžio rūmai,</w:t>
      </w:r>
      <w:r>
        <w:rPr>
          <w:szCs w:val="24"/>
        </w:rPr>
        <w:t xml:space="preserve"> </w:t>
      </w:r>
      <w:r>
        <w:rPr>
          <w:bCs/>
          <w:szCs w:val="24"/>
        </w:rPr>
        <w:t>Respublikos g. 62, Panevėžys; Klaipėdos rūmai,</w:t>
      </w:r>
      <w:r>
        <w:rPr>
          <w:szCs w:val="24"/>
        </w:rPr>
        <w:t xml:space="preserve"> </w:t>
      </w:r>
      <w:r>
        <w:rPr>
          <w:bCs/>
          <w:szCs w:val="24"/>
        </w:rPr>
        <w:t>Galinio Pylimo g. 9, Klaipėda; Kauno rūmai,</w:t>
      </w:r>
      <w:r>
        <w:rPr>
          <w:szCs w:val="24"/>
        </w:rPr>
        <w:t xml:space="preserve"> </w:t>
      </w:r>
      <w:r>
        <w:rPr>
          <w:bCs/>
          <w:szCs w:val="24"/>
        </w:rPr>
        <w:t>A. Mickevičiaus g. 8A, Kaunas).</w:t>
      </w: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  <w:rPr>
          <w:sz w:val="20"/>
        </w:rPr>
      </w:pPr>
      <w:r>
        <w:t>Savivaldybės meras</w:t>
        <w:tab/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38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sz w:val="20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sz w:val="20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sz w:val="20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4B6689-20FF-46E8-800E-87E0BEEC6C9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689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2178</Characters>
  <Application>Microsoft Office Word</Application>
  <DocSecurity>4</DocSecurity>
  <Lines>87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2467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2022-06-21T11:43:00Z</dcterms:created>
  <dc:creator>noname</dc:creator>
  <lastModifiedBy>adlibuser</lastModifiedBy>
  <lastPrinted>2022-05-05T11:47:00Z</lastPrinted>
  <dcterms:modified xsi:type="dcterms:W3CDTF">2022-06-21T11:43:00Z</dcterms:modified>
  <revision>2</revision>
  <dc:title>Projektas</dc:title>
</coreProperties>
</file>