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5e92210ba64e15b54c1c0a68c9dce1"/>
        <w:lock w:val="sdtLocked"/>
        <w:richText/>
      </w:sdtPr>
      <w:sdtContent>
        <w:p>
          <w:pPr>
            <w:tabs>
              <w:tab w:val="center" w:pos="4153"/>
              <w:tab w:val="right" w:pos="8306"/>
            </w:tabs>
            <w:suppressAutoHyphens/>
            <w:rPr>
              <w:sz w:val="20"/>
              <w:lang w:val="x-none" w:eastAsia="ar-SA"/>
            </w:rPr>
          </w:pPr>
        </w:p>
        <w:p>
          <w:pPr>
            <w:tabs>
              <w:tab w:val="center" w:pos="4153"/>
              <w:tab w:val="right" w:pos="8306"/>
            </w:tabs>
            <w:suppressAutoHyphens/>
            <w:jc w:val="right"/>
            <w:rPr>
              <w:b/>
              <w:szCs w:val="24"/>
              <w:lang w:eastAsia="ar-SA"/>
            </w:rPr>
          </w:pPr>
        </w:p>
        <w:p>
          <w:pPr>
            <w:tabs>
              <w:tab w:val="center" w:pos="4153"/>
              <w:tab w:val="right" w:pos="8306"/>
            </w:tabs>
            <w:suppressAutoHyphens/>
            <w:jc w:val="right"/>
            <w:rPr>
              <w:b/>
              <w:szCs w:val="24"/>
              <w:lang w:val="x-none" w:eastAsia="ar-SA"/>
            </w:rPr>
          </w:pPr>
          <w:r>
            <w:rPr>
              <w:b/>
              <w:szCs w:val="24"/>
              <w:lang w:eastAsia="ar-SA"/>
            </w:rPr>
            <w:t>P</w:t>
          </w:r>
          <w:r>
            <w:rPr>
              <w:b/>
              <w:szCs w:val="24"/>
              <w:lang w:val="x-none" w:eastAsia="ar-SA"/>
            </w:rPr>
            <w:t>rojektas</w:t>
          </w:r>
        </w:p>
        <w:p>
          <w:pPr>
            <w:tabs>
              <w:tab w:val="center" w:pos="4153"/>
              <w:tab w:val="right" w:pos="8306"/>
            </w:tabs>
            <w:suppressAutoHyphens/>
            <w:jc w:val="right"/>
            <w:rPr>
              <w:b/>
              <w:bCs/>
              <w:lang w:val="x-none" w:eastAsia="ar-SA"/>
            </w:rPr>
          </w:pPr>
        </w:p>
        <w:p>
          <w:pPr>
            <w:keepNext/>
            <w:keepLines/>
            <w:pageBreakBefore/>
            <w:tabs>
              <w:tab w:val="center" w:pos="4153"/>
              <w:tab w:val="right" w:pos="8306"/>
            </w:tabs>
            <w:suppressAutoHyphens/>
            <w:jc w:val="center"/>
            <w:rPr>
              <w:b/>
              <w:szCs w:val="24"/>
              <w:lang w:val="x-none" w:eastAsia="ar-SA"/>
            </w:rPr>
          </w:pPr>
          <w:r>
            <w:rPr>
              <w:b/>
              <w:szCs w:val="24"/>
              <w:lang w:val="x-none" w:eastAsia="ar-SA"/>
            </w:rPr>
            <w:t>ŠIAULIŲ MIESTO SAVIVALDYBĖS TARYBA</w:t>
          </w:r>
        </w:p>
        <w:p>
          <w:pPr>
            <w:suppressAutoHyphens/>
            <w:jc w:val="center"/>
            <w:rPr>
              <w:b/>
              <w:bCs/>
              <w:szCs w:val="24"/>
              <w:lang w:eastAsia="ar-SA"/>
            </w:rPr>
          </w:pPr>
        </w:p>
        <w:p>
          <w:pPr>
            <w:suppressAutoHyphens/>
            <w:jc w:val="center"/>
            <w:rPr>
              <w:b/>
              <w:bCs/>
              <w:szCs w:val="24"/>
              <w:lang w:eastAsia="ar-SA"/>
            </w:rPr>
          </w:pPr>
          <w:r>
            <w:rPr>
              <w:b/>
              <w:bCs/>
              <w:szCs w:val="24"/>
              <w:lang w:eastAsia="ar-SA"/>
            </w:rPr>
            <w:t>SPRENDIMAS</w:t>
          </w:r>
        </w:p>
        <w:p>
          <w:pPr>
            <w:suppressAutoHyphens/>
            <w:jc w:val="center"/>
            <w:rPr>
              <w:rFonts w:eastAsia="Calibri"/>
              <w:b/>
              <w:bCs/>
              <w:szCs w:val="24"/>
            </w:rPr>
          </w:pPr>
          <w:r>
            <w:rPr>
              <w:rFonts w:cs="Arial Unicode MS"/>
              <w:b/>
              <w:szCs w:val="24"/>
              <w:lang w:eastAsia="ar-SA"/>
            </w:rPr>
            <w:t>DĖL ŠIAULIŲ MIESTO SAVIVALDYBĖS TARYBOS 2018 M. SPALIO 4 D. SPRENDIMO NR. T-350 „</w:t>
          </w:r>
          <w:r>
            <w:rPr>
              <w:rFonts w:cs="Arial Unicode MS"/>
              <w:b/>
              <w:szCs w:val="24"/>
              <w:lang w:val="x-none" w:eastAsia="ar-SA"/>
            </w:rPr>
            <w:t xml:space="preserve">DĖL ŠIAULIŲ MIESTO SAVIVALDYBĖS MOKYMO LĖŠŲ PASKIRSTYMO IR PANAUDOJIMO </w:t>
          </w:r>
          <w:r>
            <w:rPr>
              <w:rFonts w:cs="Arial Unicode MS"/>
              <w:b/>
              <w:szCs w:val="24"/>
              <w:lang w:eastAsia="ar-SA"/>
            </w:rPr>
            <w:t xml:space="preserve">TVARKOS </w:t>
          </w:r>
          <w:r>
            <w:rPr>
              <w:rFonts w:eastAsia="Calibri"/>
              <w:b/>
              <w:szCs w:val="24"/>
            </w:rPr>
            <w:t xml:space="preserve">APRAŠO PATVIRTINIMO“ </w:t>
          </w:r>
          <w:r>
            <w:rPr>
              <w:rFonts w:cs="Arial Unicode MS"/>
              <w:b/>
              <w:szCs w:val="24"/>
              <w:lang w:eastAsia="ar-SA"/>
            </w:rPr>
            <w:t>PAKEITIMO</w:t>
          </w:r>
        </w:p>
        <w:p>
          <w:pPr>
            <w:tabs>
              <w:tab w:val="left" w:pos="990"/>
              <w:tab w:val="center" w:pos="4153"/>
              <w:tab w:val="right" w:pos="8306"/>
            </w:tabs>
            <w:suppressAutoHyphens/>
            <w:jc w:val="center"/>
            <w:rPr>
              <w:szCs w:val="24"/>
              <w:lang w:val="x-none"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Šiauliai</w:t>
          </w:r>
        </w:p>
        <w:p>
          <w:pPr>
            <w:suppressAutoHyphens/>
            <w:jc w:val="both"/>
            <w:rPr>
              <w:szCs w:val="22"/>
              <w:lang w:eastAsia="ar-SA"/>
            </w:rPr>
          </w:pPr>
        </w:p>
        <w:p>
          <w:pPr>
            <w:suppressAutoHyphens/>
            <w:jc w:val="both"/>
            <w:rPr>
              <w:szCs w:val="24"/>
              <w:lang w:eastAsia="ar-SA"/>
            </w:rPr>
          </w:pPr>
        </w:p>
        <w:sdt>
          <w:sdtPr>
            <w:alias w:val="preambule"/>
            <w:tag w:val="part_75a8b9391047402fbf67767eff134988"/>
            <w:lock w:val="sdtLocked"/>
            <w:richText/>
          </w:sdtPr>
          <w:sdtContent>
            <w:p>
              <w:pPr>
                <w:suppressAutoHyphens/>
                <w:ind w:firstLine="851"/>
                <w:jc w:val="both"/>
                <w:rPr>
                  <w:rFonts w:cs="Arial Unicode MS"/>
                  <w:spacing w:val="20"/>
                  <w:szCs w:val="24"/>
                  <w:lang w:eastAsia="ar-SA"/>
                </w:rPr>
              </w:pPr>
              <w:r>
                <w:rPr>
                  <w:rFonts w:cs="Arial Unicode MS"/>
                  <w:szCs w:val="24"/>
                  <w:lang w:eastAsia="ar-SA"/>
                </w:rPr>
                <w:t xml:space="preserve">Vadovaudamasi Lietuvos Respublikos vietos savivaldos įstatymo 16 straipsnio 1 dalimi ir </w:t>
              </w:r>
              <w:r>
                <w:rPr>
                  <w:color w:val="000000"/>
                  <w:szCs w:val="24"/>
                  <w:lang w:eastAsia="ar-SA"/>
                </w:rPr>
                <w:t>Lietuvos Respublikos Vyriausybės 2024 m. gruodžio 30 d. nutarimu Nr. 1102 „Dėl Lietuvos Respublikos Vyriausybės 2018 m. liepos 11 d. nutarimo Nr. 679 „Dėl mokymo lėšų apskaičiavimo, paskirstymo ir panaudojimo tvarkos aprašo patvirtinimo“ pakeitimo“</w:t>
              </w:r>
              <w:r>
                <w:rPr>
                  <w:rFonts w:cs="Arial Unicode MS"/>
                  <w:szCs w:val="24"/>
                  <w:lang w:eastAsia="ar-SA"/>
                </w:rPr>
                <w:t xml:space="preserve">, Šiaulių miesto savivaldybės taryba  </w:t>
              </w:r>
              <w:r>
                <w:rPr>
                  <w:rFonts w:cs="Arial Unicode MS"/>
                  <w:spacing w:val="40"/>
                  <w:szCs w:val="24"/>
                  <w:lang w:eastAsia="ar-SA"/>
                </w:rPr>
                <w:t>nusprendžia:</w:t>
              </w:r>
            </w:p>
          </w:sdtContent>
        </w:sdt>
        <w:sdt>
          <w:sdtPr>
            <w:alias w:val="pastraipa"/>
            <w:tag w:val="part_03958cc322ef44ebaa2f0099342d1686"/>
            <w:lock w:val="sdtLocked"/>
            <w:richText/>
          </w:sdtPr>
          <w:sdtContent>
            <w:p>
              <w:pPr>
                <w:suppressAutoHyphens/>
                <w:ind w:firstLine="851"/>
                <w:jc w:val="both"/>
                <w:rPr>
                  <w:rFonts w:cs="Arial Unicode MS"/>
                  <w:szCs w:val="24"/>
                  <w:lang w:eastAsia="ar-SA"/>
                </w:rPr>
              </w:pPr>
              <w:r>
                <w:rPr>
                  <w:rFonts w:cs="Arial Unicode MS"/>
                  <w:szCs w:val="24"/>
                  <w:lang w:eastAsia="ar-SA"/>
                </w:rPr>
                <w:t>Pakeisti Šiaulių miesto savivaldybės mokymo lėšų paskirstymo ir panaudojimo tvarkos aprašą, patvirtintą Šiaulių miesto savivaldybės tarybos 2018 m. spalio 4 d. sprendimo Nr. T-350 „Dėl Šiaulių miesto savivaldybės mokymo lėšų paskirstymo ir panaudojimo tvarkos aprašo patvirtinimo“ 1 punktu:</w:t>
              </w:r>
            </w:p>
          </w:sdtContent>
        </w:sdt>
        <w:sdt>
          <w:sdtPr>
            <w:alias w:val="1 p."/>
            <w:tag w:val="part_3518d2f35aad4a999ce234d7fe85c813"/>
            <w:lock w:val="sdtLocked"/>
            <w:richText/>
          </w:sdtPr>
          <w:sdtContent>
            <w:p>
              <w:pPr>
                <w:suppressAutoHyphens/>
                <w:ind w:firstLine="851"/>
                <w:jc w:val="both"/>
                <w:rPr>
                  <w:rFonts w:cs="Arial Unicode MS"/>
                  <w:szCs w:val="24"/>
                  <w:lang w:eastAsia="ar-SA"/>
                </w:rPr>
              </w:pPr>
              <w:sdt>
                <w:sdtPr>
                  <w:alias w:val="Numeris"/>
                  <w:tag w:val="nr_3518d2f35aad4a999ce234d7fe85c813"/>
                  <w:lock w:val="sdtLocked"/>
                  <w:richText/>
                </w:sdtPr>
                <w:sdtContent>
                  <w:r>
                    <w:rPr>
                      <w:rFonts w:cs="Arial Unicode MS"/>
                      <w:szCs w:val="24"/>
                      <w:lang w:eastAsia="ar-SA"/>
                    </w:rPr>
                    <w:t>1</w:t>
                  </w:r>
                </w:sdtContent>
              </w:sdt>
              <w:r>
                <w:rPr>
                  <w:rFonts w:cs="Arial Unicode MS"/>
                  <w:szCs w:val="24"/>
                  <w:lang w:eastAsia="ar-SA"/>
                </w:rPr>
                <w:t>. Pakeisti 4.2 papunktį ir jį išdėstyti taip:</w:t>
              </w:r>
            </w:p>
            <w:sdt>
              <w:sdtPr>
                <w:alias w:val="citata"/>
                <w:tag w:val="part_2b90a4df33ea441594b7fdcb469877da"/>
                <w:lock w:val="sdtLocked"/>
                <w:richText/>
              </w:sdtPr>
              <w:sdtContent>
                <w:sdt>
                  <w:sdtPr>
                    <w:alias w:val="4.2 pp."/>
                    <w:tag w:val="part_46cbf95f80af4dd8833a76a94e609db6"/>
                    <w:lock w:val="sdtLocked"/>
                    <w:richText/>
                  </w:sdtPr>
                  <w:sdtContent>
                    <w:p>
                      <w:pPr>
                        <w:suppressAutoHyphens/>
                        <w:ind w:firstLine="851"/>
                        <w:jc w:val="both"/>
                        <w:rPr>
                          <w:rFonts w:cs="Arial Unicode MS"/>
                          <w:szCs w:val="24"/>
                          <w:lang w:eastAsia="ar-SA"/>
                        </w:rPr>
                      </w:pPr>
                      <w:r>
                        <w:rPr>
                          <w:rFonts w:cs="Arial Unicode MS"/>
                          <w:szCs w:val="24"/>
                          <w:lang w:eastAsia="ar-SA"/>
                        </w:rPr>
                        <w:t>„</w:t>
                      </w:r>
                      <w:sdt>
                        <w:sdtPr>
                          <w:alias w:val="Numeris"/>
                          <w:tag w:val="nr_46cbf95f80af4dd8833a76a94e609db6"/>
                          <w:lock w:val="sdtLocked"/>
                          <w:richText/>
                        </w:sdtPr>
                        <w:sdtContent>
                          <w:r>
                            <w:rPr>
                              <w:rFonts w:cs="Arial Unicode MS"/>
                              <w:szCs w:val="24"/>
                              <w:lang w:eastAsia="ar-SA"/>
                            </w:rPr>
                            <w:t>4.2</w:t>
                          </w:r>
                        </w:sdtContent>
                      </w:sdt>
                      <w:r>
                        <w:rPr>
                          <w:rFonts w:cs="Arial Unicode MS"/>
                          <w:szCs w:val="24"/>
                          <w:lang w:eastAsia="ar-SA"/>
                        </w:rPr>
                        <w:t>. psichologinei, specialiajai pedagoginei, specialiajai, socialinei pedagoginei švietimo pagalbai pedagoginę psichologinę pagalbą teikiančiose įstaigose;“.</w:t>
                      </w:r>
                    </w:p>
                  </w:sdtContent>
                </w:sdt>
              </w:sdtContent>
            </w:sdt>
          </w:sdtContent>
        </w:sdt>
        <w:sdt>
          <w:sdtPr>
            <w:alias w:val="2 p."/>
            <w:tag w:val="part_deb4148b9b3040019dc64bc037b4c7a1"/>
            <w:lock w:val="sdtLocked"/>
            <w:richText/>
          </w:sdtPr>
          <w:sdtContent>
            <w:p>
              <w:pPr>
                <w:suppressAutoHyphens/>
                <w:ind w:firstLine="851"/>
                <w:jc w:val="both"/>
                <w:rPr>
                  <w:rFonts w:cs="Arial Unicode MS"/>
                  <w:szCs w:val="24"/>
                  <w:lang w:eastAsia="ar-SA"/>
                </w:rPr>
              </w:pPr>
              <w:sdt>
                <w:sdtPr>
                  <w:alias w:val="Numeris"/>
                  <w:tag w:val="nr_deb4148b9b3040019dc64bc037b4c7a1"/>
                  <w:lock w:val="sdtLocked"/>
                  <w:richText/>
                </w:sdtPr>
                <w:sdtContent>
                  <w:r>
                    <w:rPr>
                      <w:rFonts w:cs="Arial Unicode MS"/>
                      <w:szCs w:val="24"/>
                      <w:lang w:eastAsia="ar-SA"/>
                    </w:rPr>
                    <w:t>2</w:t>
                  </w:r>
                </w:sdtContent>
              </w:sdt>
              <w:r>
                <w:rPr>
                  <w:rFonts w:cs="Arial Unicode MS"/>
                  <w:szCs w:val="24"/>
                  <w:lang w:eastAsia="ar-SA"/>
                </w:rPr>
                <w:t>. Pakeisti 6 punktą ir jį išdėstyti taip:</w:t>
              </w:r>
            </w:p>
            <w:sdt>
              <w:sdtPr>
                <w:alias w:val="citata"/>
                <w:tag w:val="part_dd5d0bc90d6f4b968da59301a28f2c69"/>
                <w:lock w:val="sdtLocked"/>
                <w:richText/>
              </w:sdtPr>
              <w:sdtContent>
                <w:sdt>
                  <w:sdtPr>
                    <w:alias w:val="6 p."/>
                    <w:tag w:val="part_d0a8bc319ec94f2aa7ec4c99dece6a26"/>
                    <w:lock w:val="sdtLocked"/>
                    <w:richText/>
                  </w:sdtPr>
                  <w:sdtContent>
                    <w:p>
                      <w:pPr>
                        <w:suppressAutoHyphens/>
                        <w:ind w:firstLine="851"/>
                        <w:jc w:val="both"/>
                        <w:rPr>
                          <w:szCs w:val="24"/>
                          <w:lang w:eastAsia="lt-LT"/>
                        </w:rPr>
                      </w:pPr>
                      <w:r>
                        <w:rPr>
                          <w:rFonts w:cs="Arial Unicode MS"/>
                          <w:szCs w:val="24"/>
                          <w:lang w:eastAsia="ar-SA"/>
                        </w:rPr>
                        <w:t>„</w:t>
                      </w:r>
                      <w:sdt>
                        <w:sdtPr>
                          <w:alias w:val="Numeris"/>
                          <w:tag w:val="nr_d0a8bc319ec94f2aa7ec4c99dece6a26"/>
                          <w:lock w:val="sdtLocked"/>
                          <w:richText/>
                        </w:sdtPr>
                        <w:sdtContent>
                          <w:r>
                            <w:rPr>
                              <w:szCs w:val="24"/>
                              <w:lang w:eastAsia="lt-LT"/>
                            </w:rPr>
                            <w:t>6</w:t>
                          </w:r>
                        </w:sdtContent>
                      </w:sdt>
                      <w:r>
                        <w:rPr>
                          <w:szCs w:val="24"/>
                          <w:lang w:eastAsia="lt-LT"/>
                        </w:rPr>
                        <w:t>. Mokymo lėšos psichologinei, specialiajai pedagoginei, specialiajai, socialinei pedagoginei švietimo pagalbai pedagoginę psichologinę pagalbą teikiančiose įstaigose skiriamos asmenų, teikiančių šią pagalbą, darbo užmokesčiui mokėti, apmokėti už šios pagalbos teikimo paslaugas.“</w:t>
                      </w:r>
                      <w:r>
                        <w:rPr>
                          <w:szCs w:val="24"/>
                          <w:lang w:eastAsia="ar-SA"/>
                        </w:rPr>
                        <w:t xml:space="preserve"> </w:t>
                      </w:r>
                    </w:p>
                  </w:sdtContent>
                </w:sdt>
              </w:sdtContent>
            </w:sdt>
          </w:sdtContent>
        </w:sdt>
        <w:sdt>
          <w:sdtPr>
            <w:alias w:val="3 p."/>
            <w:tag w:val="part_8094306d6b104ba28e9187565ca52a3b"/>
            <w:lock w:val="sdtLocked"/>
            <w:richText/>
          </w:sdtPr>
          <w:sdtContent>
            <w:p>
              <w:pPr>
                <w:suppressAutoHyphens/>
                <w:ind w:firstLine="851"/>
                <w:jc w:val="both"/>
                <w:rPr>
                  <w:rFonts w:cs="Arial Unicode MS"/>
                  <w:szCs w:val="24"/>
                  <w:lang w:eastAsia="ar-SA"/>
                </w:rPr>
              </w:pPr>
              <w:sdt>
                <w:sdtPr>
                  <w:alias w:val="Numeris"/>
                  <w:tag w:val="nr_8094306d6b104ba28e9187565ca52a3b"/>
                  <w:lock w:val="sdtLocked"/>
                  <w:richText/>
                </w:sdtPr>
                <w:sdtContent>
                  <w:r>
                    <w:rPr>
                      <w:rFonts w:cs="Arial Unicode MS"/>
                      <w:szCs w:val="24"/>
                      <w:lang w:eastAsia="ar-SA"/>
                    </w:rPr>
                    <w:t>3</w:t>
                  </w:r>
                </w:sdtContent>
              </w:sdt>
              <w:r>
                <w:rPr>
                  <w:rFonts w:cs="Arial Unicode MS"/>
                  <w:szCs w:val="24"/>
                  <w:lang w:eastAsia="ar-SA"/>
                </w:rPr>
                <w:t xml:space="preserve">. Pakeisti  9.5 papunktį ir jį išdėstyti taip:</w:t>
              </w:r>
            </w:p>
            <w:sdt>
              <w:sdtPr>
                <w:alias w:val="citata"/>
                <w:tag w:val="part_59aa7cc60b1545df87d2ef362c4c2edc"/>
                <w:lock w:val="sdtLocked"/>
                <w:richText/>
              </w:sdtPr>
              <w:sdtContent>
                <w:sdt>
                  <w:sdtPr>
                    <w:alias w:val="9.5 pp."/>
                    <w:tag w:val="part_b9c9e525a70f429e8a54e77540544655"/>
                    <w:lock w:val="sdtLocked"/>
                    <w:richText/>
                  </w:sdtPr>
                  <w:sdtContent>
                    <w:p>
                      <w:pPr>
                        <w:suppressAutoHyphens/>
                        <w:ind w:firstLine="851"/>
                        <w:jc w:val="both"/>
                        <w:rPr>
                          <w:rFonts w:cs="Arial Unicode MS"/>
                          <w:szCs w:val="24"/>
                          <w:lang w:eastAsia="ar-SA"/>
                        </w:rPr>
                      </w:pPr>
                      <w:r>
                        <w:rPr>
                          <w:rFonts w:cs="Arial Unicode MS"/>
                          <w:szCs w:val="24"/>
                          <w:lang w:eastAsia="ar-SA"/>
                        </w:rPr>
                        <w:t>„</w:t>
                      </w:r>
                      <w:sdt>
                        <w:sdtPr>
                          <w:alias w:val="Numeris"/>
                          <w:tag w:val="nr_b9c9e525a70f429e8a54e77540544655"/>
                          <w:lock w:val="sdtLocked"/>
                          <w:richText/>
                        </w:sdtPr>
                        <w:sdtContent>
                          <w:r>
                            <w:rPr>
                              <w:rFonts w:cs="Arial Unicode MS"/>
                              <w:szCs w:val="24"/>
                              <w:lang w:eastAsia="ar-SA"/>
                            </w:rPr>
                            <w:t>9.5</w:t>
                          </w:r>
                        </w:sdtContent>
                      </w:sdt>
                      <w:r>
                        <w:rPr>
                          <w:rFonts w:cs="Arial Unicode MS"/>
                          <w:szCs w:val="24"/>
                          <w:lang w:eastAsia="ar-SA"/>
                        </w:rPr>
                        <w:t>. migrantams.“</w:t>
                      </w:r>
                    </w:p>
                  </w:sdtContent>
                </w:sdt>
              </w:sdtContent>
            </w:sdt>
          </w:sdtContent>
        </w:sdt>
        <w:sdt>
          <w:sdtPr>
            <w:alias w:val="4 p."/>
            <w:tag w:val="part_16601dbbb70242aea9a749a0105e38f9"/>
            <w:lock w:val="sdtLocked"/>
            <w:richText/>
          </w:sdtPr>
          <w:sdtContent>
            <w:p>
              <w:pPr>
                <w:suppressAutoHyphens/>
                <w:ind w:firstLine="851"/>
                <w:jc w:val="both"/>
                <w:rPr>
                  <w:rFonts w:cs="Arial Unicode MS"/>
                  <w:szCs w:val="24"/>
                  <w:lang w:eastAsia="ar-SA"/>
                </w:rPr>
              </w:pPr>
              <w:sdt>
                <w:sdtPr>
                  <w:alias w:val="Numeris"/>
                  <w:tag w:val="nr_16601dbbb70242aea9a749a0105e38f9"/>
                  <w:lock w:val="sdtLocked"/>
                  <w:richText/>
                </w:sdtPr>
                <w:sdtContent>
                  <w:r>
                    <w:rPr>
                      <w:rFonts w:cs="Arial Unicode MS"/>
                      <w:szCs w:val="24"/>
                      <w:lang w:eastAsia="ar-SA"/>
                    </w:rPr>
                    <w:t>4</w:t>
                  </w:r>
                </w:sdtContent>
              </w:sdt>
              <w:r>
                <w:rPr>
                  <w:rFonts w:cs="Arial Unicode MS"/>
                  <w:szCs w:val="24"/>
                  <w:lang w:eastAsia="ar-SA"/>
                </w:rPr>
                <w:t>. Pakeisti 14.3 papunktį ir jį išdėstyti taip:</w:t>
              </w:r>
            </w:p>
            <w:sdt>
              <w:sdtPr>
                <w:alias w:val="citata"/>
                <w:tag w:val="part_e311d865ecfd4e8a85c67c282c35de8c"/>
                <w:lock w:val="sdtLocked"/>
                <w:richText/>
              </w:sdtPr>
              <w:sdtContent>
                <w:sdt>
                  <w:sdtPr>
                    <w:alias w:val="14.3 pp."/>
                    <w:tag w:val="part_954a07748d024e67babf55f7c1d310f3"/>
                    <w:lock w:val="sdtLocked"/>
                    <w:richText/>
                  </w:sdtPr>
                  <w:sdtContent>
                    <w:p>
                      <w:pPr>
                        <w:suppressAutoHyphens/>
                        <w:ind w:firstLine="851"/>
                        <w:jc w:val="both"/>
                        <w:rPr>
                          <w:rFonts w:cs="Arial Unicode MS"/>
                          <w:szCs w:val="24"/>
                          <w:lang w:eastAsia="ar-SA"/>
                        </w:rPr>
                      </w:pPr>
                      <w:r>
                        <w:rPr>
                          <w:rFonts w:cs="Arial Unicode MS"/>
                          <w:szCs w:val="24"/>
                          <w:lang w:eastAsia="ar-SA"/>
                        </w:rPr>
                        <w:t>„</w:t>
                      </w:r>
                      <w:sdt>
                        <w:sdtPr>
                          <w:alias w:val="Numeris"/>
                          <w:tag w:val="nr_954a07748d024e67babf55f7c1d310f3"/>
                          <w:lock w:val="sdtLocked"/>
                          <w:richText/>
                        </w:sdtPr>
                        <w:sdtContent>
                          <w:r>
                            <w:rPr>
                              <w:rFonts w:cs="Arial Unicode MS"/>
                              <w:szCs w:val="24"/>
                              <w:lang w:eastAsia="ar-SA"/>
                            </w:rPr>
                            <w:t>14.3</w:t>
                          </w:r>
                        </w:sdtContent>
                      </w:sdt>
                      <w:r>
                        <w:rPr>
                          <w:rFonts w:cs="Arial Unicode MS"/>
                          <w:szCs w:val="24"/>
                          <w:lang w:eastAsia="ar-SA"/>
                        </w:rPr>
                        <w:t>. migrantams, kai mokinys atvyko po rugsėjo 1 d., taikant 0,4772 pareiginės algos bazinio dydžio ugdymo reikmių koeficientą.“</w:t>
                      </w:r>
                    </w:p>
                  </w:sdtContent>
                </w:sdt>
              </w:sdtContent>
            </w:sdt>
          </w:sdtContent>
        </w:sdt>
        <w:sdt>
          <w:sdtPr>
            <w:alias w:val="5 p."/>
            <w:tag w:val="part_9ad354dd04a14b999a465c0608f1b150"/>
            <w:lock w:val="sdtLocked"/>
            <w:richText/>
          </w:sdtPr>
          <w:sdtContent>
            <w:p>
              <w:pPr>
                <w:suppressAutoHyphens/>
                <w:ind w:firstLine="851"/>
                <w:jc w:val="both"/>
                <w:rPr>
                  <w:rFonts w:cs="Arial Unicode MS"/>
                  <w:szCs w:val="24"/>
                  <w:lang w:eastAsia="ar-SA"/>
                </w:rPr>
              </w:pPr>
              <w:sdt>
                <w:sdtPr>
                  <w:alias w:val="Numeris"/>
                  <w:tag w:val="nr_9ad354dd04a14b999a465c0608f1b150"/>
                  <w:lock w:val="sdtLocked"/>
                  <w:richText/>
                </w:sdtPr>
                <w:sdtContent>
                  <w:r>
                    <w:rPr>
                      <w:rFonts w:cs="Arial Unicode MS"/>
                      <w:szCs w:val="24"/>
                      <w:lang w:eastAsia="ar-SA"/>
                    </w:rPr>
                    <w:t>5</w:t>
                  </w:r>
                </w:sdtContent>
              </w:sdt>
              <w:r>
                <w:rPr>
                  <w:rFonts w:cs="Arial Unicode MS"/>
                  <w:szCs w:val="24"/>
                  <w:lang w:eastAsia="ar-SA"/>
                </w:rPr>
                <w:t>. Pakeisti 15 punktą ir jį išdėstyti taip:</w:t>
              </w:r>
            </w:p>
            <w:sdt>
              <w:sdtPr>
                <w:alias w:val="citata"/>
                <w:tag w:val="part_41137914824f421493e3e8a3968f2fd6"/>
                <w:lock w:val="sdtLocked"/>
                <w:richText/>
              </w:sdtPr>
              <w:sdtContent>
                <w:sdt>
                  <w:sdtPr>
                    <w:alias w:val="15 p."/>
                    <w:tag w:val="part_7c101a08eb3a4276a3c282f9bfc48bdb"/>
                    <w:lock w:val="sdtLocked"/>
                    <w:richText/>
                  </w:sdtPr>
                  <w:sdtContent>
                    <w:p>
                      <w:pPr>
                        <w:suppressAutoHyphens/>
                        <w:ind w:firstLine="851"/>
                        <w:jc w:val="both"/>
                        <w:rPr>
                          <w:szCs w:val="24"/>
                          <w:lang w:eastAsia="lt-LT"/>
                        </w:rPr>
                      </w:pPr>
                      <w:r>
                        <w:rPr>
                          <w:rFonts w:cs="Arial Unicode MS"/>
                          <w:szCs w:val="24"/>
                          <w:lang w:eastAsia="ar-SA"/>
                        </w:rPr>
                        <w:t>„</w:t>
                      </w:r>
                      <w:sdt>
                        <w:sdtPr>
                          <w:alias w:val="Numeris"/>
                          <w:tag w:val="nr_7c101a08eb3a4276a3c282f9bfc48bdb"/>
                          <w:lock w:val="sdtLocked"/>
                          <w:richText/>
                        </w:sdtPr>
                        <w:sdtContent>
                          <w:r>
                            <w:rPr>
                              <w:bCs/>
                              <w:szCs w:val="24"/>
                              <w:lang w:eastAsia="lt-LT"/>
                            </w:rPr>
                            <w:t>15</w:t>
                          </w:r>
                        </w:sdtContent>
                      </w:sdt>
                      <w:r>
                        <w:rPr>
                          <w:bCs/>
                          <w:szCs w:val="24"/>
                          <w:lang w:eastAsia="lt-LT"/>
                        </w:rPr>
                        <w:t xml:space="preserve">. Ikimokyklinio ugdymo įstaigoms Aprašo 4.1 papunktyje nurodytoms ugdymo reikmėms tenkinti skiriamos </w:t>
                      </w:r>
                      <w:r>
                        <w:rPr>
                          <w:szCs w:val="24"/>
                          <w:lang w:eastAsia="lt-LT"/>
                        </w:rPr>
                        <w:t>pagal ML aprašą apskaičiuotos mokymo lėšos. Aprašo 4.5 papunktyje nurodytoms ugdymo reikmėms tenkinti įstaigai lėšos skiriamos įvertinus poreikį.“</w:t>
                      </w:r>
                    </w:p>
                  </w:sdtContent>
                </w:sdt>
              </w:sdtContent>
            </w:sdt>
          </w:sdtContent>
        </w:sdt>
        <w:sdt>
          <w:sdtPr>
            <w:alias w:val="6 p."/>
            <w:tag w:val="part_b502f032075b4a938c5ed186862c61ca"/>
            <w:lock w:val="sdtLocked"/>
            <w:richText/>
          </w:sdtPr>
          <w:sdtContent>
            <w:p>
              <w:pPr>
                <w:suppressAutoHyphens/>
                <w:ind w:firstLine="851"/>
                <w:jc w:val="both"/>
                <w:rPr>
                  <w:szCs w:val="24"/>
                  <w:lang w:eastAsia="lt-LT"/>
                </w:rPr>
              </w:pPr>
              <w:sdt>
                <w:sdtPr>
                  <w:alias w:val="Numeris"/>
                  <w:tag w:val="nr_b502f032075b4a938c5ed186862c61ca"/>
                  <w:lock w:val="sdtLocked"/>
                  <w:richText/>
                </w:sdtPr>
                <w:sdtContent>
                  <w:r>
                    <w:rPr>
                      <w:szCs w:val="24"/>
                      <w:lang w:eastAsia="lt-LT"/>
                    </w:rPr>
                    <w:t>6</w:t>
                  </w:r>
                </w:sdtContent>
              </w:sdt>
              <w:r>
                <w:rPr>
                  <w:szCs w:val="24"/>
                  <w:lang w:eastAsia="lt-LT"/>
                </w:rPr>
                <w:t>. Pakeisti 18 punktą ir jį išdėstyti taip:</w:t>
              </w:r>
            </w:p>
            <w:sdt>
              <w:sdtPr>
                <w:alias w:val="citata"/>
                <w:tag w:val="part_326180966f1c4236a5d0e90103357674"/>
                <w:lock w:val="sdtLocked"/>
                <w:richText/>
              </w:sdtPr>
              <w:sdtContent>
                <w:sdt>
                  <w:sdtPr>
                    <w:alias w:val="18 p."/>
                    <w:tag w:val="part_daa57471691145969014b614de2c6a90"/>
                    <w:lock w:val="sdtLocked"/>
                    <w:richText/>
                  </w:sdtPr>
                  <w:sdtContent>
                    <w:p>
                      <w:pPr>
                        <w:suppressAutoHyphens/>
                        <w:ind w:firstLine="851"/>
                        <w:jc w:val="both"/>
                        <w:rPr>
                          <w:rFonts w:eastAsia="Batang"/>
                          <w:szCs w:val="24"/>
                          <w:lang w:eastAsia="ar-SA"/>
                        </w:rPr>
                      </w:pPr>
                      <w:r>
                        <w:rPr>
                          <w:szCs w:val="24"/>
                          <w:lang w:eastAsia="lt-LT"/>
                        </w:rPr>
                        <w:t>„</w:t>
                      </w:r>
                      <w:sdt>
                        <w:sdtPr>
                          <w:alias w:val="Numeris"/>
                          <w:tag w:val="nr_daa57471691145969014b614de2c6a90"/>
                          <w:lock w:val="sdtLocked"/>
                          <w:richText/>
                        </w:sdtPr>
                        <w:sdtContent>
                          <w:r>
                            <w:rPr>
                              <w:szCs w:val="24"/>
                              <w:lang w:eastAsia="lt-LT"/>
                            </w:rPr>
                            <w:t>18</w:t>
                          </w:r>
                        </w:sdtContent>
                      </w:sdt>
                      <w:r>
                        <w:rPr>
                          <w:szCs w:val="24"/>
                          <w:lang w:eastAsia="lt-LT"/>
                        </w:rPr>
                        <w:t>.</w:t>
                      </w:r>
                      <w:r>
                        <w:rPr>
                          <w:color w:val="000000"/>
                          <w:szCs w:val="24"/>
                          <w:lang w:eastAsia="lt-LT"/>
                        </w:rPr>
                        <w:t xml:space="preserve"> </w:t>
                      </w:r>
                      <w:r>
                        <w:rPr>
                          <w:szCs w:val="24"/>
                          <w:lang w:eastAsia="lt-LT"/>
                        </w:rPr>
                        <w:t>Savivaldybės taryba mokymo lėšas tarp mokyklų perskirsto pakitus mokinių ir sąlyginių klasių (grupių) skaičiui einamųjų metų rugsėjo 1 dieną. Lėšos tarp mokyklų perskirstomos iki einamųjų metų pabaigos</w:t>
                      </w:r>
                      <w:r>
                        <w:rPr>
                          <w:rFonts w:eastAsia="Batang"/>
                          <w:szCs w:val="24"/>
                          <w:lang w:eastAsia="ar-SA"/>
                        </w:rPr>
                        <w:t>.“</w:t>
                      </w:r>
                      <w:r>
                        <w:rPr>
                          <w:szCs w:val="24"/>
                          <w:lang w:eastAsia="ar-SA"/>
                        </w:rPr>
                        <w:t xml:space="preserve"> </w:t>
                      </w:r>
                    </w:p>
                    <w:p>
                      <w:pPr>
                        <w:suppressAutoHyphens/>
                        <w:ind w:firstLine="913"/>
                        <w:jc w:val="both"/>
                        <w:rPr>
                          <w:szCs w:val="24"/>
                          <w:lang w:eastAsia="lt-LT"/>
                        </w:rPr>
                      </w:pPr>
                    </w:p>
                    <w:p>
                      <w:pPr>
                        <w:suppressAutoHyphens/>
                        <w:ind w:firstLine="851"/>
                        <w:jc w:val="both"/>
                        <w:rPr>
                          <w:rFonts w:cs="Arial Unicode MS"/>
                          <w:szCs w:val="24"/>
                          <w:lang w:eastAsia="ar-SA"/>
                        </w:rPr>
                      </w:pPr>
                    </w:p>
                    <w:p>
                      <w:pPr>
                        <w:suppressAutoHyphens/>
                        <w:ind w:firstLine="851"/>
                        <w:jc w:val="both"/>
                        <w:rPr>
                          <w:rFonts w:cs="Arial Unicode MS"/>
                          <w:szCs w:val="24"/>
                          <w:lang w:eastAsia="ar-SA"/>
                        </w:rPr>
                      </w:pPr>
                    </w:p>
                    <w:p>
                      <w:pPr>
                        <w:rPr>
                          <w:szCs w:val="24"/>
                        </w:rPr>
                      </w:pPr>
                    </w:p>
                  </w:sdtContent>
                </w:sdt>
              </w:sdtContent>
            </w:sdt>
          </w:sdtContent>
        </w:sdt>
        <w:sdt>
          <w:sdtPr>
            <w:alias w:val="signatura"/>
            <w:tag w:val="part_d609f6e443624e8ea9ad0d00a1d26421"/>
            <w:lock w:val="sdtLocked"/>
            <w:richText/>
          </w:sdtPr>
          <w:sdtContent>
            <w:p>
              <w:pPr>
                <w:suppressAutoHyphens/>
                <w:jc w:val="both"/>
                <w:rPr>
                  <w:szCs w:val="24"/>
                  <w:lang w:eastAsia="ar-SA"/>
                </w:rPr>
              </w:pPr>
              <w:r>
                <w:rPr>
                  <w:szCs w:val="24"/>
                  <w:lang w:eastAsia="ar-SA"/>
                </w:rPr>
                <w:t>Savivaldybės meras</w:t>
              </w:r>
            </w:p>
            <w:p>
              <w:pPr>
                <w:rPr>
                  <w:szCs w:val="24"/>
                </w:rPr>
              </w:pPr>
            </w:p>
            <w:p>
              <w:pPr>
                <w:suppressAutoHyphens/>
                <w:jc w:val="both"/>
                <w:rPr>
                  <w:rFonts w:cs="Arial Unicode MS"/>
                  <w:szCs w:val="24"/>
                  <w:lang w:eastAsia="ar-SA"/>
                </w:rPr>
              </w:pPr>
            </w:p>
            <w:p>
              <w:pPr>
                <w:suppressAutoHyphens/>
                <w:jc w:val="both"/>
                <w:rPr>
                  <w:rFonts w:cs="Arial Unicode MS"/>
                  <w:szCs w:val="24"/>
                  <w:lang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701" w:right="567" w:bottom="1134" w:left="1701" w:header="0"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rPr>
        <w:szCs w:val="24"/>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uppressAutoHyphens/>
      <w:rPr>
        <w:sz w:val="20"/>
        <w:lang w:val="x-none" w:eastAsia="ar-SA"/>
      </w:rPr>
    </w:pPr>
    <w:r>
      <w:rPr>
        <w:sz w:val="20"/>
        <w:lang w:val="x-none" w:eastAsia="ar-SA"/>
      </w:rPr>
      <w:fldChar w:fldCharType="begin"/>
    </w:r>
    <w:r>
      <w:rPr>
        <w:sz w:val="20"/>
        <w:lang w:val="x-none" w:eastAsia="ar-SA"/>
      </w:rPr>
      <w:instrText xml:space="preserve">PAGE  </w:instrText>
    </w:r>
    <w:r>
      <w:rPr>
        <w:sz w:val="20"/>
        <w:lang w:val="x-none" w:eastAsia="ar-SA"/>
      </w:rPr>
      <w:fldChar w:fldCharType="end"/>
    </w:r>
  </w:p>
  <w:p>
    <w:pPr>
      <w:tabs>
        <w:tab w:val="center" w:pos="4153"/>
        <w:tab w:val="right" w:pos="8306"/>
      </w:tabs>
      <w:suppressAutoHyphens/>
      <w:rPr>
        <w:sz w:val="20"/>
        <w:lang w:val="x-none"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jc w:val="center"/>
      <w:rPr>
        <w:sz w:val="20"/>
        <w:lang w:val="x-none" w:eastAsia="ar-SA"/>
      </w:rPr>
    </w:pPr>
    <w:r>
      <w:rPr>
        <w:sz w:val="20"/>
        <w:lang w:val="x-none" w:eastAsia="ar-SA"/>
      </w:rPr>
      <w:fldChar w:fldCharType="begin"/>
    </w:r>
    <w:r>
      <w:rPr>
        <w:sz w:val="20"/>
        <w:lang w:val="x-none" w:eastAsia="ar-SA"/>
      </w:rPr>
      <w:instrText xml:space="preserve"> PAGE   \* MERGEFORMAT </w:instrText>
    </w:r>
    <w:r>
      <w:rPr>
        <w:sz w:val="20"/>
        <w:lang w:val="x-none" w:eastAsia="ar-SA"/>
      </w:rPr>
      <w:fldChar w:fldCharType="separate"/>
    </w:r>
    <w:r>
      <w:rPr>
        <w:sz w:val="20"/>
        <w:lang w:val="x-none" w:eastAsia="ar-SA"/>
      </w:rPr>
      <w:t>2</w:t>
    </w:r>
    <w:r>
      <w:rPr>
        <w:sz w:val="20"/>
        <w:lang w:val="x-none" w:eastAsia="ar-SA"/>
      </w:rPr>
      <w:fldChar w:fldCharType="end"/>
    </w:r>
  </w:p>
  <w:p>
    <w:pPr>
      <w:tabs>
        <w:tab w:val="center" w:pos="4153"/>
        <w:tab w:val="right" w:pos="8306"/>
      </w:tabs>
      <w:suppressAutoHyphens/>
      <w:jc w:val="right"/>
      <w:rPr>
        <w:sz w:val="20"/>
        <w:lang w:val="x-none"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suppressAutoHyphens/>
      <w:rPr>
        <w:sz w:val="20"/>
        <w:lang w:val="x-none"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5F1"/>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26473DC7-A1BA-4857-AF60-F081AB4A440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064166">
      <w:bodyDiv w:val="1"/>
      <w:marLeft w:val="0"/>
      <w:marRight w:val="0"/>
      <w:marTop w:val="0"/>
      <w:marBottom w:val="0"/>
      <w:divBdr>
        <w:top w:val="none" w:sz="0" w:space="0" w:color="auto"/>
        <w:left w:val="none" w:sz="0" w:space="0" w:color="auto"/>
        <w:bottom w:val="none" w:sz="0" w:space="0" w:color="auto"/>
        <w:right w:val="none" w:sz="0" w:space="0" w:color="auto"/>
      </w:divBdr>
    </w:div>
    <w:div w:id="451949082">
      <w:bodyDiv w:val="1"/>
      <w:marLeft w:val="0"/>
      <w:marRight w:val="0"/>
      <w:marTop w:val="0"/>
      <w:marBottom w:val="0"/>
      <w:divBdr>
        <w:top w:val="none" w:sz="0" w:space="0" w:color="auto"/>
        <w:left w:val="none" w:sz="0" w:space="0" w:color="auto"/>
        <w:bottom w:val="none" w:sz="0" w:space="0" w:color="auto"/>
        <w:right w:val="none" w:sz="0" w:space="0" w:color="auto"/>
      </w:divBdr>
    </w:div>
    <w:div w:id="473255838">
      <w:bodyDiv w:val="1"/>
      <w:marLeft w:val="0"/>
      <w:marRight w:val="0"/>
      <w:marTop w:val="0"/>
      <w:marBottom w:val="0"/>
      <w:divBdr>
        <w:top w:val="none" w:sz="0" w:space="0" w:color="auto"/>
        <w:left w:val="none" w:sz="0" w:space="0" w:color="auto"/>
        <w:bottom w:val="none" w:sz="0" w:space="0" w:color="auto"/>
        <w:right w:val="none" w:sz="0" w:space="0" w:color="auto"/>
      </w:divBdr>
    </w:div>
    <w:div w:id="526061682">
      <w:bodyDiv w:val="1"/>
      <w:marLeft w:val="0"/>
      <w:marRight w:val="0"/>
      <w:marTop w:val="0"/>
      <w:marBottom w:val="0"/>
      <w:divBdr>
        <w:top w:val="none" w:sz="0" w:space="0" w:color="auto"/>
        <w:left w:val="none" w:sz="0" w:space="0" w:color="auto"/>
        <w:bottom w:val="none" w:sz="0" w:space="0" w:color="auto"/>
        <w:right w:val="none" w:sz="0" w:space="0" w:color="auto"/>
      </w:divBdr>
    </w:div>
    <w:div w:id="719744614">
      <w:bodyDiv w:val="1"/>
      <w:marLeft w:val="0"/>
      <w:marRight w:val="0"/>
      <w:marTop w:val="0"/>
      <w:marBottom w:val="0"/>
      <w:divBdr>
        <w:top w:val="none" w:sz="0" w:space="0" w:color="auto"/>
        <w:left w:val="none" w:sz="0" w:space="0" w:color="auto"/>
        <w:bottom w:val="none" w:sz="0" w:space="0" w:color="auto"/>
        <w:right w:val="none" w:sz="0" w:space="0" w:color="auto"/>
      </w:divBdr>
    </w:div>
    <w:div w:id="753936496">
      <w:bodyDiv w:val="1"/>
      <w:marLeft w:val="0"/>
      <w:marRight w:val="0"/>
      <w:marTop w:val="0"/>
      <w:marBottom w:val="0"/>
      <w:divBdr>
        <w:top w:val="none" w:sz="0" w:space="0" w:color="auto"/>
        <w:left w:val="none" w:sz="0" w:space="0" w:color="auto"/>
        <w:bottom w:val="none" w:sz="0" w:space="0" w:color="auto"/>
        <w:right w:val="none" w:sz="0" w:space="0" w:color="auto"/>
      </w:divBdr>
    </w:div>
    <w:div w:id="1066295211">
      <w:bodyDiv w:val="1"/>
      <w:marLeft w:val="0"/>
      <w:marRight w:val="0"/>
      <w:marTop w:val="0"/>
      <w:marBottom w:val="0"/>
      <w:divBdr>
        <w:top w:val="none" w:sz="0" w:space="0" w:color="auto"/>
        <w:left w:val="none" w:sz="0" w:space="0" w:color="auto"/>
        <w:bottom w:val="none" w:sz="0" w:space="0" w:color="auto"/>
        <w:right w:val="none" w:sz="0" w:space="0" w:color="auto"/>
      </w:divBdr>
    </w:div>
    <w:div w:id="1454900833">
      <w:bodyDiv w:val="1"/>
      <w:marLeft w:val="0"/>
      <w:marRight w:val="0"/>
      <w:marTop w:val="0"/>
      <w:marBottom w:val="0"/>
      <w:divBdr>
        <w:top w:val="none" w:sz="0" w:space="0" w:color="auto"/>
        <w:left w:val="none" w:sz="0" w:space="0" w:color="auto"/>
        <w:bottom w:val="none" w:sz="0" w:space="0" w:color="auto"/>
        <w:right w:val="none" w:sz="0" w:space="0" w:color="auto"/>
      </w:divBdr>
    </w:div>
    <w:div w:id="1625038931">
      <w:bodyDiv w:val="1"/>
      <w:marLeft w:val="0"/>
      <w:marRight w:val="0"/>
      <w:marTop w:val="0"/>
      <w:marBottom w:val="0"/>
      <w:divBdr>
        <w:top w:val="none" w:sz="0" w:space="0" w:color="auto"/>
        <w:left w:val="none" w:sz="0" w:space="0" w:color="auto"/>
        <w:bottom w:val="none" w:sz="0" w:space="0" w:color="auto"/>
        <w:right w:val="none" w:sz="0" w:space="0" w:color="auto"/>
      </w:divBdr>
    </w:div>
    <w:div w:id="1893926732">
      <w:bodyDiv w:val="1"/>
      <w:marLeft w:val="0"/>
      <w:marRight w:val="0"/>
      <w:marTop w:val="0"/>
      <w:marBottom w:val="0"/>
      <w:divBdr>
        <w:top w:val="none" w:sz="0" w:space="0" w:color="auto"/>
        <w:left w:val="none" w:sz="0" w:space="0" w:color="auto"/>
        <w:bottom w:val="none" w:sz="0" w:space="0" w:color="auto"/>
        <w:right w:val="none" w:sz="0" w:space="0" w:color="auto"/>
      </w:divBdr>
    </w:div>
    <w:div w:id="203569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Parts xmlns="http://lrs.lt/TAIS/DocParts">
  <Part Type="pagrindine" DocPartId="46c8845b964f45d8ba8541279b7753ab" PartId="7c5e92210ba64e15b54c1c0a68c9dce1">
    <Part Type="preambule" DocPartId="ff9ddd108c42465d960d67416314dfcc" PartId="75a8b9391047402fbf67767eff134988"/>
    <Part Type="pastraipa" DocPartId="b411ef9a71ac4345a62a85647ca6cc23" PartId="03958cc322ef44ebaa2f0099342d1686"/>
    <Part Type="punktas" Nr="1" Abbr="1 p." DocPartId="d7e437b1398e4b6c84abba1d5b7bf987" PartId="3518d2f35aad4a999ce234d7fe85c813">
      <Part Type="citata" DocPartId="dd32f4d508c547f7b81203eb6703e933" PartId="2b90a4df33ea441594b7fdcb469877da">
        <Part Type="papunktis" Nr="4.2" Abbr="4.2 pp." DocPartId="39fd6697cc964e699875e0e1baf80cff" PartId="46cbf95f80af4dd8833a76a94e609db6"/>
      </Part>
    </Part>
    <Part Type="punktas" Nr="2" Abbr="2 p." DocPartId="28d373d5583b4648a9b9e51983afc15a" PartId="deb4148b9b3040019dc64bc037b4c7a1">
      <Part Type="citata" DocPartId="c52e3186193448658c9174edfe2c046a" PartId="dd5d0bc90d6f4b968da59301a28f2c69">
        <Part Type="punktas" Nr="6" Abbr="6 p." DocPartId="da6f5dec6f304444882868981f5c2d78" PartId="d0a8bc319ec94f2aa7ec4c99dece6a26"/>
      </Part>
    </Part>
    <Part Type="punktas" Nr="3" Abbr="3 p." DocPartId="270f2edc47874540b4d663b5024e5459" PartId="8094306d6b104ba28e9187565ca52a3b">
      <Part Type="citata" DocPartId="6844c087d4824af9ae75bcaa265469a6" PartId="59aa7cc60b1545df87d2ef362c4c2edc">
        <Part Type="papunktis" Nr="9.5" Abbr="9.5 pp." DocPartId="57888c81059a44e1a4d0ef3bdaba97f0" PartId="b9c9e525a70f429e8a54e77540544655"/>
      </Part>
    </Part>
    <Part Type="punktas" Nr="4" Abbr="4 p." DocPartId="d938f65e7622442087f1ab95b1a279e8" PartId="16601dbbb70242aea9a749a0105e38f9">
      <Part Type="citata" DocPartId="806f2bdf06344c5d9e325049ab744dcf" PartId="e311d865ecfd4e8a85c67c282c35de8c">
        <Part Type="papunktis" Nr="14.3" Abbr="14.3 pp." DocPartId="c8842f8804704e86b2333971051423c6" PartId="954a07748d024e67babf55f7c1d310f3"/>
      </Part>
    </Part>
    <Part Type="punktas" Nr="5" Abbr="5 p." DocPartId="71d87e3f10114cd5910a6efbf0cac2ad" PartId="9ad354dd04a14b999a465c0608f1b150">
      <Part Type="citata" DocPartId="cba863c5384145c7b41c380211d76fd0" PartId="41137914824f421493e3e8a3968f2fd6">
        <Part Type="punktas" Nr="15" Abbr="15 p." DocPartId="15a1d07791564322846668e1e3bd1f0a" PartId="7c101a08eb3a4276a3c282f9bfc48bdb"/>
      </Part>
    </Part>
    <Part Type="punktas" Nr="6" Abbr="6 p." DocPartId="710b76f39d6740efaf018b9d59f5f815" PartId="b502f032075b4a938c5ed186862c61ca">
      <Part Type="citata" DocPartId="13ed082e42514807904cce3e8a48969b" PartId="326180966f1c4236a5d0e90103357674">
        <Part Type="punktas" Nr="18" Abbr="18 p." DocPartId="38ff62d95b4d438baac81329a5abf3ee" PartId="daa57471691145969014b614de2c6a90"/>
      </Part>
    </Part>
    <Part Type="signatura" DocPartId="b64d6df9dca74f04b7408b0dbe39a7b7" PartId="d609f6e443624e8ea9ad0d00a1d26421"/>
  </Part>
</Parts>
</file>

<file path=customXml/itemProps1.xml><?xml version="1.0" encoding="utf-8"?>
<ds:datastoreItem xmlns:ds="http://schemas.openxmlformats.org/officeDocument/2006/customXml" ds:itemID="{C2007027-5C87-4343-93B2-7074592B7C69}">
  <ds:schemaRefs>
    <ds:schemaRef ds:uri="http://schemas.openxmlformats.org/officeDocument/2006/bibliography"/>
  </ds:schemaRefs>
</ds:datastoreItem>
</file>

<file path=customXml/itemProps2.xml><?xml version="1.0" encoding="utf-8"?>
<ds:datastoreItem xmlns:ds="http://schemas.openxmlformats.org/officeDocument/2006/customXml" ds:itemID="{A90AD89B-5EFF-45A1-A796-B53F3E18886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304</Words>
  <Characters>2035</Characters>
  <Application>Microsoft Office Word</Application>
  <DocSecurity>4</DocSecurity>
  <Lines>47</Lines>
  <Paragraphs>23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TARYBA</vt:lpstr>
      <vt:lpstr>ŠIAULIŲ MIESTO SAVIVALDYBĖS TARYBA</vt:lpstr>
    </vt:vector>
  </TitlesOfParts>
  <Company>Šiaulių miesto švietimo skyrius</Company>
  <LinksUpToDate>false</LinksUpToDate>
  <CharactersWithSpaces>2316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2025-01-09T12:57:00Z</dcterms:created>
  <dc:creator>Svietimo ir Mokslo</dc:creator>
  <lastModifiedBy>adlibuser</lastModifiedBy>
  <lastPrinted>2014-09-04T13:54:00Z</lastPrinted>
  <dcterms:modified xsi:type="dcterms:W3CDTF">2025-01-09T12:57:00Z</dcterms:modified>
  <revision>2</revision>
  <dc:title>ŠIAULIŲ MIESTO SAVIVALDYBĖS TARYBA</dc:title>
</coreProperties>
</file>