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986"/>
          <w:tab w:val="right" w:pos="9972"/>
        </w:tabs>
        <w:rPr>
          <w:sz w:val="20"/>
          <w:lang w:val="en-US" w:eastAsia="lt-LT"/>
        </w:rPr>
      </w:pPr>
    </w:p>
    <w:p>
      <w:pPr>
        <w:keepNext/>
        <w:ind w:firstLine="1134"/>
        <w:jc w:val="right"/>
        <w:rPr>
          <w:b/>
          <w:lang w:eastAsia="lt-LT"/>
        </w:rPr>
      </w:pPr>
    </w:p>
    <w:p>
      <w:pPr>
        <w:ind w:firstLine="1134"/>
        <w:jc w:val="right"/>
        <w:rPr>
          <w:lang w:eastAsia="lt-LT"/>
        </w:rPr>
      </w:pPr>
    </w:p>
    <w:p>
      <w:pPr>
        <w:keepNext/>
        <w:ind w:firstLine="1134"/>
        <w:jc w:val="right"/>
        <w:rPr>
          <w:b/>
          <w:lang w:eastAsia="lt-LT"/>
        </w:rPr>
      </w:pPr>
      <w:r>
        <w:rPr>
          <w:b/>
          <w:lang w:eastAsia="lt-LT"/>
        </w:rPr>
        <w:t>Projektas</w:t>
      </w:r>
    </w:p>
    <w:p>
      <w:pPr>
        <w:keepNext/>
        <w:spacing w:line="276" w:lineRule="auto"/>
        <w:jc w:val="center"/>
        <w:outlineLvl w:val="1"/>
        <w:rPr>
          <w:b/>
          <w:lang w:eastAsia="lt-LT"/>
        </w:rPr>
      </w:pPr>
    </w:p>
    <w:p>
      <w:pPr>
        <w:keepNext/>
        <w:spacing w:line="276" w:lineRule="auto"/>
        <w:jc w:val="center"/>
        <w:outlineLvl w:val="1"/>
        <w:rPr>
          <w:b/>
          <w:lang w:eastAsia="lt-LT"/>
        </w:rPr>
      </w:pPr>
      <w:r>
        <w:rPr>
          <w:b/>
          <w:lang w:eastAsia="lt-LT"/>
        </w:rPr>
        <w:t>PRIENŲ RAJONO SAVIVALDYBĖS TARYBA</w:t>
      </w:r>
    </w:p>
    <w:p>
      <w:pPr>
        <w:spacing w:line="276" w:lineRule="auto"/>
        <w:jc w:val="center"/>
        <w:rPr>
          <w:b/>
          <w:lang w:eastAsia="lt-LT"/>
        </w:rPr>
      </w:pPr>
      <w:r>
        <w:rPr>
          <w:b/>
          <w:lang w:eastAsia="lt-LT"/>
        </w:rPr>
        <w:t>SPRENDIMAS</w:t>
      </w:r>
    </w:p>
    <w:p>
      <w:pPr>
        <w:spacing w:line="276" w:lineRule="auto"/>
        <w:rPr>
          <w:lang w:eastAsia="lt-LT"/>
        </w:rPr>
      </w:pPr>
    </w:p>
    <w:p>
      <w:pPr>
        <w:spacing w:line="276" w:lineRule="auto"/>
        <w:jc w:val="center"/>
        <w:rPr>
          <w:b/>
          <w:lang w:eastAsia="lt-LT"/>
        </w:rPr>
      </w:pPr>
      <w:r>
        <w:rPr>
          <w:b/>
          <w:lang w:eastAsia="lt-LT"/>
        </w:rPr>
        <w:t>DĖL VALSTYBĖS TARNAUTOJŲ TARNYBINĖS VEIKLOS VERTINIMO KOMISIJOS SUDARYMO</w:t>
      </w:r>
    </w:p>
    <w:p>
      <w:pPr>
        <w:spacing w:line="276" w:lineRule="auto"/>
        <w:jc w:val="both"/>
        <w:rPr>
          <w:bCs/>
          <w:sz w:val="18"/>
          <w:lang w:eastAsia="lt-LT"/>
        </w:rPr>
      </w:pPr>
    </w:p>
    <w:p>
      <w:pPr>
        <w:spacing w:line="276" w:lineRule="auto"/>
        <w:jc w:val="center"/>
        <w:rPr>
          <w:lang w:eastAsia="lt-LT"/>
        </w:rPr>
      </w:pPr>
      <w:r>
        <w:rPr>
          <w:lang w:eastAsia="lt-LT"/>
        </w:rPr>
        <w:t xml:space="preserve">2015 m.    gruodžio  15  d. Nr. (1.3)-T1-260</w:t>
      </w:r>
    </w:p>
    <w:p>
      <w:pPr>
        <w:spacing w:line="276" w:lineRule="auto"/>
        <w:jc w:val="center"/>
        <w:rPr>
          <w:lang w:eastAsia="lt-LT"/>
        </w:rPr>
      </w:pPr>
      <w:r>
        <w:rPr>
          <w:lang w:eastAsia="lt-LT"/>
        </w:rPr>
        <w:t>Prienai</w:t>
      </w:r>
    </w:p>
    <w:p>
      <w:pPr>
        <w:spacing w:line="276" w:lineRule="auto"/>
        <w:jc w:val="center"/>
        <w:rPr>
          <w:lang w:eastAsia="lt-LT"/>
        </w:rPr>
      </w:pPr>
    </w:p>
    <w:p>
      <w:pPr>
        <w:spacing w:line="276" w:lineRule="auto"/>
        <w:jc w:val="center"/>
        <w:rPr>
          <w:lang w:eastAsia="lt-LT"/>
        </w:rPr>
      </w:pPr>
    </w:p>
    <w:p>
      <w:pPr>
        <w:spacing w:line="360" w:lineRule="auto"/>
        <w:ind w:firstLine="1116"/>
        <w:jc w:val="both"/>
        <w:rPr>
          <w:szCs w:val="24"/>
          <w:lang w:val="en-US" w:eastAsia="lt-LT"/>
        </w:rPr>
      </w:pPr>
      <w:r>
        <w:rPr>
          <w:szCs w:val="24"/>
          <w:lang w:val="en-US" w:eastAsia="lt-LT"/>
        </w:rPr>
        <w:t>Vadovaudamasi Lietuvos Respublikos valstybės tarnybos įstatymo 22</w:t>
      </w:r>
      <w:r>
        <w:rPr>
          <w:szCs w:val="24"/>
          <w:vertAlign w:val="superscript"/>
          <w:lang w:val="en-US" w:eastAsia="lt-LT"/>
        </w:rPr>
        <w:t xml:space="preserve">1 </w:t>
      </w:r>
      <w:r>
        <w:rPr>
          <w:szCs w:val="24"/>
          <w:lang w:val="en-US" w:eastAsia="lt-LT"/>
        </w:rPr>
        <w:t xml:space="preserve"> straipsnio 2 ir 4 dalimis, Valstybės tarnautojų kvalifikacinių klasių suteikimo ir valstybės tarnautojų tarnybinės veiklos vertinimo taisyklių, patvirtintų Lietuvos Respublikos Vyriausybės 2002 m. birželio 17 d. nutarimu Nr. 909 „Dėl Valstybės tarnautojų kvalifikacinių klasių suteikimo ir valstybės tarnautojų tarnybinės veiklos vertinimo taisyklių bei valstybės tarnautojų tarnybinės veiklos vertinimo kriterijų  patvirtinimo“, 3 punktu, Prienų rajono savivaldybės taryba</w:t>
      </w:r>
      <w:r>
        <w:rPr>
          <w:spacing w:val="120"/>
          <w:szCs w:val="24"/>
          <w:lang w:val="en-US" w:eastAsia="lt-LT"/>
        </w:rPr>
        <w:t xml:space="preserve"> nusprendžia:</w:t>
      </w:r>
    </w:p>
    <w:p>
      <w:pPr>
        <w:spacing w:line="360" w:lineRule="auto"/>
        <w:ind w:firstLine="1134"/>
        <w:jc w:val="both"/>
        <w:rPr>
          <w:lang w:val="en-US" w:eastAsia="lt-LT"/>
        </w:rPr>
      </w:pPr>
      <w:r>
        <w:rPr>
          <w:szCs w:val="24"/>
          <w:lang w:val="en-US" w:eastAsia="lt-LT"/>
        </w:rPr>
        <w:t>1</w:t>
      </w:r>
      <w:r>
        <w:rPr>
          <w:spacing w:val="100"/>
          <w:szCs w:val="24"/>
          <w:lang w:val="en-US" w:eastAsia="lt-LT"/>
        </w:rPr>
        <w:t>.</w:t>
      </w:r>
      <w:r>
        <w:rPr>
          <w:szCs w:val="24"/>
          <w:lang w:val="en-US" w:eastAsia="lt-LT"/>
        </w:rPr>
        <w:t xml:space="preserve"> </w:t>
      </w:r>
      <w:r>
        <w:rPr>
          <w:lang w:val="en-US" w:eastAsia="lt-LT"/>
        </w:rPr>
        <w:t>Sudaryti dvejiems metams Valstybės tarnautojų – Prienų rajono savivaldybės kontrolieriaus, Savivaldybės kontrolės ir audito tarnybos valstybės tarnautojų, Savivaldybės administracijos Centralizuoto vidaus audito skyriaus vedėjo, vidaus auditorių, Savivaldybės administracijos valstybės tarnautojų vertinimo komisijos narių – tarnybinės veiklos vertinimo komisiją (toliau – vertinimo komisija) :</w:t>
      </w:r>
    </w:p>
    <w:p>
      <w:pPr>
        <w:spacing w:line="360" w:lineRule="auto"/>
        <w:ind w:firstLine="1134"/>
        <w:jc w:val="both"/>
        <w:rPr>
          <w:lang w:val="en-US" w:eastAsia="lt-LT"/>
        </w:rPr>
      </w:pPr>
      <w:r>
        <w:rPr>
          <w:lang w:val="en-US" w:eastAsia="lt-LT"/>
        </w:rPr>
        <w:t>Komisijos pirmininkas – Gediminas Banys, Prienų valstybinės maisto ir veterinarijos tarnybos viršininkas – valstybinis veterinarijos inspektorius.</w:t>
      </w:r>
    </w:p>
    <w:p>
      <w:pPr>
        <w:spacing w:line="360" w:lineRule="auto"/>
        <w:ind w:firstLine="1134"/>
        <w:jc w:val="both"/>
        <w:rPr>
          <w:lang w:val="en-US" w:eastAsia="lt-LT"/>
        </w:rPr>
      </w:pPr>
      <w:r>
        <w:rPr>
          <w:lang w:val="en-US" w:eastAsia="lt-LT"/>
        </w:rPr>
        <w:t>Komisijos nariai:</w:t>
      </w:r>
    </w:p>
    <w:p>
      <w:pPr>
        <w:spacing w:line="360" w:lineRule="auto"/>
        <w:ind w:firstLine="1134"/>
        <w:jc w:val="both"/>
        <w:rPr>
          <w:lang w:val="en-US" w:eastAsia="lt-LT"/>
        </w:rPr>
      </w:pPr>
      <w:r>
        <w:rPr>
          <w:lang w:val="en-US" w:eastAsia="lt-LT"/>
        </w:rPr>
        <w:t xml:space="preserve">Vilma Aleknavičienė   – Nacionalinės žemės tarnybos Prienų ir Birštono skyriaus vedėja;</w:t>
      </w:r>
    </w:p>
    <w:p>
      <w:pPr>
        <w:spacing w:line="360" w:lineRule="auto"/>
        <w:ind w:firstLine="1134"/>
        <w:jc w:val="both"/>
        <w:rPr>
          <w:lang w:val="en-US" w:eastAsia="lt-LT"/>
        </w:rPr>
      </w:pPr>
      <w:r>
        <w:rPr>
          <w:lang w:val="en-US" w:eastAsia="lt-LT"/>
        </w:rPr>
        <w:t>Ingrida Laurinaitienė – Prienų rajono savivaldybės administracijos profesinės sąjungos atstovė;</w:t>
      </w:r>
    </w:p>
    <w:p>
      <w:pPr>
        <w:spacing w:line="360" w:lineRule="auto"/>
        <w:ind w:firstLine="1134"/>
        <w:jc w:val="both"/>
        <w:rPr>
          <w:szCs w:val="24"/>
          <w:lang w:val="en-US" w:eastAsia="lt-LT"/>
        </w:rPr>
      </w:pPr>
      <w:r>
        <w:rPr>
          <w:szCs w:val="24"/>
          <w:lang w:val="en-US" w:eastAsia="lt-LT"/>
        </w:rPr>
        <w:t xml:space="preserve">Rita Milžinienė – </w:t>
      </w:r>
      <w:r>
        <w:rPr>
          <w:b/>
          <w:bCs/>
          <w:color w:val="000000"/>
          <w:szCs w:val="24"/>
          <w:lang w:val="en-US" w:eastAsia="lt-LT"/>
        </w:rPr>
        <w:t>Valstybinės teritorijų planavimo ir statybos inspekcijos prie Aplinkos ministerijos</w:t>
      </w:r>
      <w:r>
        <w:rPr>
          <w:szCs w:val="24"/>
          <w:lang w:val="en-US" w:eastAsia="lt-LT"/>
        </w:rPr>
        <w:t xml:space="preserve"> </w:t>
      </w:r>
      <w:r>
        <w:rPr>
          <w:b/>
          <w:bCs/>
          <w:color w:val="000000"/>
          <w:szCs w:val="24"/>
          <w:lang w:val="en-US" w:eastAsia="lt-LT"/>
        </w:rPr>
        <w:t>Kauno teritorijų planavimo ir statybos valstybinės priežiūros skyriaus Statybos valstybinės priežiūros poskyrio vyriausioji specialistė;</w:t>
      </w:r>
    </w:p>
    <w:p>
      <w:pPr>
        <w:spacing w:line="360" w:lineRule="auto"/>
        <w:ind w:firstLine="1134"/>
        <w:jc w:val="both"/>
        <w:rPr>
          <w:lang w:val="en-US" w:eastAsia="lt-LT"/>
        </w:rPr>
      </w:pPr>
      <w:r>
        <w:rPr>
          <w:szCs w:val="24"/>
          <w:lang w:val="en-US" w:eastAsia="lt-LT"/>
        </w:rPr>
        <w:t>Valentinas Vincas Revuckas, Birštono savivaldybės administracijos direktorius.</w:t>
      </w:r>
    </w:p>
    <w:p>
      <w:pPr>
        <w:spacing w:line="360" w:lineRule="auto"/>
        <w:ind w:firstLine="1134"/>
        <w:jc w:val="both"/>
        <w:rPr>
          <w:lang w:val="en-US" w:eastAsia="lt-LT"/>
        </w:rPr>
      </w:pPr>
      <w:r>
        <w:rPr>
          <w:lang w:val="en-US" w:eastAsia="lt-LT"/>
        </w:rPr>
        <w:t>2</w:t>
      </w:r>
      <w:r>
        <w:rPr>
          <w:lang w:val="en-US" w:eastAsia="lt-LT"/>
        </w:rPr>
        <w:t>. Pavesti Valentinui Vincui Revuckui, Birštono savivaldybės administracijos direktoriui, atlikti vertinimo komisijos pirmininko funkcijas</w:t>
      </w:r>
      <w:r>
        <w:rPr>
          <w:lang w:eastAsia="lt-LT"/>
        </w:rPr>
        <w:t>,</w:t>
      </w:r>
      <w:r>
        <w:rPr>
          <w:lang w:val="en-US" w:eastAsia="lt-LT"/>
        </w:rPr>
        <w:t xml:space="preserve"> komisijos pirmininkui dėl svarbių priežasčių negalint dalyvauti vertinimo komisijos darbe.</w:t>
      </w:r>
    </w:p>
    <w:p>
      <w:pPr>
        <w:spacing w:line="360" w:lineRule="auto"/>
        <w:ind w:firstLine="1143"/>
        <w:jc w:val="both"/>
        <w:rPr>
          <w:caps/>
          <w:szCs w:val="24"/>
          <w:lang w:val="en-US" w:eastAsia="lt-LT"/>
        </w:rPr>
      </w:pPr>
      <w:r>
        <w:rPr>
          <w:caps/>
          <w:szCs w:val="24"/>
          <w:lang w:val="en-US" w:eastAsia="lt-LT"/>
        </w:rPr>
        <w:t>3</w:t>
      </w:r>
      <w:r>
        <w:rPr>
          <w:caps/>
          <w:szCs w:val="24"/>
          <w:lang w:val="en-US" w:eastAsia="lt-LT"/>
        </w:rPr>
        <w:t xml:space="preserve">. </w:t>
      </w:r>
      <w:r>
        <w:rPr>
          <w:szCs w:val="24"/>
          <w:lang w:val="en-US" w:eastAsia="lt-LT"/>
        </w:rPr>
        <w:t xml:space="preserve">Pavesti </w:t>
      </w:r>
      <w:r>
        <w:rPr>
          <w:szCs w:val="24"/>
          <w:lang w:eastAsia="lt-LT"/>
        </w:rPr>
        <w:t xml:space="preserve">Savivaldybės administracijos </w:t>
      </w:r>
      <w:r>
        <w:rPr>
          <w:szCs w:val="24"/>
          <w:lang w:val="en-US" w:eastAsia="lt-LT"/>
        </w:rPr>
        <w:t xml:space="preserve">Ūkio skyriaus specialistei Vaidai Simonaitytei  atlikti vertinimo  komisijos  sekretoriaus  funkcijas, jos nesant, ją pavaduojančiam asmeniui.</w:t>
      </w:r>
    </w:p>
    <w:p>
      <w:pPr>
        <w:spacing w:line="360" w:lineRule="auto"/>
        <w:ind w:firstLine="1134"/>
        <w:jc w:val="both"/>
        <w:rPr>
          <w:szCs w:val="24"/>
          <w:lang w:val="en-US" w:eastAsia="lt-LT"/>
        </w:rPr>
      </w:pPr>
    </w:p>
    <w:p>
      <w:pPr>
        <w:spacing w:line="360" w:lineRule="auto"/>
        <w:ind w:firstLine="1134"/>
        <w:jc w:val="both"/>
        <w:rPr>
          <w:szCs w:val="24"/>
          <w:lang w:val="en-US" w:eastAsia="lt-LT"/>
        </w:rPr>
      </w:pPr>
    </w:p>
    <w:p>
      <w:pPr>
        <w:spacing w:line="360" w:lineRule="auto"/>
        <w:ind w:firstLine="1134"/>
        <w:jc w:val="both"/>
        <w:rPr>
          <w:szCs w:val="24"/>
          <w:lang w:val="en-US" w:eastAsia="lt-LT"/>
        </w:rPr>
      </w:pPr>
      <w:r>
        <w:rPr>
          <w:szCs w:val="24"/>
          <w:lang w:val="en-US" w:eastAsia="lt-LT"/>
        </w:rPr>
        <w:t>4</w:t>
      </w:r>
      <w:r>
        <w:rPr>
          <w:szCs w:val="24"/>
          <w:lang w:val="en-US" w:eastAsia="lt-LT"/>
        </w:rPr>
        <w:t>. Pripažinti netekusiu galios Prienų rajono savivaldybės tarybos 2013 m. vasario 28 d. sprendimą Nr. T3-30 „Dėl valstybės tarnautojų vertinimo komisijos sudarymo“.</w:t>
      </w:r>
    </w:p>
    <w:p>
      <w:pPr>
        <w:spacing w:line="360" w:lineRule="auto"/>
        <w:ind w:firstLine="1134"/>
        <w:jc w:val="both"/>
        <w:rPr>
          <w:lang w:val="en-US" w:eastAsia="lt-LT"/>
        </w:rPr>
      </w:pPr>
      <w:r>
        <w:rPr>
          <w:szCs w:val="24"/>
          <w:lang w:val="en-US" w:eastAsia="lt-LT"/>
        </w:rPr>
        <w:t>Šis sprendimas gali būti skundžiamas Lietuvos Respublikos administracinių bylų</w:t>
      </w:r>
      <w:r>
        <w:rPr>
          <w:lang w:val="en-US" w:eastAsia="lt-LT"/>
        </w:rPr>
        <w:t xml:space="preserve"> teisenos įstatymo nustatyta tvarka.</w:t>
      </w:r>
    </w:p>
    <w:p>
      <w:pPr>
        <w:spacing w:line="360" w:lineRule="auto"/>
        <w:ind w:right="-1" w:firstLine="1083"/>
        <w:rPr>
          <w:sz w:val="20"/>
          <w:lang w:val="en-US" w:eastAsia="lt-LT"/>
        </w:rPr>
      </w:pPr>
    </w:p>
    <w:p>
      <w:pPr>
        <w:spacing w:line="360" w:lineRule="auto"/>
        <w:ind w:right="-1" w:firstLine="1083"/>
        <w:rPr>
          <w:sz w:val="20"/>
          <w:lang w:val="en-US" w:eastAsia="lt-LT"/>
        </w:rPr>
      </w:pPr>
    </w:p>
    <w:p>
      <w:pPr>
        <w:spacing w:line="360" w:lineRule="auto"/>
        <w:ind w:right="-1" w:firstLine="1083"/>
        <w:rPr>
          <w:sz w:val="20"/>
          <w:lang w:val="en-US" w:eastAsia="lt-LT"/>
        </w:rPr>
      </w:pPr>
    </w:p>
    <w:p>
      <w:pPr>
        <w:spacing w:line="360" w:lineRule="auto"/>
        <w:rPr>
          <w:szCs w:val="24"/>
          <w:lang w:val="en-US" w:eastAsia="lt-LT"/>
        </w:rPr>
      </w:pPr>
      <w:r>
        <w:rPr>
          <w:szCs w:val="24"/>
          <w:lang w:val="en-US" w:eastAsia="lt-LT"/>
        </w:rPr>
        <w:t>Savivaldybės meras</w:t>
        <w:tab/>
      </w:r>
    </w:p>
    <w:sectPr>
      <w:headerReference w:type="even" r:id="rId7"/>
      <w:headerReference w:type="default" r:id="rId8"/>
      <w:footerReference w:type="even" r:id="rId9"/>
      <w:footerReference w:type="default" r:id="rId10"/>
      <w:headerReference w:type="first" r:id="rId11"/>
      <w:footerReference w:type="first" r:id="rId12"/>
      <w:pgSz w:w="11906" w:h="16838"/>
      <w:pgMar w:top="426" w:right="707" w:bottom="851"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lang w:val="en-US" w:eastAsia="lt-LT"/>
        </w:rPr>
      </w:pPr>
      <w:r>
        <w:rPr>
          <w:sz w:val="20"/>
          <w:lang w:val="en-US" w:eastAsia="lt-LT"/>
        </w:rPr>
        <w:separator/>
      </w:r>
    </w:p>
  </w:endnote>
  <w:endnote w:type="continuationSeparator" w:id="0">
    <w:p>
      <w:pPr>
        <w:rPr>
          <w:sz w:val="20"/>
          <w:lang w:val="en-US" w:eastAsia="lt-LT"/>
        </w:rPr>
      </w:pPr>
      <w:r>
        <w:rPr>
          <w:sz w:val="20"/>
          <w:lang w:val="en-US"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0"/>
        <w:lang w:val="en-US" w:eastAsia="lt-LT"/>
      </w:rPr>
    </w:pPr>
    <w:r>
      <w:rPr>
        <w:sz w:val="20"/>
        <w:lang w:val="en-US" w:eastAsia="lt-LT"/>
      </w:rPr>
      <w:fldChar w:fldCharType="begin"/>
    </w:r>
    <w:r>
      <w:rPr>
        <w:sz w:val="20"/>
        <w:lang w:val="en-US" w:eastAsia="lt-LT"/>
      </w:rPr>
      <w:instrText xml:space="preserve">PAGE  </w:instrText>
    </w:r>
    <w:r>
      <w:rPr>
        <w:sz w:val="20"/>
        <w:lang w:val="en-US" w:eastAsia="lt-LT"/>
      </w:rPr>
      <w:fldChar w:fldCharType="end"/>
    </w:r>
  </w:p>
  <w:p>
    <w:pPr>
      <w:tabs>
        <w:tab w:val="center" w:pos="4819"/>
        <w:tab w:val="right" w:pos="9638"/>
      </w:tabs>
      <w:rPr>
        <w:sz w:val="20"/>
        <w:lang w:val="en-US"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0"/>
        <w:lang w:val="en-US" w:eastAsia="lt-LT"/>
      </w:rPr>
    </w:pPr>
    <w:r>
      <w:rPr>
        <w:sz w:val="20"/>
        <w:lang w:val="en-US" w:eastAsia="lt-LT"/>
      </w:rPr>
      <w:fldChar w:fldCharType="begin"/>
    </w:r>
    <w:r>
      <w:rPr>
        <w:sz w:val="20"/>
        <w:lang w:val="en-US" w:eastAsia="lt-LT"/>
      </w:rPr>
      <w:instrText xml:space="preserve">PAGE  </w:instrText>
    </w:r>
    <w:r>
      <w:rPr>
        <w:sz w:val="20"/>
        <w:lang w:val="en-US" w:eastAsia="lt-LT"/>
      </w:rPr>
      <w:fldChar w:fldCharType="separate"/>
    </w:r>
    <w:r>
      <w:rPr>
        <w:sz w:val="20"/>
        <w:lang w:val="en-US" w:eastAsia="lt-LT"/>
      </w:rPr>
      <w:t>2</w:t>
    </w:r>
    <w:r>
      <w:rPr>
        <w:sz w:val="20"/>
        <w:lang w:val="en-US" w:eastAsia="lt-LT"/>
      </w:rPr>
      <w:fldChar w:fldCharType="end"/>
    </w:r>
  </w:p>
  <w:p>
    <w:pPr>
      <w:tabs>
        <w:tab w:val="center" w:pos="4819"/>
        <w:tab w:val="right" w:pos="9638"/>
      </w:tabs>
      <w:rPr>
        <w:sz w:val="20"/>
        <w:lang w:val="en-US"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0"/>
        <w:lang w:val="en-US"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lang w:val="en-US" w:eastAsia="lt-LT"/>
        </w:rPr>
      </w:pPr>
      <w:r>
        <w:rPr>
          <w:sz w:val="20"/>
          <w:lang w:val="en-US" w:eastAsia="lt-LT"/>
        </w:rPr>
        <w:separator/>
      </w:r>
    </w:p>
  </w:footnote>
  <w:footnote w:type="continuationSeparator" w:id="0">
    <w:p>
      <w:pPr>
        <w:rPr>
          <w:sz w:val="20"/>
          <w:lang w:val="en-US" w:eastAsia="lt-LT"/>
        </w:rPr>
      </w:pPr>
      <w:r>
        <w:rPr>
          <w:sz w:val="20"/>
          <w:lang w:val="en-US"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lang w:val="en-US"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lang w:val="en-US"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lang w:val="en-US"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44015251">
      <w:bodyDiv w:val="1"/>
      <w:marLeft w:val="0"/>
      <w:marRight w:val="0"/>
      <w:marTop w:val="0"/>
      <w:marBottom w:val="0"/>
      <w:divBdr>
        <w:top w:val="none" w:sz="0" w:space="0" w:color="auto"/>
        <w:left w:val="none" w:sz="0" w:space="0" w:color="auto"/>
        <w:bottom w:val="none" w:sz="0" w:space="0" w:color="auto"/>
        <w:right w:val="none" w:sz="0" w:space="0" w:color="auto"/>
      </w:divBdr>
    </w:div>
    <w:div w:id="211621827">
      <w:bodyDiv w:val="1"/>
      <w:marLeft w:val="0"/>
      <w:marRight w:val="0"/>
      <w:marTop w:val="0"/>
      <w:marBottom w:val="0"/>
      <w:divBdr>
        <w:top w:val="none" w:sz="0" w:space="0" w:color="auto"/>
        <w:left w:val="none" w:sz="0" w:space="0" w:color="auto"/>
        <w:bottom w:val="none" w:sz="0" w:space="0" w:color="auto"/>
        <w:right w:val="none" w:sz="0" w:space="0" w:color="auto"/>
      </w:divBdr>
    </w:div>
    <w:div w:id="538712218">
      <w:bodyDiv w:val="1"/>
      <w:marLeft w:val="0"/>
      <w:marRight w:val="0"/>
      <w:marTop w:val="0"/>
      <w:marBottom w:val="0"/>
      <w:divBdr>
        <w:top w:val="none" w:sz="0" w:space="0" w:color="auto"/>
        <w:left w:val="none" w:sz="0" w:space="0" w:color="auto"/>
        <w:bottom w:val="none" w:sz="0" w:space="0" w:color="auto"/>
        <w:right w:val="none" w:sz="0" w:space="0" w:color="auto"/>
      </w:divBdr>
    </w:div>
    <w:div w:id="957374905">
      <w:bodyDiv w:val="1"/>
      <w:marLeft w:val="0"/>
      <w:marRight w:val="0"/>
      <w:marTop w:val="0"/>
      <w:marBottom w:val="0"/>
      <w:divBdr>
        <w:top w:val="none" w:sz="0" w:space="0" w:color="auto"/>
        <w:left w:val="none" w:sz="0" w:space="0" w:color="auto"/>
        <w:bottom w:val="none" w:sz="0" w:space="0" w:color="auto"/>
        <w:right w:val="none" w:sz="0" w:space="0" w:color="auto"/>
      </w:divBdr>
    </w:div>
    <w:div w:id="1246720577">
      <w:bodyDiv w:val="1"/>
      <w:marLeft w:val="0"/>
      <w:marRight w:val="0"/>
      <w:marTop w:val="0"/>
      <w:marBottom w:val="0"/>
      <w:divBdr>
        <w:top w:val="none" w:sz="0" w:space="0" w:color="auto"/>
        <w:left w:val="none" w:sz="0" w:space="0" w:color="auto"/>
        <w:bottom w:val="none" w:sz="0" w:space="0" w:color="auto"/>
        <w:right w:val="none" w:sz="0" w:space="0" w:color="auto"/>
      </w:divBdr>
    </w:div>
    <w:div w:id="1372652786">
      <w:bodyDiv w:val="1"/>
      <w:marLeft w:val="0"/>
      <w:marRight w:val="0"/>
      <w:marTop w:val="0"/>
      <w:marBottom w:val="0"/>
      <w:divBdr>
        <w:top w:val="none" w:sz="0" w:space="0" w:color="auto"/>
        <w:left w:val="none" w:sz="0" w:space="0" w:color="auto"/>
        <w:bottom w:val="none" w:sz="0" w:space="0" w:color="auto"/>
        <w:right w:val="none" w:sz="0" w:space="0" w:color="auto"/>
      </w:divBdr>
    </w:div>
    <w:div w:id="16436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2251</Characters>
  <Application>Microsoft Office Word</Application>
  <DocSecurity>4</DocSecurity>
  <Lines>52</Lines>
  <Paragraphs>21</Paragraphs>
  <ScaleCrop>false</ScaleCrop>
  <HeadingPairs>
    <vt:vector size="2" baseType="variant">
      <vt:variant>
        <vt:lpstr>Title</vt:lpstr>
      </vt:variant>
      <vt:variant>
        <vt:i4>1</vt:i4>
      </vt:variant>
    </vt:vector>
  </HeadingPairs>
  <TitlesOfParts>
    <vt:vector size="1" baseType="lpstr">
      <vt:lpstr>Projektas</vt:lpstr>
    </vt:vector>
  </TitlesOfParts>
  <Company>Savivaldybe</Company>
  <LinksUpToDate>false</LinksUpToDate>
  <CharactersWithSpaces>2507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2015-12-17T08:03:00Z</dcterms:created>
  <dc:creator>Ivonna</dc:creator>
  <lastModifiedBy>CLUSadmin</lastModifiedBy>
  <lastPrinted>2015-12-08T13:26:00Z</lastPrinted>
  <dcterms:modified xsi:type="dcterms:W3CDTF">2015-12-17T08:03:00Z</dcterms:modified>
  <revision>2</revision>
  <dc:title>Projektas</dc:title>
</coreProperties>
</file>