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cb945179618430383eee70afcefe8d9"/>
        <w:lock w:val="sdtLocked"/>
        <w:richText/>
      </w:sdtPr>
      <w:sdtContent>
        <w:p>
          <w:pPr>
            <w:tabs>
              <w:tab w:val="center" w:pos="4153"/>
              <w:tab w:val="right" w:pos="8306"/>
            </w:tabs>
            <w:rPr>
              <w:rFonts w:ascii="TimesLT" w:hAnsi="TimesLT"/>
              <w:lang w:val="en-US"/>
            </w:rPr>
          </w:pPr>
        </w:p>
        <w:p>
          <w:pPr>
            <w:tabs>
              <w:tab w:val="left" w:pos="6379"/>
              <w:tab w:val="left" w:pos="7230"/>
            </w:tabs>
            <w:ind w:left="6379" w:right="1368"/>
            <w:rPr>
              <w:rFonts w:ascii="TimesLT" w:hAnsi="TimesLT"/>
              <w:b/>
              <w:sz w:val="22"/>
            </w:rPr>
          </w:pPr>
          <w:r>
            <w:rPr>
              <w:rFonts w:ascii="TimesLT" w:hAnsi="TimesLT"/>
              <w:b/>
              <w:sz w:val="22"/>
            </w:rPr>
            <w:t>Projektas</w:t>
          </w:r>
        </w:p>
        <w:p>
          <w:pPr>
            <w:jc w:val="right"/>
            <w:rPr>
              <w:rFonts w:ascii="TimesLT" w:hAnsi="TimesLT"/>
              <w:b/>
              <w:sz w:val="22"/>
              <w:lang w:val="en-US"/>
            </w:rPr>
          </w:pPr>
        </w:p>
        <w:p>
          <w:pPr>
            <w:jc w:val="center"/>
            <w:rPr>
              <w:caps/>
            </w:rPr>
          </w:pPr>
        </w:p>
        <w:p>
          <w:pPr>
            <w:jc w:val="center"/>
            <w:rPr>
              <w:szCs w:val="24"/>
              <w:lang w:val="en-US" w:eastAsia="lt-LT"/>
            </w:rPr>
          </w:pPr>
          <w:r>
            <w:rPr>
              <w:b/>
              <w:szCs w:val="24"/>
              <w:lang w:val="en-US"/>
            </w:rPr>
            <w:t>LIETUVOS RESPUBLIKOS</w:t>
          </w:r>
        </w:p>
        <w:p>
          <w:pPr>
            <w:jc w:val="center"/>
            <w:rPr>
              <w:caps/>
            </w:rPr>
          </w:pPr>
          <w:r>
            <w:rPr>
              <w:b/>
              <w:caps/>
            </w:rPr>
            <w:t>BIUDŽETO SANDAROS ĮSTATYMO Nr. I-430 2 STRAIPSNIO PAKEITIMO</w:t>
          </w:r>
        </w:p>
        <w:p>
          <w:pPr>
            <w:jc w:val="center"/>
            <w:rPr>
              <w:b/>
              <w:caps/>
              <w:spacing w:val="20"/>
              <w:sz w:val="32"/>
            </w:rPr>
          </w:pPr>
          <w:r>
            <w:rPr>
              <w:b/>
              <w:caps/>
              <w:spacing w:val="20"/>
            </w:rPr>
            <w:t>ĮSTATYMAS</w:t>
          </w:r>
        </w:p>
        <w:p>
          <w:pPr>
            <w:jc w:val="center"/>
            <w:rPr>
              <w:b/>
              <w:caps/>
            </w:rPr>
          </w:pPr>
        </w:p>
        <w:p>
          <w:pPr>
            <w:jc w:val="center"/>
            <w:rPr>
              <w:b/>
              <w:sz w:val="22"/>
              <w:lang w:val="en-US"/>
            </w:rPr>
          </w:pPr>
          <w:r>
            <w:rPr>
              <w:sz w:val="22"/>
              <w:lang w:val="en-US"/>
            </w:rPr>
            <w:t xml:space="preserve">2016 m. __________ d. Nr. </w:t>
            <w:br/>
            <w:t>Vilnius</w:t>
          </w:r>
        </w:p>
        <w:p>
          <w:pPr>
            <w:rPr>
              <w:sz w:val="52"/>
              <w:szCs w:val="52"/>
            </w:rPr>
          </w:pPr>
        </w:p>
        <w:sdt>
          <w:sdtPr>
            <w:alias w:val="1 str."/>
            <w:tag w:val="part_faef3722ca4947b1b6050f215ad7ca57"/>
            <w:lock w:val="sdtLocked"/>
            <w:richText/>
          </w:sdtPr>
          <w:sdtContent>
            <w:p>
              <w:pPr>
                <w:spacing w:line="300" w:lineRule="atLeast"/>
                <w:ind w:left="349" w:firstLine="360"/>
                <w:jc w:val="both"/>
                <w:rPr>
                  <w:b/>
                  <w:bCs/>
                </w:rPr>
              </w:pPr>
              <w:sdt>
                <w:sdtPr>
                  <w:alias w:val="Numeris"/>
                  <w:tag w:val="nr_faef3722ca4947b1b6050f215ad7ca57"/>
                  <w:lock w:val="sdtLocked"/>
                  <w:richText/>
                </w:sdtPr>
                <w:sdtContent>
                  <w:r>
                    <w:rPr>
                      <w:b/>
                      <w:bCs/>
                    </w:rPr>
                    <w:t>1</w:t>
                  </w:r>
                </w:sdtContent>
              </w:sdt>
              <w:r>
                <w:rPr>
                  <w:b/>
                  <w:bCs/>
                </w:rPr>
                <w:t xml:space="preserve"> straipsnis.</w:t>
              </w:r>
              <w:r>
                <w:rPr>
                  <w:rFonts w:ascii="Helv" w:hAnsi="Helv" w:cs="Helv"/>
                  <w:b/>
                  <w:color w:val="000000"/>
                  <w:sz w:val="20"/>
                  <w:lang w:eastAsia="lt-LT"/>
                </w:rPr>
                <w:t xml:space="preserve"> </w:t>
              </w:r>
              <w:sdt>
                <w:sdtPr>
                  <w:alias w:val="Pavadinimas"/>
                  <w:tag w:val="title_faef3722ca4947b1b6050f215ad7ca57"/>
                  <w:lock w:val="sdtLocked"/>
                  <w:richText/>
                </w:sdtPr>
                <w:sdtContent>
                  <w:r>
                    <w:rPr>
                      <w:b/>
                      <w:bCs/>
                    </w:rPr>
                    <w:t>2 straipsnio pakeitimas</w:t>
                  </w:r>
                </w:sdtContent>
              </w:sdt>
            </w:p>
            <w:p>
              <w:pPr>
                <w:rPr>
                  <w:sz w:val="10"/>
                  <w:szCs w:val="10"/>
                </w:rPr>
              </w:pPr>
            </w:p>
            <w:sdt>
              <w:sdtPr>
                <w:alias w:val="1 str. 1 d."/>
                <w:tag w:val="part_dbfbcafefdab4c75b395a47cdd215037"/>
                <w:lock w:val="sdtLocked"/>
                <w:richText/>
              </w:sdtPr>
              <w:sdtContent>
                <w:p>
                  <w:pPr>
                    <w:spacing w:line="300" w:lineRule="atLeast"/>
                    <w:ind w:firstLine="720"/>
                    <w:jc w:val="both"/>
                  </w:pPr>
                  <w:r>
                    <w:t>Pakeisti 2 straipsnio 19 dalį:</w:t>
                  </w:r>
                </w:p>
                <w:p>
                  <w:pPr>
                    <w:rPr>
                      <w:sz w:val="10"/>
                      <w:szCs w:val="10"/>
                    </w:rPr>
                  </w:pPr>
                </w:p>
                <w:sdt>
                  <w:sdtPr>
                    <w:alias w:val="citata"/>
                    <w:tag w:val="part_086b8a0c9e584703a591da4004a1d331"/>
                    <w:lock w:val="sdtLocked"/>
                    <w:richText/>
                  </w:sdtPr>
                  <w:sdtContent>
                    <w:sdt>
                      <w:sdtPr>
                        <w:alias w:val="19 d."/>
                        <w:tag w:val="part_df9908d6cb0846959b1d2fee7345e4ca"/>
                        <w:lock w:val="sdtLocked"/>
                        <w:richText/>
                      </w:sdtPr>
                      <w:sdtContent>
                        <w:p>
                          <w:pPr>
                            <w:spacing w:line="300" w:lineRule="atLeast"/>
                            <w:ind w:firstLine="720"/>
                            <w:jc w:val="both"/>
                            <w:rPr>
                              <w:szCs w:val="24"/>
                            </w:rPr>
                          </w:pPr>
                          <w:r>
                            <w:rPr>
                              <w:lang w:val="en-US"/>
                            </w:rPr>
                            <w:t>„</w:t>
                          </w:r>
                          <w:sdt>
                            <w:sdtPr>
                              <w:alias w:val="Numeris"/>
                              <w:tag w:val="nr_df9908d6cb0846959b1d2fee7345e4ca"/>
                              <w:lock w:val="sdtLocked"/>
                              <w:richText/>
                            </w:sdtPr>
                            <w:sdtContent>
                              <w:r>
                                <w:rPr>
                                  <w:lang w:val="en-US"/>
                                </w:rPr>
                                <w:t>19</w:t>
                              </w:r>
                            </w:sdtContent>
                          </w:sdt>
                          <w:r>
                            <w:t>.</w:t>
                          </w:r>
                          <w:r>
                            <w:rPr>
                              <w:b/>
                            </w:rPr>
                            <w:t xml:space="preserve"> </w:t>
                          </w:r>
                          <w:r>
                            <w:rPr>
                              <w:rFonts w:ascii="TimesLT" w:hAnsi="TimesLT"/>
                              <w:bCs/>
                              <w:szCs w:val="24"/>
                            </w:rPr>
                            <w:t>Struktūrinis valdžios sektoriaus balanso rodiklis</w:t>
                          </w:r>
                          <w:r>
                            <w:rPr>
                              <w:rFonts w:ascii="TimesLT" w:hAnsi="TimesLT"/>
                              <w:szCs w:val="24"/>
                            </w:rPr>
                            <w:t xml:space="preserve"> – pagal ekonominį ciklą patikslintas valdžios sektoriaus balanso rodiklis, kuriuo rodoma, koks būtų valdžios sektoriaus pajamų ir išlaidų skirtumas, jei faktinis BVP būtų lygus potencialiam, kai netaikytos laikinojo poveikio priemonės. Laikinojo poveikio priemonės – su ekonomikos cikliniais svyravimais nesusiję veiksniai, kurie paveikia biudžeto rodiklius tik nurodytu laikotarpiu, sumažindami (ar padidindami) valdžios sektoriaus balanso rodiklį arba valstybės skolą (vienkartinis poveikis) arba pagerindami (ar pablogindami) biudžeto būklę biudžeto būklės ateityje sąskaita. Struktūrinis valdžios sektoriaus balanso rodiklis apskaičiuojamas ir vertinamas kaip nustatyta </w:t>
                          </w:r>
                          <w:r>
                            <w:rPr>
                              <w:szCs w:val="24"/>
                            </w:rPr>
                            <w:t>Stabilumo ir augimo pakto reglamente.“</w:t>
                          </w:r>
                        </w:p>
                        <w:p>
                          <w:pPr>
                            <w:rPr>
                              <w:sz w:val="10"/>
                              <w:szCs w:val="10"/>
                            </w:rPr>
                          </w:pPr>
                        </w:p>
                        <w:p>
                          <w:pPr>
                            <w:spacing w:line="320" w:lineRule="atLeast"/>
                            <w:ind w:firstLine="720"/>
                            <w:jc w:val="both"/>
                          </w:pPr>
                        </w:p>
                        <w:p>
                          <w:pPr>
                            <w:rPr>
                              <w:sz w:val="10"/>
                              <w:szCs w:val="10"/>
                            </w:rPr>
                          </w:pPr>
                        </w:p>
                        <w:p>
                          <w:pPr>
                            <w:spacing w:line="320" w:lineRule="atLeast"/>
                            <w:ind w:firstLine="720"/>
                            <w:jc w:val="both"/>
                          </w:pPr>
                        </w:p>
                        <w:p>
                          <w:pPr>
                            <w:rPr>
                              <w:sz w:val="10"/>
                              <w:szCs w:val="10"/>
                            </w:rPr>
                          </w:pPr>
                        </w:p>
                        <w:p>
                          <w:pPr>
                            <w:spacing w:line="300" w:lineRule="atLeast"/>
                            <w:ind w:firstLine="720"/>
                            <w:jc w:val="both"/>
                            <w:rPr>
                              <w:rFonts w:ascii="TimesLT" w:hAnsi="TimesLT"/>
                              <w:b/>
                              <w:bCs/>
                              <w:color w:val="000000"/>
                              <w:szCs w:val="24"/>
                            </w:rPr>
                          </w:pPr>
                        </w:p>
                        <w:p>
                          <w:pPr>
                            <w:spacing w:line="300" w:lineRule="atLeast"/>
                            <w:ind w:firstLine="720"/>
                            <w:jc w:val="both"/>
                            <w:rPr>
                              <w:b/>
                              <w:bCs/>
                            </w:rPr>
                          </w:pPr>
                        </w:p>
                      </w:sdtContent>
                    </w:sdt>
                  </w:sdtContent>
                </w:sdt>
              </w:sdtContent>
            </w:sdt>
          </w:sdtContent>
        </w:sdt>
        <w:sdt>
          <w:sdtPr>
            <w:alias w:val="signatura"/>
            <w:tag w:val="part_c14831eba9c64508b30b0f561581200d"/>
            <w:lock w:val="sdtLocked"/>
            <w:richText/>
          </w:sdtPr>
          <w:sdtContent>
            <w:p>
              <w:pPr>
                <w:spacing w:line="300" w:lineRule="atLeast"/>
                <w:ind w:firstLine="720"/>
                <w:jc w:val="both"/>
                <w:rPr>
                  <w:i/>
                  <w:iCs/>
                  <w:szCs w:val="24"/>
                </w:rPr>
              </w:pPr>
              <w:r>
                <w:rPr>
                  <w:i/>
                  <w:iCs/>
                  <w:szCs w:val="24"/>
                </w:rPr>
                <w:t xml:space="preserve">Skelbiu šį Lietuvos Respublikos Seimo priimtą įstatymą. </w:t>
              </w:r>
            </w:p>
            <w:p>
              <w:pPr>
                <w:spacing w:line="300" w:lineRule="atLeast"/>
                <w:ind w:firstLine="720"/>
                <w:jc w:val="both"/>
                <w:rPr>
                  <w:i/>
                  <w:iCs/>
                  <w:szCs w:val="24"/>
                </w:rPr>
              </w:pPr>
            </w:p>
            <w:p>
              <w:pPr>
                <w:rPr>
                  <w:sz w:val="42"/>
                  <w:szCs w:val="42"/>
                </w:rPr>
              </w:pPr>
            </w:p>
            <w:p>
              <w:pPr>
                <w:tabs>
                  <w:tab w:val="right" w:pos="8730"/>
                </w:tabs>
                <w:spacing w:line="300" w:lineRule="atLeast"/>
                <w:rPr>
                  <w:szCs w:val="24"/>
                </w:rPr>
              </w:pPr>
              <w:r>
                <w:rPr>
                  <w:szCs w:val="24"/>
                </w:rPr>
                <w:t>Respublikos Prezidentas</w:t>
              </w:r>
              <w:r>
                <w:rPr>
                  <w:caps/>
                  <w:szCs w:val="24"/>
                </w:rPr>
                <w:tab/>
              </w:r>
            </w:p>
            <w:p>
              <w:pPr>
                <w:rPr>
                  <w:sz w:val="62"/>
                  <w:szCs w:val="62"/>
                </w:rPr>
              </w:pPr>
            </w:p>
            <w:p>
              <w:pPr>
                <w:spacing w:line="300" w:lineRule="atLeast"/>
                <w:rPr>
                  <w:szCs w:val="24"/>
                </w:rPr>
              </w:pPr>
            </w:p>
            <w:p>
              <w:pPr>
                <w:spacing w:line="300" w:lineRule="atLeast"/>
                <w:rPr>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440" w:right="1152" w:bottom="1152" w:left="2016" w:header="706" w:footer="706"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1E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27882503">
      <w:bodyDiv w:val="1"/>
      <w:marLeft w:val="0"/>
      <w:marRight w:val="0"/>
      <w:marTop w:val="0"/>
      <w:marBottom w:val="0"/>
      <w:divBdr>
        <w:top w:val="none" w:sz="0" w:space="0" w:color="auto"/>
        <w:left w:val="none" w:sz="0" w:space="0" w:color="auto"/>
        <w:bottom w:val="none" w:sz="0" w:space="0" w:color="auto"/>
        <w:right w:val="none" w:sz="0" w:space="0" w:color="auto"/>
      </w:divBdr>
      <w:divsChild>
        <w:div w:id="1103262561">
          <w:marLeft w:val="0"/>
          <w:marRight w:val="0"/>
          <w:marTop w:val="0"/>
          <w:marBottom w:val="0"/>
          <w:divBdr>
            <w:top w:val="none" w:sz="0" w:space="0" w:color="auto"/>
            <w:left w:val="none" w:sz="0" w:space="0" w:color="auto"/>
            <w:bottom w:val="none" w:sz="0" w:space="0" w:color="auto"/>
            <w:right w:val="none" w:sz="0" w:space="0" w:color="auto"/>
          </w:divBdr>
        </w:div>
        <w:div w:id="1270552596">
          <w:marLeft w:val="0"/>
          <w:marRight w:val="0"/>
          <w:marTop w:val="0"/>
          <w:marBottom w:val="0"/>
          <w:divBdr>
            <w:top w:val="none" w:sz="0" w:space="0" w:color="auto"/>
            <w:left w:val="none" w:sz="0" w:space="0" w:color="auto"/>
            <w:bottom w:val="none" w:sz="0" w:space="0" w:color="auto"/>
            <w:right w:val="none" w:sz="0" w:space="0" w:color="auto"/>
          </w:divBdr>
        </w:div>
      </w:divsChild>
    </w:div>
    <w:div w:id="245844272">
      <w:bodyDiv w:val="1"/>
      <w:marLeft w:val="0"/>
      <w:marRight w:val="0"/>
      <w:marTop w:val="0"/>
      <w:marBottom w:val="0"/>
      <w:divBdr>
        <w:top w:val="none" w:sz="0" w:space="0" w:color="auto"/>
        <w:left w:val="none" w:sz="0" w:space="0" w:color="auto"/>
        <w:bottom w:val="none" w:sz="0" w:space="0" w:color="auto"/>
        <w:right w:val="none" w:sz="0" w:space="0" w:color="auto"/>
      </w:divBdr>
      <w:divsChild>
        <w:div w:id="509836652">
          <w:marLeft w:val="0"/>
          <w:marRight w:val="0"/>
          <w:marTop w:val="0"/>
          <w:marBottom w:val="0"/>
          <w:divBdr>
            <w:top w:val="none" w:sz="0" w:space="0" w:color="auto"/>
            <w:left w:val="none" w:sz="0" w:space="0" w:color="auto"/>
            <w:bottom w:val="none" w:sz="0" w:space="0" w:color="auto"/>
            <w:right w:val="none" w:sz="0" w:space="0" w:color="auto"/>
          </w:divBdr>
          <w:divsChild>
            <w:div w:id="220558218">
              <w:marLeft w:val="0"/>
              <w:marRight w:val="0"/>
              <w:marTop w:val="0"/>
              <w:marBottom w:val="0"/>
              <w:divBdr>
                <w:top w:val="none" w:sz="0" w:space="0" w:color="auto"/>
                <w:left w:val="none" w:sz="0" w:space="0" w:color="auto"/>
                <w:bottom w:val="none" w:sz="0" w:space="0" w:color="auto"/>
                <w:right w:val="none" w:sz="0" w:space="0" w:color="auto"/>
              </w:divBdr>
            </w:div>
            <w:div w:id="329869428">
              <w:marLeft w:val="0"/>
              <w:marRight w:val="0"/>
              <w:marTop w:val="0"/>
              <w:marBottom w:val="0"/>
              <w:divBdr>
                <w:top w:val="none" w:sz="0" w:space="0" w:color="auto"/>
                <w:left w:val="none" w:sz="0" w:space="0" w:color="auto"/>
                <w:bottom w:val="none" w:sz="0" w:space="0" w:color="auto"/>
                <w:right w:val="none" w:sz="0" w:space="0" w:color="auto"/>
              </w:divBdr>
            </w:div>
            <w:div w:id="579022822">
              <w:marLeft w:val="0"/>
              <w:marRight w:val="0"/>
              <w:marTop w:val="0"/>
              <w:marBottom w:val="0"/>
              <w:divBdr>
                <w:top w:val="none" w:sz="0" w:space="0" w:color="auto"/>
                <w:left w:val="none" w:sz="0" w:space="0" w:color="auto"/>
                <w:bottom w:val="none" w:sz="0" w:space="0" w:color="auto"/>
                <w:right w:val="none" w:sz="0" w:space="0" w:color="auto"/>
              </w:divBdr>
            </w:div>
            <w:div w:id="716583039">
              <w:marLeft w:val="0"/>
              <w:marRight w:val="0"/>
              <w:marTop w:val="0"/>
              <w:marBottom w:val="0"/>
              <w:divBdr>
                <w:top w:val="none" w:sz="0" w:space="0" w:color="auto"/>
                <w:left w:val="none" w:sz="0" w:space="0" w:color="auto"/>
                <w:bottom w:val="none" w:sz="0" w:space="0" w:color="auto"/>
                <w:right w:val="none" w:sz="0" w:space="0" w:color="auto"/>
              </w:divBdr>
            </w:div>
            <w:div w:id="740178892">
              <w:marLeft w:val="0"/>
              <w:marRight w:val="0"/>
              <w:marTop w:val="0"/>
              <w:marBottom w:val="0"/>
              <w:divBdr>
                <w:top w:val="none" w:sz="0" w:space="0" w:color="auto"/>
                <w:left w:val="none" w:sz="0" w:space="0" w:color="auto"/>
                <w:bottom w:val="none" w:sz="0" w:space="0" w:color="auto"/>
                <w:right w:val="none" w:sz="0" w:space="0" w:color="auto"/>
              </w:divBdr>
            </w:div>
            <w:div w:id="784034891">
              <w:marLeft w:val="0"/>
              <w:marRight w:val="0"/>
              <w:marTop w:val="0"/>
              <w:marBottom w:val="0"/>
              <w:divBdr>
                <w:top w:val="none" w:sz="0" w:space="0" w:color="auto"/>
                <w:left w:val="none" w:sz="0" w:space="0" w:color="auto"/>
                <w:bottom w:val="none" w:sz="0" w:space="0" w:color="auto"/>
                <w:right w:val="none" w:sz="0" w:space="0" w:color="auto"/>
              </w:divBdr>
            </w:div>
            <w:div w:id="1041827604">
              <w:marLeft w:val="0"/>
              <w:marRight w:val="0"/>
              <w:marTop w:val="0"/>
              <w:marBottom w:val="0"/>
              <w:divBdr>
                <w:top w:val="none" w:sz="0" w:space="0" w:color="auto"/>
                <w:left w:val="none" w:sz="0" w:space="0" w:color="auto"/>
                <w:bottom w:val="none" w:sz="0" w:space="0" w:color="auto"/>
                <w:right w:val="none" w:sz="0" w:space="0" w:color="auto"/>
              </w:divBdr>
            </w:div>
            <w:div w:id="1506549413">
              <w:marLeft w:val="0"/>
              <w:marRight w:val="0"/>
              <w:marTop w:val="0"/>
              <w:marBottom w:val="0"/>
              <w:divBdr>
                <w:top w:val="none" w:sz="0" w:space="0" w:color="auto"/>
                <w:left w:val="none" w:sz="0" w:space="0" w:color="auto"/>
                <w:bottom w:val="none" w:sz="0" w:space="0" w:color="auto"/>
                <w:right w:val="none" w:sz="0" w:space="0" w:color="auto"/>
              </w:divBdr>
            </w:div>
          </w:divsChild>
        </w:div>
        <w:div w:id="1080057306">
          <w:marLeft w:val="0"/>
          <w:marRight w:val="0"/>
          <w:marTop w:val="0"/>
          <w:marBottom w:val="0"/>
          <w:divBdr>
            <w:top w:val="none" w:sz="0" w:space="0" w:color="auto"/>
            <w:left w:val="none" w:sz="0" w:space="0" w:color="auto"/>
            <w:bottom w:val="none" w:sz="0" w:space="0" w:color="auto"/>
            <w:right w:val="none" w:sz="0" w:space="0" w:color="auto"/>
          </w:divBdr>
          <w:divsChild>
            <w:div w:id="92752719">
              <w:marLeft w:val="0"/>
              <w:marRight w:val="0"/>
              <w:marTop w:val="0"/>
              <w:marBottom w:val="0"/>
              <w:divBdr>
                <w:top w:val="none" w:sz="0" w:space="0" w:color="auto"/>
                <w:left w:val="none" w:sz="0" w:space="0" w:color="auto"/>
                <w:bottom w:val="none" w:sz="0" w:space="0" w:color="auto"/>
                <w:right w:val="none" w:sz="0" w:space="0" w:color="auto"/>
              </w:divBdr>
            </w:div>
            <w:div w:id="218058659">
              <w:marLeft w:val="0"/>
              <w:marRight w:val="0"/>
              <w:marTop w:val="0"/>
              <w:marBottom w:val="0"/>
              <w:divBdr>
                <w:top w:val="none" w:sz="0" w:space="0" w:color="auto"/>
                <w:left w:val="none" w:sz="0" w:space="0" w:color="auto"/>
                <w:bottom w:val="none" w:sz="0" w:space="0" w:color="auto"/>
                <w:right w:val="none" w:sz="0" w:space="0" w:color="auto"/>
              </w:divBdr>
            </w:div>
            <w:div w:id="245499330">
              <w:marLeft w:val="0"/>
              <w:marRight w:val="0"/>
              <w:marTop w:val="0"/>
              <w:marBottom w:val="0"/>
              <w:divBdr>
                <w:top w:val="none" w:sz="0" w:space="0" w:color="auto"/>
                <w:left w:val="none" w:sz="0" w:space="0" w:color="auto"/>
                <w:bottom w:val="none" w:sz="0" w:space="0" w:color="auto"/>
                <w:right w:val="none" w:sz="0" w:space="0" w:color="auto"/>
              </w:divBdr>
            </w:div>
            <w:div w:id="756907137">
              <w:marLeft w:val="0"/>
              <w:marRight w:val="0"/>
              <w:marTop w:val="0"/>
              <w:marBottom w:val="0"/>
              <w:divBdr>
                <w:top w:val="none" w:sz="0" w:space="0" w:color="auto"/>
                <w:left w:val="none" w:sz="0" w:space="0" w:color="auto"/>
                <w:bottom w:val="none" w:sz="0" w:space="0" w:color="auto"/>
                <w:right w:val="none" w:sz="0" w:space="0" w:color="auto"/>
              </w:divBdr>
            </w:div>
            <w:div w:id="1813983115">
              <w:marLeft w:val="0"/>
              <w:marRight w:val="0"/>
              <w:marTop w:val="0"/>
              <w:marBottom w:val="0"/>
              <w:divBdr>
                <w:top w:val="none" w:sz="0" w:space="0" w:color="auto"/>
                <w:left w:val="none" w:sz="0" w:space="0" w:color="auto"/>
                <w:bottom w:val="none" w:sz="0" w:space="0" w:color="auto"/>
                <w:right w:val="none" w:sz="0" w:space="0" w:color="auto"/>
              </w:divBdr>
            </w:div>
            <w:div w:id="2076196705">
              <w:marLeft w:val="0"/>
              <w:marRight w:val="0"/>
              <w:marTop w:val="0"/>
              <w:marBottom w:val="0"/>
              <w:divBdr>
                <w:top w:val="none" w:sz="0" w:space="0" w:color="auto"/>
                <w:left w:val="none" w:sz="0" w:space="0" w:color="auto"/>
                <w:bottom w:val="none" w:sz="0" w:space="0" w:color="auto"/>
                <w:right w:val="none" w:sz="0" w:space="0" w:color="auto"/>
              </w:divBdr>
            </w:div>
          </w:divsChild>
        </w:div>
        <w:div w:id="1295141443">
          <w:marLeft w:val="0"/>
          <w:marRight w:val="0"/>
          <w:marTop w:val="0"/>
          <w:marBottom w:val="0"/>
          <w:divBdr>
            <w:top w:val="none" w:sz="0" w:space="0" w:color="auto"/>
            <w:left w:val="none" w:sz="0" w:space="0" w:color="auto"/>
            <w:bottom w:val="none" w:sz="0" w:space="0" w:color="auto"/>
            <w:right w:val="none" w:sz="0" w:space="0" w:color="auto"/>
          </w:divBdr>
        </w:div>
      </w:divsChild>
    </w:div>
    <w:div w:id="675545722">
      <w:bodyDiv w:val="1"/>
      <w:marLeft w:val="0"/>
      <w:marRight w:val="0"/>
      <w:marTop w:val="0"/>
      <w:marBottom w:val="0"/>
      <w:divBdr>
        <w:top w:val="none" w:sz="0" w:space="0" w:color="auto"/>
        <w:left w:val="none" w:sz="0" w:space="0" w:color="auto"/>
        <w:bottom w:val="none" w:sz="0" w:space="0" w:color="auto"/>
        <w:right w:val="none" w:sz="0" w:space="0" w:color="auto"/>
      </w:divBdr>
      <w:divsChild>
        <w:div w:id="1333024336">
          <w:marLeft w:val="0"/>
          <w:marRight w:val="0"/>
          <w:marTop w:val="0"/>
          <w:marBottom w:val="0"/>
          <w:divBdr>
            <w:top w:val="none" w:sz="0" w:space="0" w:color="auto"/>
            <w:left w:val="none" w:sz="0" w:space="0" w:color="auto"/>
            <w:bottom w:val="none" w:sz="0" w:space="0" w:color="auto"/>
            <w:right w:val="none" w:sz="0" w:space="0" w:color="auto"/>
          </w:divBdr>
        </w:div>
        <w:div w:id="1388528953">
          <w:marLeft w:val="0"/>
          <w:marRight w:val="0"/>
          <w:marTop w:val="0"/>
          <w:marBottom w:val="0"/>
          <w:divBdr>
            <w:top w:val="none" w:sz="0" w:space="0" w:color="auto"/>
            <w:left w:val="none" w:sz="0" w:space="0" w:color="auto"/>
            <w:bottom w:val="none" w:sz="0" w:space="0" w:color="auto"/>
            <w:right w:val="none" w:sz="0" w:space="0" w:color="auto"/>
          </w:divBdr>
        </w:div>
      </w:divsChild>
    </w:div>
    <w:div w:id="1133670293">
      <w:bodyDiv w:val="1"/>
      <w:marLeft w:val="0"/>
      <w:marRight w:val="0"/>
      <w:marTop w:val="0"/>
      <w:marBottom w:val="0"/>
      <w:divBdr>
        <w:top w:val="none" w:sz="0" w:space="0" w:color="auto"/>
        <w:left w:val="none" w:sz="0" w:space="0" w:color="auto"/>
        <w:bottom w:val="none" w:sz="0" w:space="0" w:color="auto"/>
        <w:right w:val="none" w:sz="0" w:space="0" w:color="auto"/>
      </w:divBdr>
    </w:div>
    <w:div w:id="1473253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37f66acf7674671b7a4e1c962066b50" PartId="1cb945179618430383eee70afcefe8d9">
    <Part Type="straipsnis" Nr="1" Abbr="1 str." Title="2 straipsnio pakeitimas" DocPartId="bc0d13f5ef63499bada2ec5ae0245da4" PartId="faef3722ca4947b1b6050f215ad7ca57">
      <Part Type="strDalis" Nr="1" Abbr="1 str. 1 d." DocPartId="a703d31fa82448efa798ebb071d3a487" PartId="dbfbcafefdab4c75b395a47cdd215037">
        <Part Type="citata" DocPartId="3062e11a6d014742a40a97f8fb046bac" PartId="086b8a0c9e584703a591da4004a1d331">
          <Part Type="strDalis" Nr="19" Abbr="19 d." DocPartId="dca5d51a51d84ed4a6c134dbb3151603" PartId="df9908d6cb0846959b1d2fee7345e4ca"/>
        </Part>
      </Part>
    </Part>
    <Part Type="signatura" DocPartId="b2a1237ad56e4de7bdd513aa141b5bde" PartId="c14831eba9c64508b30b0f561581200d"/>
  </Part>
</Parts>
</file>

<file path=customXml/itemProps1.xml><?xml version="1.0" encoding="utf-8"?>
<ds:datastoreItem xmlns:ds="http://schemas.openxmlformats.org/officeDocument/2006/customXml" ds:itemID="{97BFAD12-819D-4F9C-8899-02EA2DA1007A}">
  <ds:schemaRefs>
    <ds:schemaRef ds:uri="http://schemas.openxmlformats.org/officeDocument/2006/bibliography"/>
  </ds:schemaRefs>
</ds:datastoreItem>
</file>

<file path=customXml/itemProps2.xml><?xml version="1.0" encoding="utf-8"?>
<ds:datastoreItem xmlns:ds="http://schemas.openxmlformats.org/officeDocument/2006/customXml" ds:itemID="{277FFA64-17B7-4FC8-9537-264F31BB24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127</Words>
  <Characters>947</Characters>
  <Application>Microsoft Office Word</Application>
  <DocSecurity>4</DocSecurity>
  <Lines>28</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 Seimas</Company>
  <LinksUpToDate>false</LinksUpToDate>
  <CharactersWithSpaces>1063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2016-10-17T05:34:00Z</dcterms:created>
  <dc:creator>vimani</dc:creator>
  <lastModifiedBy>adlibuser</lastModifiedBy>
  <lastPrinted>2016-03-09T05:32:00Z</lastPrinted>
  <dcterms:modified xsi:type="dcterms:W3CDTF">2016-10-17T05:34:00Z</dcterms:modified>
  <revision>2</revision>
  <dc:title/>
</coreProperties>
</file>