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28ef8973054effbaf62f386e0db99e"/>
        <w:lock w:val="sdtLocked"/>
        <w:richText/>
      </w:sdtPr>
      <w:sdtContent>
        <w:p w14:paraId="295773E2" w14:textId="77777777">
          <w:pPr>
            <w:tabs>
              <w:tab w:val="center" w:pos="4153"/>
              <w:tab w:val="right" w:pos="8306"/>
            </w:tabs>
            <w:overflowPunct w:val="0"/>
            <w:jc w:val="both"/>
            <w:textAlignment w:val="baseline"/>
            <w:rPr>
              <w:lang w:val="en-GB"/>
            </w:rPr>
          </w:pPr>
        </w:p>
        <w:p w14:paraId="42D5EBF1" w14:textId="3F711994">
          <w:pPr>
            <w:overflowPunct w:val="0"/>
            <w:jc w:val="right"/>
            <w:textAlignment w:val="baseline"/>
            <w:rPr>
              <w:b/>
              <w:iCs/>
              <w:lang w:val="pt-PT"/>
            </w:rPr>
          </w:pPr>
          <w:r>
            <w:rPr>
              <w:b/>
              <w:iCs/>
              <w:lang w:val="pt-PT"/>
            </w:rPr>
            <w:t>Projektas</w:t>
          </w:r>
        </w:p>
        <w:p w14:paraId="05A998EF" w14:textId="77777777">
          <w:pPr>
            <w:overflowPunct w:val="0"/>
            <w:jc w:val="both"/>
            <w:textAlignment w:val="baseline"/>
            <w:rPr>
              <w:lang w:val="pt-PT"/>
            </w:rPr>
          </w:pPr>
        </w:p>
        <w:p w14:paraId="654CD352" w14:textId="77777777">
          <w:pPr>
            <w:overflowPunct w:val="0"/>
            <w:jc w:val="center"/>
            <w:textAlignment w:val="baseline"/>
            <w:rPr>
              <w:b/>
              <w:sz w:val="28"/>
              <w:szCs w:val="28"/>
            </w:rPr>
          </w:pPr>
          <w:r>
            <w:rPr>
              <w:b/>
              <w:sz w:val="28"/>
              <w:szCs w:val="28"/>
            </w:rPr>
            <w:t>LIETUVOS RESPUBLIKOS ŽEMĖS ŪKIO MINISTRAS</w:t>
          </w:r>
        </w:p>
        <w:p w14:paraId="4F53EA2C" w14:textId="77777777">
          <w:pPr>
            <w:overflowPunct w:val="0"/>
            <w:jc w:val="center"/>
            <w:textAlignment w:val="baseline"/>
            <w:rPr>
              <w:b/>
              <w:sz w:val="28"/>
              <w:szCs w:val="28"/>
            </w:rPr>
          </w:pPr>
        </w:p>
        <w:p w14:paraId="614B7DB6" w14:textId="77777777">
          <w:pPr>
            <w:overflowPunct w:val="0"/>
            <w:jc w:val="center"/>
            <w:textAlignment w:val="baseline"/>
            <w:rPr>
              <w:b/>
              <w:szCs w:val="24"/>
            </w:rPr>
          </w:pPr>
          <w:r>
            <w:rPr>
              <w:b/>
              <w:szCs w:val="24"/>
            </w:rPr>
            <w:t>ĮSAKYMAS</w:t>
          </w:r>
        </w:p>
        <w:p w14:paraId="2822A641" w14:textId="58EF9748">
          <w:pPr>
            <w:overflowPunct w:val="0"/>
            <w:jc w:val="center"/>
            <w:textAlignment w:val="baseline"/>
            <w:rPr>
              <w:b/>
              <w:caps/>
            </w:rPr>
          </w:pPr>
          <w:r>
            <w:rPr>
              <w:b/>
              <w:bCs/>
              <w:color w:val="000000"/>
            </w:rPr>
            <w:t xml:space="preserve">DĖL ŽEMĖS ŪKIO MINISTRO 2014 M. LAPKRIČIO 20 D. ĮSAKYMO NR. 3D-877 „DĖL </w:t>
          </w:r>
          <w:r>
            <w:rPr>
              <w:b/>
              <w:szCs w:val="24"/>
            </w:rPr>
            <w:t xml:space="preserve">PALŪKANŲ, SUMOKĖTŲ UŽ PASKOLAS IR LIZINGO PASLAUGAS INVESTICIJOMS FINANSUOTI SU GARANTIJA, KOMPENSAVIMO PRIEMONĖS TAISYKLIŲ </w:t>
          </w:r>
          <w:r>
            <w:rPr>
              <w:b/>
              <w:bCs/>
              <w:color w:val="000000"/>
            </w:rPr>
            <w:t>PATVIRTINIMO“ PAKEITIMO</w:t>
          </w:r>
        </w:p>
        <w:p w14:paraId="3D65B17D" w14:textId="77777777">
          <w:pPr>
            <w:overflowPunct w:val="0"/>
            <w:jc w:val="center"/>
            <w:textAlignment w:val="baseline"/>
          </w:pPr>
        </w:p>
        <w:p w14:paraId="0156CFAC" w14:textId="41B100BA">
          <w:pPr>
            <w:overflowPunct w:val="0"/>
            <w:spacing w:line="360" w:lineRule="auto"/>
            <w:jc w:val="center"/>
            <w:textAlignment w:val="baseline"/>
          </w:pPr>
          <w:r>
            <w:t xml:space="preserve">2024 m.                        d.  Nr. 3D-</w:t>
          </w:r>
        </w:p>
        <w:p w14:paraId="7A69A2FE" w14:textId="77777777">
          <w:pPr>
            <w:framePr w:h="714" w:wrap="auto" w:hAnchor="text"/>
            <w:overflowPunct w:val="0"/>
            <w:spacing w:line="360" w:lineRule="auto"/>
            <w:jc w:val="center"/>
            <w:textAlignment w:val="baseline"/>
          </w:pPr>
          <w:r>
            <w:t>Vilnius</w:t>
          </w:r>
        </w:p>
        <w:p w14:paraId="419EDC3E" w14:textId="77777777">
          <w:pPr>
            <w:overflowPunct w:val="0"/>
            <w:jc w:val="center"/>
            <w:textAlignment w:val="baseline"/>
          </w:pPr>
        </w:p>
        <w:sdt>
          <w:sdtPr>
            <w:alias w:val="1 p."/>
            <w:tag w:val="part_8bc6a896ce2a48af8cdbfe4179d1bfe8"/>
            <w:lock w:val="sdtLocked"/>
            <w:richText/>
          </w:sdtPr>
          <w:sdtContent>
            <w:p w14:paraId="2AA16ED6" w14:textId="3CBD2D5F">
              <w:pPr>
                <w:overflowPunct w:val="0"/>
                <w:spacing w:line="360" w:lineRule="auto"/>
                <w:ind w:firstLine="720"/>
                <w:jc w:val="both"/>
                <w:textAlignment w:val="baseline"/>
                <w:rPr>
                  <w:color w:val="000000"/>
                  <w:szCs w:val="24"/>
                  <w:lang w:eastAsia="lt-LT"/>
                </w:rPr>
              </w:pPr>
              <w:sdt>
                <w:sdtPr>
                  <w:alias w:val="Numeris"/>
                  <w:tag w:val="nr_8bc6a896ce2a48af8cdbfe4179d1bfe8"/>
                  <w:lock w:val="sdtLocked"/>
                  <w:richText/>
                </w:sdtPr>
                <w:sdtContent>
                  <w:r>
                    <w:rPr>
                      <w:color w:val="000000"/>
                      <w:szCs w:val="24"/>
                      <w:lang w:eastAsia="lt-LT"/>
                    </w:rPr>
                    <w:t>1</w:t>
                  </w:r>
                </w:sdtContent>
              </w:sdt>
              <w:r>
                <w:rPr>
                  <w:color w:val="000000"/>
                  <w:szCs w:val="24"/>
                  <w:lang w:eastAsia="lt-LT"/>
                </w:rPr>
                <w:t xml:space="preserve">. P a k e i č i u </w:t>
              </w:r>
              <w:r>
                <w:rPr>
                  <w:color w:val="000000"/>
                  <w:szCs w:val="24"/>
                </w:rPr>
                <w:t>Palūkanų, sumokėtų už paskolas ir lizingo paslaugas investicijoms finansuoti su garantija, kompensavimo priemonės taisykles</w:t>
              </w:r>
              <w:r>
                <w:rPr>
                  <w:color w:val="000000"/>
                  <w:szCs w:val="24"/>
                  <w:lang w:eastAsia="lt-LT"/>
                </w:rPr>
                <w:t xml:space="preserve">, patvirtintas Lietuvos Respublikos žemės ūkio ministro 2014 m. lapkričio 20 d. įsakymu Nr. 3D-877 „Dėl </w:t>
              </w:r>
              <w:r>
                <w:rPr>
                  <w:color w:val="000000"/>
                  <w:szCs w:val="24"/>
                </w:rPr>
                <w:t>Palūkanų, sumokėtų už paskolas ir lizingo paslaugas investicijoms finansuoti su garantija, kompensavimo priemonės taisyklių</w:t>
              </w:r>
              <w:r>
                <w:rPr>
                  <w:color w:val="000000"/>
                  <w:szCs w:val="24"/>
                  <w:lang w:eastAsia="lt-LT"/>
                </w:rPr>
                <w:t xml:space="preserve"> patvirtinimo“:</w:t>
              </w:r>
            </w:p>
            <w:sdt>
              <w:sdtPr>
                <w:alias w:val="1.1 pp."/>
                <w:tag w:val="part_960818699c4940cabf169c4c39fcba46"/>
                <w:lock w:val="sdtLocked"/>
                <w:richText/>
              </w:sdtPr>
              <w:sdtContent>
                <w:p w14:paraId="07E454AD" w14:textId="678D9476">
                  <w:pPr>
                    <w:overflowPunct w:val="0"/>
                    <w:spacing w:line="360" w:lineRule="auto"/>
                    <w:ind w:firstLine="720"/>
                    <w:jc w:val="both"/>
                    <w:textAlignment w:val="baseline"/>
                    <w:rPr>
                      <w:color w:val="000000"/>
                      <w:szCs w:val="24"/>
                      <w:lang w:eastAsia="lt-LT"/>
                    </w:rPr>
                  </w:pPr>
                  <w:sdt>
                    <w:sdtPr>
                      <w:alias w:val="Numeris"/>
                      <w:tag w:val="nr_960818699c4940cabf169c4c39fcba46"/>
                      <w:lock w:val="sdtLocked"/>
                      <w:richText/>
                    </w:sdtPr>
                    <w:sdtContent>
                      <w:r>
                        <w:rPr>
                          <w:color w:val="000000"/>
                          <w:szCs w:val="24"/>
                          <w:lang w:eastAsia="lt-LT"/>
                        </w:rPr>
                        <w:t>1.1</w:t>
                      </w:r>
                    </w:sdtContent>
                  </w:sdt>
                  <w:r>
                    <w:rPr>
                      <w:color w:val="000000"/>
                      <w:szCs w:val="24"/>
                      <w:lang w:eastAsia="lt-LT"/>
                    </w:rPr>
                    <w:t>. Pakeičiu 1 punktą ir jį išdėstau taip:</w:t>
                  </w:r>
                </w:p>
                <w:sdt>
                  <w:sdtPr>
                    <w:alias w:val="citata"/>
                    <w:tag w:val="part_6aa1617bf35440a08a0e14ebdedbc940"/>
                    <w:lock w:val="sdtLocked"/>
                    <w:richText/>
                  </w:sdtPr>
                  <w:sdtContent>
                    <w:sdt>
                      <w:sdtPr>
                        <w:alias w:val="1 p."/>
                        <w:tag w:val="part_dfc00ee1dd114a2eabbb0739fda0a62b"/>
                        <w:lock w:val="sdtLocked"/>
                        <w:richText/>
                      </w:sdtPr>
                      <w:sdtContent>
                        <w:p w14:paraId="4C18DD7C" w14:textId="77777777">
                          <w:pPr>
                            <w:spacing w:line="360" w:lineRule="auto"/>
                            <w:ind w:firstLine="720"/>
                            <w:jc w:val="both"/>
                            <w:rPr>
                              <w:szCs w:val="24"/>
                              <w:lang w:eastAsia="lt-LT"/>
                            </w:rPr>
                          </w:pPr>
                          <w:r>
                            <w:rPr>
                              <w:color w:val="000000"/>
                              <w:szCs w:val="24"/>
                              <w:lang w:eastAsia="lt-LT"/>
                            </w:rPr>
                            <w:t>„</w:t>
                          </w:r>
                          <w:sdt>
                            <w:sdtPr>
                              <w:alias w:val="Numeris"/>
                              <w:tag w:val="nr_dfc00ee1dd114a2eabbb0739fda0a62b"/>
                              <w:lock w:val="sdtLocked"/>
                              <w:richText/>
                            </w:sdtPr>
                            <w:sdtContent>
                              <w:r>
                                <w:rPr>
                                  <w:color w:val="000000"/>
                                  <w:szCs w:val="24"/>
                                  <w:lang w:eastAsia="lt-LT"/>
                                </w:rPr>
                                <w:t>1</w:t>
                              </w:r>
                            </w:sdtContent>
                          </w:sdt>
                          <w:r>
                            <w:rPr>
                              <w:color w:val="000000"/>
                              <w:szCs w:val="24"/>
                              <w:lang w:eastAsia="lt-LT"/>
                            </w:rPr>
                            <w:t>. </w:t>
                          </w:r>
                          <w:r>
                            <w:rPr>
                              <w:szCs w:val="24"/>
                              <w:lang w:eastAsia="lt-LT"/>
                            </w:rPr>
                            <w:t>Palūkanų, sumokėtų už paskolas ir lizingo paslaugas investicijoms finansuoti su garantija, kompensavimo priemonės taisyklės (toliau – Taisyklės) reglamentuoja valstybės pagalbos teikimą ūkio subjektams valstybės biudžeto lėšomis kompensuojant dalį palūkanų, sumokėtų finansų įstaigai už paskolas ir (ar) už finansinės nuomos (lizingo) paslaugas investicijoms finansuoti su UAB ILTE (toliau – Bendrovė) suteikta garantija (toliau – pagalba).“</w:t>
                          </w:r>
                        </w:p>
                      </w:sdtContent>
                    </w:sdt>
                  </w:sdtContent>
                </w:sdt>
              </w:sdtContent>
            </w:sdt>
            <w:sdt>
              <w:sdtPr>
                <w:alias w:val="1.2 pp."/>
                <w:tag w:val="part_cc900a8590ac4b76969c6e50033f3f87"/>
                <w:lock w:val="sdtLocked"/>
                <w:richText/>
              </w:sdtPr>
              <w:sdtContent>
                <w:p w14:paraId="312B8A8E" w14:textId="77777777">
                  <w:pPr>
                    <w:overflowPunct w:val="0"/>
                    <w:spacing w:line="360" w:lineRule="auto"/>
                    <w:ind w:firstLine="720"/>
                    <w:jc w:val="both"/>
                    <w:textAlignment w:val="baseline"/>
                    <w:rPr>
                      <w:color w:val="000000"/>
                      <w:szCs w:val="24"/>
                      <w:lang w:eastAsia="lt-LT"/>
                    </w:rPr>
                  </w:pPr>
                  <w:sdt>
                    <w:sdtPr>
                      <w:alias w:val="Numeris"/>
                      <w:tag w:val="nr_cc900a8590ac4b76969c6e50033f3f87"/>
                      <w:lock w:val="sdtLocked"/>
                      <w:richText/>
                    </w:sdtPr>
                    <w:sdtContent>
                      <w:r>
                        <w:rPr>
                          <w:color w:val="000000"/>
                          <w:szCs w:val="24"/>
                          <w:lang w:eastAsia="lt-LT"/>
                        </w:rPr>
                        <w:t>1.2</w:t>
                      </w:r>
                    </w:sdtContent>
                  </w:sdt>
                  <w:r>
                    <w:rPr>
                      <w:color w:val="000000"/>
                      <w:szCs w:val="24"/>
                      <w:lang w:eastAsia="lt-LT"/>
                    </w:rPr>
                    <w:t>. Pakeičiu 31 papunktį ir jį išdėstau taip:</w:t>
                  </w:r>
                </w:p>
                <w:sdt>
                  <w:sdtPr>
                    <w:alias w:val="citata"/>
                    <w:tag w:val="part_003cc63cbfbb42e3b4b0e73109946755"/>
                    <w:lock w:val="sdtLocked"/>
                    <w:richText/>
                  </w:sdtPr>
                  <w:sdtContent>
                    <w:sdt>
                      <w:sdtPr>
                        <w:alias w:val="31 p."/>
                        <w:tag w:val="part_96e98cbf91a24933b9a87b1805e4cc74"/>
                        <w:lock w:val="sdtLocked"/>
                        <w:richText/>
                      </w:sdtPr>
                      <w:sdtContent>
                        <w:p w14:paraId="6E6F3350" w14:textId="54F27851">
                          <w:pPr>
                            <w:spacing w:line="360" w:lineRule="auto"/>
                            <w:ind w:firstLine="720"/>
                            <w:jc w:val="both"/>
                            <w:rPr>
                              <w:szCs w:val="24"/>
                              <w:lang w:eastAsia="lt-LT"/>
                            </w:rPr>
                          </w:pPr>
                          <w:r>
                            <w:rPr>
                              <w:szCs w:val="24"/>
                              <w:lang w:eastAsia="lt-LT"/>
                            </w:rPr>
                            <w:t>„</w:t>
                          </w:r>
                          <w:sdt>
                            <w:sdtPr>
                              <w:alias w:val="Numeris"/>
                              <w:tag w:val="nr_96e98cbf91a24933b9a87b1805e4cc74"/>
                              <w:lock w:val="sdtLocked"/>
                              <w:richText/>
                            </w:sdtPr>
                            <w:sdtContent>
                              <w:r>
                                <w:rPr>
                                  <w:szCs w:val="24"/>
                                  <w:lang w:eastAsia="lt-LT"/>
                                </w:rPr>
                                <w:t>31</w:t>
                              </w:r>
                            </w:sdtContent>
                          </w:sdt>
                          <w:r>
                            <w:rPr>
                              <w:szCs w:val="24"/>
                              <w:lang w:eastAsia="lt-LT"/>
                            </w:rPr>
                            <w:t xml:space="preserve">. Pareiškėjas, norėdamas gauti dalies palūkanų kompensaciją, finansų įstaigai kartu su teikiamais dokumentais dėl individualios garantijos suteikimo pateikia paraišką dėl palūkanų kompensavimo (paraiška dėl palūkanų kompensavimo turi būti pildoma lietuvių kalba; paraiška dėl palūkanų kompensavimo turi atitikti Reglamento </w:t>
                          </w:r>
                          <w:fldSimple w:instr="HYPERLINK http://eur-lex.europa.eu/legal-content/LIT/TXT/?uri=CELEX:32472R2022&amp;locale=lt \t _blank">
                            <w:r>
                              <w:rPr>
                                <w:szCs w:val="24"/>
                                <w:lang w:eastAsia="lt-LT"/>
                                <w:u w:val="single"/>
                                <w:color w:val="0000FF" w:themeColor="hyperlink"/>
                              </w:rPr>
                              <w:t>(ES) Nr. 2022/2472</w:t>
                            </w:r>
                          </w:fldSimple>
                          <w:r>
                            <w:rPr>
                              <w:szCs w:val="24"/>
                              <w:lang w:eastAsia="lt-LT"/>
                            </w:rPr>
                            <w:t xml:space="preserve"> 6 straipsnio 2 dalies ir (ar) Reglamento </w:t>
                          </w:r>
                          <w:fldSimple w:instr="HYPERLINK http://eur-lex.europa.eu/legal-content/LIT/TXT/?uri=CELEX:32014R0651&amp;locale=lt \t _blank">
                            <w:r>
                              <w:rPr>
                                <w:szCs w:val="24"/>
                                <w:lang w:eastAsia="lt-LT"/>
                                <w:u w:val="single"/>
                                <w:color w:val="0000FF" w:themeColor="hyperlink"/>
                              </w:rPr>
                              <w:t>(ES) Nr. 651/2014</w:t>
                            </w:r>
                          </w:fldSimple>
                          <w:r>
                            <w:rPr>
                              <w:szCs w:val="24"/>
                              <w:lang w:eastAsia="lt-LT"/>
                            </w:rPr>
                            <w:t xml:space="preserve"> 6 straipsnio 2 dalies nuostatas, paraiškos dėl palūkanų kompensavimo formą nustato Bendrovė ir skelbia interneto svetainėje adresu www.ilte.lt).“</w:t>
                          </w:r>
                        </w:p>
                      </w:sdtContent>
                    </w:sdt>
                  </w:sdtContent>
                </w:sdt>
              </w:sdtContent>
            </w:sdt>
            <w:sdt>
              <w:sdtPr>
                <w:alias w:val="1.3 pp."/>
                <w:tag w:val="part_db64dc4117f14984ac532c7ffdab7a4e"/>
                <w:lock w:val="sdtLocked"/>
                <w:richText/>
              </w:sdtPr>
              <w:sdtContent>
                <w:p w14:paraId="7124F608" w14:textId="6345378D">
                  <w:pPr>
                    <w:overflowPunct w:val="0"/>
                    <w:spacing w:line="360" w:lineRule="auto"/>
                    <w:ind w:firstLine="720"/>
                    <w:jc w:val="both"/>
                    <w:textAlignment w:val="baseline"/>
                    <w:rPr>
                      <w:color w:val="000000"/>
                      <w:szCs w:val="24"/>
                      <w:lang w:eastAsia="lt-LT"/>
                    </w:rPr>
                  </w:pPr>
                  <w:sdt>
                    <w:sdtPr>
                      <w:alias w:val="Numeris"/>
                      <w:tag w:val="nr_db64dc4117f14984ac532c7ffdab7a4e"/>
                      <w:lock w:val="sdtLocked"/>
                      <w:richText/>
                    </w:sdtPr>
                    <w:sdtContent>
                      <w:r>
                        <w:rPr>
                          <w:color w:val="000000"/>
                          <w:szCs w:val="24"/>
                          <w:lang w:eastAsia="lt-LT"/>
                        </w:rPr>
                        <w:t>1.3</w:t>
                      </w:r>
                    </w:sdtContent>
                  </w:sdt>
                  <w:r>
                    <w:rPr>
                      <w:color w:val="000000"/>
                      <w:szCs w:val="24"/>
                      <w:lang w:eastAsia="lt-LT"/>
                    </w:rPr>
                    <w:t>. Pakeičiu 32.3 papunktį ir jį išdėstau taip:</w:t>
                  </w:r>
                </w:p>
                <w:sdt>
                  <w:sdtPr>
                    <w:alias w:val="citata"/>
                    <w:tag w:val="part_3b7eb4283464453ba99b5aad18102aaf"/>
                    <w:lock w:val="sdtLocked"/>
                    <w:richText/>
                  </w:sdtPr>
                  <w:sdtContent>
                    <w:sdt>
                      <w:sdtPr>
                        <w:alias w:val="32.3 pp."/>
                        <w:tag w:val="part_a9a8bb39e248436e89fb171544c4e55e"/>
                        <w:lock w:val="sdtLocked"/>
                        <w:richText/>
                      </w:sdtPr>
                      <w:sdtContent>
                        <w:p w14:paraId="6CCD2F66" w14:textId="247695C7">
                          <w:pPr>
                            <w:spacing w:line="360" w:lineRule="auto"/>
                            <w:ind w:firstLine="720"/>
                            <w:jc w:val="both"/>
                            <w:rPr>
                              <w:szCs w:val="24"/>
                              <w:lang w:eastAsia="lt-LT"/>
                            </w:rPr>
                          </w:pPr>
                          <w:r>
                            <w:rPr>
                              <w:szCs w:val="24"/>
                              <w:lang w:eastAsia="lt-LT"/>
                            </w:rPr>
                            <w:t>„</w:t>
                          </w:r>
                          <w:sdt>
                            <w:sdtPr>
                              <w:alias w:val="Numeris"/>
                              <w:tag w:val="nr_a9a8bb39e248436e89fb171544c4e55e"/>
                              <w:lock w:val="sdtLocked"/>
                              <w:richText/>
                            </w:sdtPr>
                            <w:sdtContent>
                              <w:r>
                                <w:rPr>
                                  <w:szCs w:val="24"/>
                                  <w:lang w:eastAsia="lt-LT"/>
                                </w:rPr>
                                <w:t>32.3</w:t>
                              </w:r>
                            </w:sdtContent>
                          </w:sdt>
                          <w:r>
                            <w:rPr>
                              <w:szCs w:val="24"/>
                              <w:lang w:eastAsia="lt-LT"/>
                            </w:rPr>
                            <w:t xml:space="preserve">. kas mėnesį duomenis apie pagal paskolos ir (ar) finansinės nuomos (lizingo) sutartis sumokėtas palūkanas (tuo atveju, jei finansų įstaiga dėl reikalingų atlikti </w:t>
                          </w:r>
                          <w:r>
                            <w:rPr>
                              <w:szCs w:val="24"/>
                            </w:rPr>
                            <w:t>informacinių sistemų pakeitimų</w:t>
                          </w:r>
                          <w:r>
                            <w:rPr>
                              <w:szCs w:val="24"/>
                              <w:lang w:eastAsia="lt-LT"/>
                            </w:rPr>
                            <w:t xml:space="preserve"> neturi galimybės pateikti šių duomenų kas mėnesį, iki </w:t>
                          </w:r>
                          <w:r>
                            <w:rPr>
                              <w:szCs w:val="24"/>
                            </w:rPr>
                            <w:t xml:space="preserve">2025 m. kovo 31 d. </w:t>
                          </w:r>
                          <w:r>
                            <w:rPr>
                              <w:szCs w:val="24"/>
                              <w:lang w:eastAsia="lt-LT"/>
                            </w:rPr>
                            <w:t>ji gali teikti šiuos duomenis kas ketvirtį</w:t>
                          </w:r>
                          <w:r>
                            <w:rPr>
                              <w:szCs w:val="24"/>
                            </w:rPr>
                            <w:t>)</w:t>
                          </w:r>
                          <w:r>
                            <w:rPr>
                              <w:szCs w:val="24"/>
                              <w:lang w:eastAsia="lt-LT"/>
                            </w:rPr>
                            <w:t>.“</w:t>
                          </w:r>
                        </w:p>
                        <w:p w14:paraId="04FD5883" w14:textId="77777777">
                          <w:pPr>
                            <w:overflowPunct w:val="0"/>
                            <w:spacing w:line="360" w:lineRule="auto"/>
                            <w:ind w:firstLine="720"/>
                            <w:jc w:val="both"/>
                            <w:textAlignment w:val="baseline"/>
                            <w:rPr>
                              <w:color w:val="000000"/>
                              <w:szCs w:val="24"/>
                              <w:lang w:eastAsia="lt-LT"/>
                            </w:rPr>
                          </w:pPr>
                        </w:p>
                      </w:sdtContent>
                    </w:sdt>
                  </w:sdtContent>
                </w:sdt>
              </w:sdtContent>
            </w:sdt>
            <w:sdt>
              <w:sdtPr>
                <w:alias w:val="1.4 pp."/>
                <w:tag w:val="part_fecae2f75b8740659378163016d3da1f"/>
                <w:lock w:val="sdtLocked"/>
                <w:richText/>
              </w:sdtPr>
              <w:sdtContent>
                <w:p w14:paraId="3DD5FA1D" w14:textId="20EB7BE9">
                  <w:pPr>
                    <w:overflowPunct w:val="0"/>
                    <w:spacing w:line="360" w:lineRule="auto"/>
                    <w:ind w:firstLine="720"/>
                    <w:jc w:val="both"/>
                    <w:textAlignment w:val="baseline"/>
                    <w:rPr>
                      <w:color w:val="000000"/>
                      <w:szCs w:val="24"/>
                      <w:lang w:eastAsia="lt-LT"/>
                    </w:rPr>
                  </w:pPr>
                  <w:sdt>
                    <w:sdtPr>
                      <w:alias w:val="Numeris"/>
                      <w:tag w:val="nr_fecae2f75b8740659378163016d3da1f"/>
                      <w:lock w:val="sdtLocked"/>
                      <w:richText/>
                    </w:sdtPr>
                    <w:sdtContent>
                      <w:r>
                        <w:rPr>
                          <w:color w:val="000000"/>
                          <w:szCs w:val="24"/>
                          <w:lang w:eastAsia="lt-LT"/>
                        </w:rPr>
                        <w:t>1.4</w:t>
                      </w:r>
                    </w:sdtContent>
                  </w:sdt>
                  <w:r>
                    <w:rPr>
                      <w:color w:val="000000"/>
                      <w:szCs w:val="24"/>
                      <w:lang w:eastAsia="lt-LT"/>
                    </w:rPr>
                    <w:t>. Pakeičiu 35 punktą ir jį išdėstau taip:</w:t>
                  </w:r>
                </w:p>
                <w:sdt>
                  <w:sdtPr>
                    <w:alias w:val="citata"/>
                    <w:tag w:val="part_86613348015542b092129fba1ef2a135"/>
                    <w:lock w:val="sdtLocked"/>
                    <w:richText/>
                  </w:sdtPr>
                  <w:sdtContent>
                    <w:sdt>
                      <w:sdtPr>
                        <w:alias w:val="35 p."/>
                        <w:tag w:val="part_2a94b976b3be4b5ca7f744057a85a16f"/>
                        <w:lock w:val="sdtLocked"/>
                        <w:richText/>
                      </w:sdtPr>
                      <w:sdtContent>
                        <w:p w14:paraId="54E911A3" w14:textId="219D2874">
                          <w:pPr>
                            <w:spacing w:line="360" w:lineRule="auto"/>
                            <w:ind w:firstLine="720"/>
                            <w:jc w:val="both"/>
                            <w:rPr>
                              <w:szCs w:val="24"/>
                              <w:lang w:eastAsia="lt-LT"/>
                            </w:rPr>
                          </w:pPr>
                          <w:r>
                            <w:rPr>
                              <w:szCs w:val="24"/>
                              <w:lang w:eastAsia="lt-LT"/>
                            </w:rPr>
                            <w:t>„</w:t>
                          </w:r>
                          <w:sdt>
                            <w:sdtPr>
                              <w:alias w:val="Numeris"/>
                              <w:tag w:val="nr_2a94b976b3be4b5ca7f744057a85a16f"/>
                              <w:lock w:val="sdtLocked"/>
                              <w:richText/>
                            </w:sdtPr>
                            <w:sdtContent>
                              <w:r>
                                <w:rPr>
                                  <w:szCs w:val="24"/>
                                  <w:lang w:eastAsia="lt-LT"/>
                                </w:rPr>
                                <w:t>35</w:t>
                              </w:r>
                            </w:sdtContent>
                          </w:sdt>
                          <w:r>
                            <w:rPr>
                              <w:szCs w:val="24"/>
                              <w:lang w:eastAsia="lt-LT"/>
                            </w:rPr>
                            <w:t>. Taisyklių 34 punkte nurodytas paraiškos vertinimo laikas esant objektyvioms aplinkybėms (gautas ir vertinamas neįprastai didelis paraiškų kiekis; pareiškėjas, norėdamas pateikti prašomus dokumentus ar informaciją, turi kreiptis į kitą (-as) instituciją (-as); pareiškėjo prašymu; atliekant didelės apimties informacinių sistemų programavimo darbus ar sutrikus informacinių sistemų veiklai) Bendrovės vadovo sprendimu gali būti pratęstas, tačiau ne ilgiau kaip 30 darbo dienų. Apie pratęstą paraiškos vertinimo terminą Bendrovė ne vėliau kaip per 2 darbo dienas nuo Bendrovės vadovo sprendimo pratęsti paraiškos vertinimo terminą priėmimo dienos informuoja pareiškėją (-us).“</w:t>
                          </w:r>
                        </w:p>
                      </w:sdtContent>
                    </w:sdt>
                  </w:sdtContent>
                </w:sdt>
              </w:sdtContent>
            </w:sdt>
            <w:sdt>
              <w:sdtPr>
                <w:alias w:val="1.5 pp."/>
                <w:tag w:val="part_af2a2cbe655f446192b7e163d076d59b"/>
                <w:lock w:val="sdtLocked"/>
                <w:richText/>
              </w:sdtPr>
              <w:sdtContent>
                <w:p w14:paraId="39016BDB" w14:textId="72089F11">
                  <w:pPr>
                    <w:spacing w:line="360" w:lineRule="auto"/>
                    <w:ind w:firstLine="720"/>
                    <w:jc w:val="both"/>
                    <w:rPr>
                      <w:szCs w:val="24"/>
                      <w:lang w:eastAsia="lt-LT"/>
                    </w:rPr>
                  </w:pPr>
                  <w:sdt>
                    <w:sdtPr>
                      <w:alias w:val="Numeris"/>
                      <w:tag w:val="nr_af2a2cbe655f446192b7e163d076d59b"/>
                      <w:lock w:val="sdtLocked"/>
                      <w:richText/>
                    </w:sdtPr>
                    <w:sdtContent>
                      <w:r>
                        <w:rPr>
                          <w:szCs w:val="24"/>
                          <w:lang w:eastAsia="lt-LT"/>
                        </w:rPr>
                        <w:t>1.5</w:t>
                      </w:r>
                    </w:sdtContent>
                  </w:sdt>
                  <w:r>
                    <w:rPr>
                      <w:szCs w:val="24"/>
                      <w:lang w:eastAsia="lt-LT"/>
                    </w:rPr>
                    <w:t>. Papildau 37</w:t>
                  </w:r>
                  <w:r>
                    <w:rPr>
                      <w:szCs w:val="24"/>
                      <w:vertAlign w:val="superscript"/>
                      <w:lang w:eastAsia="lt-LT"/>
                    </w:rPr>
                    <w:t>1</w:t>
                  </w:r>
                  <w:r>
                    <w:rPr>
                      <w:szCs w:val="24"/>
                      <w:lang w:eastAsia="lt-LT"/>
                    </w:rPr>
                    <w:t xml:space="preserve"> punktu:</w:t>
                  </w:r>
                </w:p>
                <w:sdt>
                  <w:sdtPr>
                    <w:alias w:val="citata"/>
                    <w:tag w:val="part_6d3212b386374d03b8889e0fab8d7608"/>
                    <w:lock w:val="sdtLocked"/>
                    <w:richText/>
                  </w:sdtPr>
                  <w:sdtContent>
                    <w:sdt>
                      <w:sdtPr>
                        <w:alias w:val="37-1 p."/>
                        <w:tag w:val="part_6a17b2bb92224309b65b2a1342d1a561"/>
                        <w:lock w:val="sdtLocked"/>
                        <w:richText/>
                      </w:sdtPr>
                      <w:sdtContent>
                        <w:p w14:paraId="1EFD7E76" w14:textId="1AD9D06A">
                          <w:pPr>
                            <w:spacing w:line="360" w:lineRule="auto"/>
                            <w:ind w:firstLine="720"/>
                            <w:jc w:val="both"/>
                            <w:rPr>
                              <w:szCs w:val="24"/>
                              <w:lang w:eastAsia="lt-LT"/>
                            </w:rPr>
                          </w:pPr>
                          <w:r>
                            <w:rPr>
                              <w:szCs w:val="24"/>
                              <w:lang w:eastAsia="lt-LT"/>
                            </w:rPr>
                            <w:t>„</w:t>
                          </w:r>
                          <w:sdt>
                            <w:sdtPr>
                              <w:alias w:val="Numeris"/>
                              <w:tag w:val="nr_6a17b2bb92224309b65b2a1342d1a561"/>
                              <w:lock w:val="sdtLocked"/>
                              <w:richText/>
                            </w:sdtPr>
                            <w:sdtContent>
                              <w:r>
                                <w:rPr>
                                  <w:szCs w:val="24"/>
                                  <w:lang w:eastAsia="lt-LT"/>
                                </w:rPr>
                                <w:t>37</w:t>
                              </w:r>
                              <w:r>
                                <w:rPr>
                                  <w:szCs w:val="24"/>
                                  <w:vertAlign w:val="superscript"/>
                                  <w:lang w:eastAsia="lt-LT"/>
                                </w:rPr>
                                <w:t>1</w:t>
                              </w:r>
                            </w:sdtContent>
                          </w:sdt>
                          <w:r>
                            <w:rPr>
                              <w:szCs w:val="24"/>
                              <w:lang w:eastAsia="lt-LT"/>
                            </w:rPr>
                            <w:t>. Bendrovė, prieš išmokėdama pagalbą pagalbos gavėjui, patikrina, ar jam nėra iškelta bankroto ir (ar) restruktūrizavimo byla pagal Lietuvos Respublikos juridinių asmenų nemokumo įstatymą arba iki jo įsigaliojimo galiojusius Lietuvos Respublikos įmonių bankroto įstatymą ir Lietuvos Respublikos įmonių restruktūrizavimo įstatymą (juridinio asmens atveju), arba nėra iškeltos fizinio asmens bankroto bylos pagal Lietuvos Respublikos fizinių asmenų bankroto įstatymą (fizinio asmens atveju).“</w:t>
                          </w:r>
                        </w:p>
                      </w:sdtContent>
                    </w:sdt>
                  </w:sdtContent>
                </w:sdt>
              </w:sdtContent>
            </w:sdt>
            <w:sdt>
              <w:sdtPr>
                <w:alias w:val="1.6 pp."/>
                <w:tag w:val="part_9a0fdb8acb14447ea093d18fc240ec78"/>
                <w:lock w:val="sdtLocked"/>
                <w:richText/>
              </w:sdtPr>
              <w:sdtContent>
                <w:p w14:paraId="0E2D770C" w14:textId="415E5FDA">
                  <w:pPr>
                    <w:overflowPunct w:val="0"/>
                    <w:spacing w:line="360" w:lineRule="auto"/>
                    <w:ind w:firstLine="720"/>
                    <w:jc w:val="both"/>
                    <w:textAlignment w:val="baseline"/>
                    <w:rPr>
                      <w:color w:val="000000"/>
                      <w:szCs w:val="24"/>
                      <w:lang w:eastAsia="lt-LT"/>
                    </w:rPr>
                  </w:pPr>
                  <w:sdt>
                    <w:sdtPr>
                      <w:alias w:val="Numeris"/>
                      <w:tag w:val="nr_9a0fdb8acb14447ea093d18fc240ec78"/>
                      <w:lock w:val="sdtLocked"/>
                      <w:richText/>
                    </w:sdtPr>
                    <w:sdtContent>
                      <w:r>
                        <w:rPr>
                          <w:color w:val="000000"/>
                          <w:szCs w:val="24"/>
                          <w:lang w:eastAsia="lt-LT"/>
                        </w:rPr>
                        <w:t>1.6</w:t>
                      </w:r>
                    </w:sdtContent>
                  </w:sdt>
                  <w:r>
                    <w:rPr>
                      <w:color w:val="000000"/>
                      <w:szCs w:val="24"/>
                      <w:lang w:eastAsia="lt-LT"/>
                    </w:rPr>
                    <w:t>. Pakeičiu 40 punktą ir jį išdėstau taip:</w:t>
                  </w:r>
                </w:p>
                <w:sdt>
                  <w:sdtPr>
                    <w:alias w:val="citata"/>
                    <w:tag w:val="part_7588337a64534a55b116730b3166e723"/>
                    <w:lock w:val="sdtLocked"/>
                    <w:richText/>
                  </w:sdtPr>
                  <w:sdtContent>
                    <w:sdt>
                      <w:sdtPr>
                        <w:alias w:val="40 p."/>
                        <w:tag w:val="part_6c727a1e8fef4aaaaee3110e8eeff21b"/>
                        <w:lock w:val="sdtLocked"/>
                        <w:richText/>
                      </w:sdtPr>
                      <w:sdtContent>
                        <w:p w14:paraId="2A709999" w14:textId="3E19C86F">
                          <w:pPr>
                            <w:spacing w:line="360" w:lineRule="auto"/>
                            <w:ind w:firstLine="720"/>
                            <w:jc w:val="both"/>
                            <w:rPr>
                              <w:szCs w:val="24"/>
                              <w:lang w:eastAsia="lt-LT"/>
                            </w:rPr>
                          </w:pPr>
                          <w:r>
                            <w:rPr>
                              <w:szCs w:val="24"/>
                              <w:lang w:eastAsia="lt-LT"/>
                            </w:rPr>
                            <w:t>„</w:t>
                          </w:r>
                          <w:sdt>
                            <w:sdtPr>
                              <w:alias w:val="Numeris"/>
                              <w:tag w:val="nr_6c727a1e8fef4aaaaee3110e8eeff21b"/>
                              <w:lock w:val="sdtLocked"/>
                              <w:richText/>
                            </w:sdtPr>
                            <w:sdtContent>
                              <w:r>
                                <w:rPr>
                                  <w:szCs w:val="24"/>
                                  <w:lang w:eastAsia="lt-LT"/>
                                </w:rPr>
                                <w:t>40</w:t>
                              </w:r>
                            </w:sdtContent>
                          </w:sdt>
                          <w:r>
                            <w:rPr>
                              <w:szCs w:val="24"/>
                              <w:lang w:eastAsia="lt-LT"/>
                            </w:rPr>
                            <w:t>. Pagalbos suma pagalbos gavėjams išmokama kartą per mėnesį (pagalba gali būti išmokama kas ketvirtį Taisyklių 32.3 papunktyje nurodytu atveju).“</w:t>
                          </w:r>
                        </w:p>
                      </w:sdtContent>
                    </w:sdt>
                  </w:sdtContent>
                </w:sdt>
              </w:sdtContent>
            </w:sdt>
            <w:sdt>
              <w:sdtPr>
                <w:alias w:val="1.7 pp."/>
                <w:tag w:val="part_ab56e384f43d48c5acbaa46b3f87af56"/>
                <w:lock w:val="sdtLocked"/>
                <w:richText/>
              </w:sdtPr>
              <w:sdtContent>
                <w:p w14:paraId="73288E55" w14:textId="1AE4C637">
                  <w:pPr>
                    <w:overflowPunct w:val="0"/>
                    <w:spacing w:line="360" w:lineRule="auto"/>
                    <w:ind w:firstLine="720"/>
                    <w:jc w:val="both"/>
                    <w:textAlignment w:val="baseline"/>
                    <w:rPr>
                      <w:color w:val="000000"/>
                      <w:szCs w:val="24"/>
                      <w:lang w:eastAsia="lt-LT"/>
                    </w:rPr>
                  </w:pPr>
                  <w:sdt>
                    <w:sdtPr>
                      <w:alias w:val="Numeris"/>
                      <w:tag w:val="nr_ab56e384f43d48c5acbaa46b3f87af56"/>
                      <w:lock w:val="sdtLocked"/>
                      <w:richText/>
                    </w:sdtPr>
                    <w:sdtContent>
                      <w:r>
                        <w:rPr>
                          <w:color w:val="000000"/>
                          <w:szCs w:val="24"/>
                          <w:lang w:eastAsia="lt-LT"/>
                        </w:rPr>
                        <w:t>1.7</w:t>
                      </w:r>
                    </w:sdtContent>
                  </w:sdt>
                  <w:r>
                    <w:rPr>
                      <w:color w:val="000000"/>
                      <w:szCs w:val="24"/>
                      <w:lang w:eastAsia="lt-LT"/>
                    </w:rPr>
                    <w:t>. Pakeičiu 41 punktą ir jį išdėstau taip:</w:t>
                  </w:r>
                </w:p>
                <w:sdt>
                  <w:sdtPr>
                    <w:alias w:val="citata"/>
                    <w:tag w:val="part_9abcc363b8354e278a1628b134aad839"/>
                    <w:lock w:val="sdtLocked"/>
                    <w:richText/>
                  </w:sdtPr>
                  <w:sdtContent>
                    <w:sdt>
                      <w:sdtPr>
                        <w:alias w:val="41 p."/>
                        <w:tag w:val="part_dbadf20d179c42cebdf11ed31ab3211f"/>
                        <w:lock w:val="sdtLocked"/>
                        <w:richText/>
                      </w:sdtPr>
                      <w:sdtContent>
                        <w:p w14:paraId="3CC141AC" w14:textId="0F384856">
                          <w:pPr>
                            <w:spacing w:line="360" w:lineRule="auto"/>
                            <w:ind w:firstLine="720"/>
                            <w:jc w:val="both"/>
                            <w:rPr>
                              <w:szCs w:val="24"/>
                              <w:lang w:eastAsia="lt-LT"/>
                            </w:rPr>
                          </w:pPr>
                          <w:r>
                            <w:rPr>
                              <w:szCs w:val="24"/>
                              <w:lang w:eastAsia="lt-LT"/>
                            </w:rPr>
                            <w:t>„</w:t>
                          </w:r>
                          <w:sdt>
                            <w:sdtPr>
                              <w:alias w:val="Numeris"/>
                              <w:tag w:val="nr_dbadf20d179c42cebdf11ed31ab3211f"/>
                              <w:lock w:val="sdtLocked"/>
                              <w:richText/>
                            </w:sdtPr>
                            <w:sdtContent>
                              <w:r>
                                <w:rPr>
                                  <w:szCs w:val="24"/>
                                  <w:lang w:eastAsia="lt-LT"/>
                                </w:rPr>
                                <w:t>41</w:t>
                              </w:r>
                            </w:sdtContent>
                          </w:sdt>
                          <w:r>
                            <w:rPr>
                              <w:szCs w:val="24"/>
                              <w:lang w:eastAsia="lt-LT"/>
                            </w:rPr>
                            <w:t>. Bendrovė, mėnesiui pasibaigus, iki kito mėnesio 20 d. (tuo atveju, kai taikomas Taisyklių 32.3 papunktis – ketvirčiui pasibaigus, iki kito ketvirčio pirmojo mėnesio 20 d.) apskaičiuoja kiekvienam pagalbos gavėjui už per praėjusį mėnesį (tuo atveju, kai taikomas Taisyklių 32.3 papunktis – už per praėjusį ketvirtį) sumokėtas palūkanas mokėtinos pagalbos dydį ir pateikia Žemės ūkio ministerijai (toliau – Ministerija) pažymą apie lėšų poreikį daliai palūkanų, sumokėtų už paskolas investicijoms finansuoti, kompensuoti (Taisyklių 1 priedas) ir (ar) pažymą apie lėšų poreikį daliai palūkanų, sumokėtų už finansinės nuomos (lizingo) paslaugas investicijoms finansuoti, kompensuoti (Taisyklių 2 priedas).“</w:t>
                          </w:r>
                        </w:p>
                      </w:sdtContent>
                    </w:sdt>
                  </w:sdtContent>
                </w:sdt>
              </w:sdtContent>
            </w:sdt>
          </w:sdtContent>
        </w:sdt>
        <w:sdt>
          <w:sdtPr>
            <w:alias w:val="2 p."/>
            <w:tag w:val="part_a085f78db36042faa714900f92d85fc6"/>
            <w:lock w:val="sdtLocked"/>
            <w:richText/>
          </w:sdtPr>
          <w:sdtContent>
            <w:p w14:paraId="427EBAC8" w14:textId="382357D7">
              <w:pPr>
                <w:spacing w:line="360" w:lineRule="auto"/>
                <w:ind w:firstLine="720"/>
                <w:jc w:val="both"/>
                <w:rPr>
                  <w:szCs w:val="24"/>
                  <w:lang w:eastAsia="lt-LT"/>
                </w:rPr>
              </w:pPr>
              <w:sdt>
                <w:sdtPr>
                  <w:alias w:val="Numeris"/>
                  <w:tag w:val="nr_a085f78db36042faa714900f92d85fc6"/>
                  <w:lock w:val="sdtLocked"/>
                  <w:richText/>
                </w:sdtPr>
                <w:sdtContent>
                  <w:r>
                    <w:rPr>
                      <w:szCs w:val="24"/>
                      <w:lang w:eastAsia="lt-LT"/>
                    </w:rPr>
                    <w:t>2</w:t>
                  </w:r>
                </w:sdtContent>
              </w:sdt>
              <w:r>
                <w:rPr>
                  <w:szCs w:val="24"/>
                  <w:lang w:eastAsia="lt-LT"/>
                </w:rPr>
                <w:t>. N u s t a t a u, kad š</w:t>
              </w:r>
              <w:r>
                <w:rPr>
                  <w:color w:val="000000"/>
                  <w:szCs w:val="24"/>
                  <w:shd w:val="clear" w:color="auto" w:fill="FFFFFF"/>
                </w:rPr>
                <w:t xml:space="preserve">is </w:t>
              </w:r>
              <w:r>
                <w:rPr>
                  <w:color w:val="000000"/>
                  <w:szCs w:val="24"/>
                </w:rPr>
                <w:t>įsakymas įsigalioja</w:t>
              </w:r>
              <w:r>
                <w:rPr>
                  <w:color w:val="000000"/>
                  <w:szCs w:val="24"/>
                  <w:shd w:val="clear" w:color="auto" w:fill="FFFFFF"/>
                </w:rPr>
                <w:t xml:space="preserve"> 2024 m. lapkričio 1 d.</w:t>
              </w:r>
            </w:p>
            <w:p w14:paraId="11E29597" w14:textId="77777777">
              <w:pPr>
                <w:overflowPunct w:val="0"/>
                <w:spacing w:line="360" w:lineRule="auto"/>
                <w:jc w:val="both"/>
                <w:textAlignment w:val="baseline"/>
                <w:rPr>
                  <w:szCs w:val="24"/>
                </w:rPr>
              </w:pPr>
            </w:p>
            <w:p w14:paraId="79F9F382" w14:textId="77777777">
              <w:pPr>
                <w:overflowPunct w:val="0"/>
                <w:spacing w:line="360" w:lineRule="auto"/>
                <w:jc w:val="both"/>
                <w:textAlignment w:val="baseline"/>
                <w:rPr>
                  <w:szCs w:val="24"/>
                </w:rPr>
              </w:pPr>
            </w:p>
          </w:sdtContent>
        </w:sdt>
        <w:sdt>
          <w:sdtPr>
            <w:alias w:val="signatura"/>
            <w:tag w:val="part_01c4c032615542c4a9717e8b2fbb1d89"/>
            <w:lock w:val="sdtLocked"/>
            <w:richText/>
          </w:sdtPr>
          <w:sdtContent>
            <w:p w14:paraId="21793D94" w14:textId="55E70C01">
              <w:pPr>
                <w:overflowPunct w:val="0"/>
                <w:spacing w:line="360" w:lineRule="auto"/>
                <w:jc w:val="both"/>
                <w:textAlignment w:val="baseline"/>
                <w:rPr>
                  <w:szCs w:val="24"/>
                </w:rPr>
              </w:pPr>
              <w:r>
                <w:rPr>
                  <w:szCs w:val="24"/>
                </w:rPr>
                <w:t>Žemės ūkio ministras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7B4098" w14:textId="77777777">
      <w:pPr>
        <w:overflowPunct w:val="0"/>
        <w:jc w:val="both"/>
        <w:textAlignment w:val="baseline"/>
        <w:rPr>
          <w:lang w:val="en-GB"/>
        </w:rPr>
      </w:pPr>
      <w:r>
        <w:rPr>
          <w:lang w:val="en-GB"/>
        </w:rPr>
        <w:separator/>
      </w:r>
    </w:p>
  </w:endnote>
  <w:endnote w:type="continuationSeparator" w:id="0">
    <w:p w14:paraId="33792A51"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9DD83"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46597"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0EED9"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C0B19" w14:textId="77777777">
      <w:pPr>
        <w:overflowPunct w:val="0"/>
        <w:jc w:val="both"/>
        <w:textAlignment w:val="baseline"/>
        <w:rPr>
          <w:lang w:val="en-GB"/>
        </w:rPr>
      </w:pPr>
      <w:r>
        <w:rPr>
          <w:lang w:val="en-GB"/>
        </w:rPr>
        <w:separator/>
      </w:r>
    </w:p>
  </w:footnote>
  <w:footnote w:type="continuationSeparator" w:id="0">
    <w:p w14:paraId="14A8C1E0"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2693B"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412062" w14:textId="2A743394">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5A219778"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0E961"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7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B3604D"/>
  <w15:docId w15:val="{9AA75431-D1FB-4625-92E7-BBE4C3E2AD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0354327">
      <w:bodyDiv w:val="1"/>
      <w:marLeft w:val="0"/>
      <w:marRight w:val="0"/>
      <w:marTop w:val="0"/>
      <w:marBottom w:val="0"/>
      <w:divBdr>
        <w:top w:val="none" w:sz="0" w:space="0" w:color="auto"/>
        <w:left w:val="none" w:sz="0" w:space="0" w:color="auto"/>
        <w:bottom w:val="none" w:sz="0" w:space="0" w:color="auto"/>
        <w:right w:val="none" w:sz="0" w:space="0" w:color="auto"/>
      </w:divBdr>
    </w:div>
    <w:div w:id="2047678792">
      <w:bodyDiv w:val="1"/>
      <w:marLeft w:val="0"/>
      <w:marRight w:val="0"/>
      <w:marTop w:val="0"/>
      <w:marBottom w:val="0"/>
      <w:divBdr>
        <w:top w:val="none" w:sz="0" w:space="0" w:color="auto"/>
        <w:left w:val="none" w:sz="0" w:space="0" w:color="auto"/>
        <w:bottom w:val="none" w:sz="0" w:space="0" w:color="auto"/>
        <w:right w:val="none" w:sz="0" w:space="0" w:color="auto"/>
      </w:divBdr>
      <w:divsChild>
        <w:div w:id="1641496998">
          <w:marLeft w:val="0"/>
          <w:marRight w:val="0"/>
          <w:marTop w:val="0"/>
          <w:marBottom w:val="0"/>
          <w:divBdr>
            <w:top w:val="none" w:sz="0" w:space="0" w:color="auto"/>
            <w:left w:val="none" w:sz="0" w:space="0" w:color="auto"/>
            <w:bottom w:val="none" w:sz="0" w:space="0" w:color="auto"/>
            <w:right w:val="none" w:sz="0" w:space="0" w:color="auto"/>
          </w:divBdr>
        </w:div>
        <w:div w:id="7289155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80ba60e6b94a8fb068bb78dd001642" PartId="9528ef8973054effbaf62f386e0db99e">
    <Part Type="punktas" Nr="1" Abbr="1 p." DocPartId="4ec42aff1cd1418482e0985caf351f53" PartId="8bc6a896ce2a48af8cdbfe4179d1bfe8">
      <Part Type="papunktis" Nr="1.1" Abbr="1.1 pp." DocPartId="9eaad43cf4144da5aca4ca1aa367a7b1" PartId="960818699c4940cabf169c4c39fcba46">
        <Part Type="citata" DocPartId="36745113ee32487a832cc4fa962c5a36" PartId="6aa1617bf35440a08a0e14ebdedbc940">
          <Part Type="punktas" Nr="1" Abbr="1 p." DocPartId="ec26c2f728f5484381d964577cef9220" PartId="dfc00ee1dd114a2eabbb0739fda0a62b"/>
        </Part>
      </Part>
      <Part Type="papunktis" Nr="1.2" Abbr="1.2 pp." DocPartId="a2b1b5171cf44ae2b6f689d827b5281a" PartId="cc900a8590ac4b76969c6e50033f3f87">
        <Part Type="citata" DocPartId="dbd59111eac74b93a397a416fdc3cc65" PartId="003cc63cbfbb42e3b4b0e73109946755">
          <Part Type="punktas" Nr="31" Abbr="31 p." DocPartId="9a96e74c251d4d97abb6ee9a019be066" PartId="96e98cbf91a24933b9a87b1805e4cc74"/>
        </Part>
      </Part>
      <Part Type="papunktis" Nr="1.3" Abbr="1.3 pp." DocPartId="857f5c64dd32492a8260667b72a7b0d0" PartId="db64dc4117f14984ac532c7ffdab7a4e">
        <Part Type="citata" DocPartId="e199039eebe4450ebf8aa30793628c87" PartId="3b7eb4283464453ba99b5aad18102aaf">
          <Part Type="papunktis" Nr="32.3" Abbr="32.3 pp." DocPartId="1a91e629d62741a68a95b9f465ca43ef" PartId="a9a8bb39e248436e89fb171544c4e55e"/>
        </Part>
      </Part>
      <Part Type="papunktis" Nr="1.4" Abbr="1.4 pp." DocPartId="0685d607685f46b6b5adec7c11e1a5d3" PartId="fecae2f75b8740659378163016d3da1f">
        <Part Type="citata" DocPartId="c39bb1039c23459eaa3acae039463dca" PartId="86613348015542b092129fba1ef2a135">
          <Part Type="punktas" Nr="35" Abbr="35 p." DocPartId="ad77bfe1351d4b1f8c8444bb36851782" PartId="2a94b976b3be4b5ca7f744057a85a16f"/>
        </Part>
      </Part>
      <Part Type="papunktis" Nr="1.5" Abbr="1.5 pp." DocPartId="884000a7c4854ad7b41df912b44fe650" PartId="af2a2cbe655f446192b7e163d076d59b">
        <Part Type="citata" DocPartId="ac4dd9f8bd1c4cbc982a6cbaa6660802" PartId="6d3212b386374d03b8889e0fab8d7608">
          <Part Type="punktas" Nr="37-1" Abbr="37-1 p." DocPartId="cbc1b80a4cff4cfca76368b9aca5ad5d" PartId="6a17b2bb92224309b65b2a1342d1a561"/>
        </Part>
      </Part>
      <Part Type="papunktis" Nr="1.6" Abbr="1.6 pp." DocPartId="a89948cd2b7a4c09bb144173d9319de8" PartId="9a0fdb8acb14447ea093d18fc240ec78">
        <Part Type="citata" DocPartId="9a74742bef134c4f8f55002e4e89a192" PartId="7588337a64534a55b116730b3166e723">
          <Part Type="punktas" Nr="40" Abbr="40 p." DocPartId="006a6517c7af42818f1c0a937a6a7246" PartId="6c727a1e8fef4aaaaee3110e8eeff21b"/>
        </Part>
      </Part>
      <Part Type="papunktis" Nr="1.7" Abbr="1.7 pp." DocPartId="ed6fa1eed8a14e309eeadc1f77469bc5" PartId="ab56e384f43d48c5acbaa46b3f87af56">
        <Part Type="citata" DocPartId="040ddd626fb2464184a3b692cd29aa25" PartId="9abcc363b8354e278a1628b134aad839">
          <Part Type="punktas" Nr="41" Abbr="41 p." DocPartId="b167787fc4184ebba1da9ce558ab5262" PartId="dbadf20d179c42cebdf11ed31ab3211f"/>
        </Part>
      </Part>
    </Part>
    <Part Type="punktas" Nr="2" Abbr="2 p." DocPartId="1d86559c473c426b8b08b3505c4a8884" PartId="a085f78db36042faa714900f92d85fc6"/>
    <Part Type="signatura" DocPartId="4dcda3c0d3cd455b8c2b88e1261e1953" PartId="01c4c032615542c4a9717e8b2fbb1d89"/>
  </Part>
</Parts>
</file>

<file path=customXml/itemProps1.xml><?xml version="1.0" encoding="utf-8"?>
<ds:datastoreItem xmlns:ds="http://schemas.openxmlformats.org/officeDocument/2006/customXml" ds:itemID="{B74FD5E4-AFB5-48F5-857F-9556068FE4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596</Words>
  <Characters>3868</Characters>
  <Application>Microsoft Office Word</Application>
  <DocSecurity>4</DocSecurity>
  <Lines>71</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2024-10-11T12:45:00Z</dcterms:created>
  <dc:creator>adlibuser</dc:creator>
  <lastModifiedBy>adlibuser</lastModifiedBy>
  <dcterms:modified xsi:type="dcterms:W3CDTF">2024-10-11T12:45:00Z</dcterms:modified>
  <revision>2</revision>
</coreProperties>
</file>