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4EF9DCA" w14:textId="77777777">
      <w:pPr>
        <w:framePr w:hSpace="180" w:wrap="auto" w:vAnchor="text" w:hAnchor="page" w:x="5521" w:y="44"/>
        <w:tabs>
          <w:tab w:val="center" w:pos="4153"/>
          <w:tab w:val="right" w:pos="8306"/>
        </w:tabs>
        <w:overflowPunct w:val="0"/>
        <w:jc w:val="right"/>
        <w:textAlignment w:val="baseline"/>
        <w:rPr>
          <w:b/>
        </w:rPr>
      </w:pPr>
      <w:r>
        <w:rPr>
          <w:b/>
        </w:rPr>
        <w:t>Projektas</w:t>
      </w:r>
    </w:p>
    <w:p w14:paraId="12E9098E" w14:textId="3A1FEA7E">
      <w:pPr>
        <w:framePr w:hSpace="180" w:wrap="auto" w:vAnchor="text" w:hAnchor="page" w:x="5521" w:y="44"/>
        <w:overflowPunct w:val="0"/>
        <w:jc w:val="both"/>
        <w:textAlignment w:val="baseline"/>
        <w:rPr>
          <w:sz w:val="8"/>
        </w:rPr>
      </w:pPr>
    </w:p>
    <w:p w14:paraId="11203DD1" w14:textId="77777777">
      <w:pPr>
        <w:overflowPunct w:val="0"/>
        <w:jc w:val="both"/>
        <w:textAlignment w:val="baseline"/>
      </w:pPr>
    </w:p>
    <w:p w14:paraId="1CF03B5E" w14:textId="77777777">
      <w:pPr>
        <w:overflowPunct w:val="0"/>
        <w:jc w:val="both"/>
        <w:textAlignment w:val="baseline"/>
      </w:pPr>
    </w:p>
    <w:p w14:paraId="472240B7" w14:textId="77777777">
      <w:pPr>
        <w:overflowPunct w:val="0"/>
        <w:jc w:val="both"/>
        <w:textAlignment w:val="baseline"/>
      </w:pPr>
    </w:p>
    <w:p w14:paraId="081995D5" w14:textId="77777777">
      <w:pPr>
        <w:overflowPunct w:val="0"/>
        <w:jc w:val="both"/>
        <w:textAlignment w:val="baseline"/>
        <w:rPr>
          <w:sz w:val="16"/>
          <w:szCs w:val="16"/>
        </w:rPr>
      </w:pPr>
    </w:p>
    <w:p w14:paraId="5895CEB0" w14:textId="77777777">
      <w:pPr>
        <w:overflowPunct w:val="0"/>
        <w:jc w:val="both"/>
        <w:textAlignment w:val="baseline"/>
        <w:rPr>
          <w:sz w:val="16"/>
          <w:szCs w:val="16"/>
        </w:rPr>
      </w:pPr>
    </w:p>
    <w:p w14:paraId="06272CA1" w14:textId="77777777">
      <w:pPr>
        <w:overflowPunct w:val="0"/>
        <w:jc w:val="center"/>
        <w:textAlignment w:val="baseline"/>
        <w:rPr>
          <w:b/>
          <w:sz w:val="28"/>
          <w:szCs w:val="28"/>
        </w:rPr>
      </w:pPr>
      <w:r>
        <w:rPr>
          <w:b/>
          <w:sz w:val="28"/>
          <w:szCs w:val="28"/>
        </w:rPr>
        <w:t>LIETUVOS RESPUBLIKOS ŽEMĖS ŪKIO MINISTRAS</w:t>
      </w:r>
    </w:p>
    <w:p w14:paraId="27E7C52D" w14:textId="77777777">
      <w:pPr>
        <w:overflowPunct w:val="0"/>
        <w:jc w:val="center"/>
        <w:textAlignment w:val="baseline"/>
        <w:rPr>
          <w:b/>
          <w:sz w:val="28"/>
          <w:szCs w:val="28"/>
        </w:rPr>
      </w:pPr>
    </w:p>
    <w:p w14:paraId="01841B08" w14:textId="77777777">
      <w:pPr>
        <w:overflowPunct w:val="0"/>
        <w:jc w:val="center"/>
        <w:textAlignment w:val="baseline"/>
        <w:rPr>
          <w:b/>
          <w:szCs w:val="24"/>
        </w:rPr>
      </w:pPr>
      <w:r>
        <w:rPr>
          <w:b/>
          <w:szCs w:val="24"/>
        </w:rPr>
        <w:t>ĮSAKYMAS</w:t>
      </w:r>
    </w:p>
    <w:p w14:paraId="440DA08D" w14:textId="7A3329F6">
      <w:pPr>
        <w:overflowPunct w:val="0"/>
        <w:jc w:val="center"/>
        <w:textAlignment w:val="baseline"/>
        <w:rPr>
          <w:b/>
          <w:caps/>
          <w:lang w:val="en-GB"/>
        </w:rPr>
      </w:pPr>
      <w:r>
        <w:rPr>
          <w:b/>
          <w:caps/>
          <w:lang w:val="en-GB"/>
        </w:rPr>
        <w:t>DĖL ŽEMĖS ŪKIO MINISTRO 2016 M. LAPKRIČIO 23 D. ĮSAKYMO NR. 3D-696 „DĖL LIETUVOS KAIMO TINKLO 2016–2020 METŲ VEIKSMŲ PROGRAMOS PATVIRTINIMO“ PAKEITIMO</w:t>
      </w:r>
    </w:p>
    <w:p w14:paraId="59D5263A" w14:textId="77777777">
      <w:pPr>
        <w:overflowPunct w:val="0"/>
        <w:jc w:val="center"/>
        <w:textAlignment w:val="baseline"/>
        <w:rPr>
          <w:b/>
          <w:lang w:val="en-GB"/>
        </w:rPr>
      </w:pPr>
    </w:p>
    <w:p w14:paraId="61285EAD" w14:textId="77777777">
      <w:pPr>
        <w:overflowPunct w:val="0"/>
        <w:jc w:val="center"/>
        <w:textAlignment w:val="baseline"/>
      </w:pPr>
    </w:p>
    <w:p w14:paraId="64C50A5B" w14:textId="1FC592B7">
      <w:pPr>
        <w:overflowPunct w:val="0"/>
        <w:spacing w:line="360" w:lineRule="auto"/>
        <w:jc w:val="center"/>
        <w:textAlignment w:val="baseline"/>
      </w:pPr>
      <w:r>
        <w:t xml:space="preserve">2019 m.                           d. Nr. 3D-</w:t>
      </w:r>
    </w:p>
    <w:p w14:paraId="762B3A65" w14:textId="77777777">
      <w:pPr>
        <w:framePr w:h="714" w:wrap="auto" w:hAnchor="text"/>
        <w:overflowPunct w:val="0"/>
        <w:spacing w:line="360" w:lineRule="auto"/>
        <w:jc w:val="center"/>
        <w:textAlignment w:val="baseline"/>
      </w:pPr>
      <w:r>
        <w:t>Vilnius</w:t>
      </w:r>
    </w:p>
    <w:p w14:paraId="736C1FC3" w14:textId="77777777">
      <w:pPr>
        <w:overflowPunct w:val="0"/>
        <w:jc w:val="center"/>
        <w:textAlignment w:val="baseline"/>
      </w:pPr>
    </w:p>
    <w:p w14:paraId="160B6B69" w14:textId="77777777">
      <w:pPr>
        <w:overflowPunct w:val="0"/>
        <w:spacing w:line="360" w:lineRule="auto"/>
        <w:jc w:val="both"/>
        <w:textAlignment w:val="baseline"/>
      </w:pPr>
    </w:p>
    <w:p w14:paraId="4F246074" w14:textId="6D6FF62D">
      <w:pPr>
        <w:overflowPunct w:val="0"/>
        <w:spacing w:line="360" w:lineRule="auto"/>
        <w:ind w:firstLine="709"/>
        <w:jc w:val="both"/>
        <w:textAlignment w:val="baseline"/>
        <w:rPr>
          <w:szCs w:val="24"/>
        </w:rPr>
      </w:pPr>
      <w:r>
        <w:rPr>
          <w:szCs w:val="24"/>
        </w:rPr>
        <w:t>P a k e i č i u Lietuvos kaimo tinklo 2016–2020 metų veiksmų programą, patvirtintą Lietuvos Respublikos žemės ūkio ministro 2016 m. lapkričio 23 d. įsakymu Nr. 3D-696 „Dėl Lietuvos kaimo tinklo 2016–2020 metų veiksmų programos patvirtinimo“:</w:t>
      </w:r>
    </w:p>
    <w:p w14:paraId="7E491A91" w14:textId="2070CA1E">
      <w:pPr>
        <w:overflowPunct w:val="0"/>
        <w:spacing w:line="360" w:lineRule="auto"/>
        <w:ind w:firstLine="709"/>
        <w:jc w:val="both"/>
        <w:textAlignment w:val="baseline"/>
        <w:rPr>
          <w:szCs w:val="24"/>
        </w:rPr>
      </w:pPr>
      <w:r>
        <w:rPr>
          <w:szCs w:val="24"/>
        </w:rPr>
        <w:t>1</w:t>
      </w:r>
      <w:r>
        <w:rPr>
          <w:szCs w:val="24"/>
        </w:rPr>
        <w:t>. Pakeičiu 5.6 papunktį ir jį išdėstau taip:</w:t>
      </w:r>
    </w:p>
    <w:p w14:paraId="4830534C" w14:textId="0DA75B7C">
      <w:pPr>
        <w:tabs>
          <w:tab w:val="left" w:pos="851"/>
        </w:tabs>
        <w:suppressAutoHyphens/>
        <w:overflowPunct w:val="0"/>
        <w:spacing w:line="360" w:lineRule="auto"/>
        <w:ind w:firstLine="709"/>
        <w:jc w:val="both"/>
        <w:textAlignment w:val="baseline"/>
        <w:rPr>
          <w:rFonts w:eastAsia="Calibri"/>
          <w:color w:val="000000"/>
          <w:szCs w:val="24"/>
        </w:rPr>
      </w:pPr>
      <w:r>
        <w:rPr>
          <w:color w:val="000000"/>
          <w:szCs w:val="24"/>
        </w:rPr>
        <w:t>„</w:t>
      </w:r>
      <w:r>
        <w:rPr>
          <w:color w:val="000000"/>
          <w:szCs w:val="24"/>
        </w:rPr>
        <w:t>5.6</w:t>
      </w:r>
      <w:r>
        <w:rPr>
          <w:color w:val="000000"/>
          <w:szCs w:val="24"/>
        </w:rPr>
        <w:t xml:space="preserve">. </w:t>
      </w:r>
      <w:r>
        <w:rPr>
          <w:rFonts w:eastAsia="Calibri"/>
          <w:b/>
          <w:color w:val="000000"/>
          <w:szCs w:val="24"/>
        </w:rPr>
        <w:t>Lietuvos kaimo plėtros 2014–2020 m. programos komunikacijos projektas</w:t>
      </w:r>
      <w:r>
        <w:rPr>
          <w:rFonts w:eastAsia="Calibri"/>
          <w:color w:val="000000"/>
          <w:szCs w:val="24"/>
        </w:rPr>
        <w:t xml:space="preserve"> – (toliau – komunikacijos projektas) nacionalinei skėtinei ir (arba) regioninei organizacijai atstovaujančio Lietuvos kaimo tinklo nario parengtas ir vykdomas projektas, kuriuo siekiama vykdyti Lietuvos kaimo plėtros 2014–2020 m. programos komunikacijos plane nustatytas įgyvendinimo priemones, kurių rezultatai kuria pridėtinę vertę. Komunikacijos projekto rezultatas, jei nepažeidžia intelektinės nuosavybės teisių, yra viešas.“</w:t>
      </w:r>
    </w:p>
    <w:p w14:paraId="63300E76" w14:textId="52BF86CD">
      <w:pPr>
        <w:overflowPunct w:val="0"/>
        <w:spacing w:line="360" w:lineRule="auto"/>
        <w:ind w:firstLine="709"/>
        <w:jc w:val="both"/>
        <w:textAlignment w:val="baseline"/>
        <w:rPr>
          <w:szCs w:val="24"/>
        </w:rPr>
      </w:pPr>
      <w:r>
        <w:rPr>
          <w:szCs w:val="24"/>
        </w:rPr>
        <w:t>2</w:t>
      </w:r>
      <w:r>
        <w:rPr>
          <w:szCs w:val="24"/>
        </w:rPr>
        <w:t>. Pakeičiu 5.9 papunktį ir jį išdėstau taip:</w:t>
      </w:r>
    </w:p>
    <w:p w14:paraId="19EE9064" w14:textId="595EA00E">
      <w:pPr>
        <w:tabs>
          <w:tab w:val="left" w:pos="851"/>
        </w:tabs>
        <w:suppressAutoHyphens/>
        <w:overflowPunct w:val="0"/>
        <w:spacing w:line="360" w:lineRule="auto"/>
        <w:ind w:firstLine="709"/>
        <w:jc w:val="both"/>
        <w:textAlignment w:val="baseline"/>
        <w:rPr>
          <w:rFonts w:eastAsia="Calibri"/>
          <w:color w:val="000000"/>
          <w:szCs w:val="24"/>
        </w:rPr>
      </w:pPr>
      <w:r>
        <w:rPr>
          <w:color w:val="000000"/>
          <w:szCs w:val="24"/>
        </w:rPr>
        <w:t>„</w:t>
      </w:r>
      <w:r>
        <w:rPr>
          <w:color w:val="000000"/>
          <w:szCs w:val="24"/>
        </w:rPr>
        <w:t>5.9</w:t>
      </w:r>
      <w:r>
        <w:rPr>
          <w:color w:val="000000"/>
          <w:szCs w:val="24"/>
        </w:rPr>
        <w:t xml:space="preserve">. </w:t>
      </w:r>
      <w:r>
        <w:rPr>
          <w:rFonts w:eastAsia="Calibri"/>
          <w:b/>
          <w:color w:val="000000"/>
          <w:szCs w:val="24"/>
        </w:rPr>
        <w:t>Lietuvos kaimo tinklo sekretoriatas</w:t>
      </w:r>
      <w:r>
        <w:rPr>
          <w:rFonts w:eastAsia="Calibri"/>
          <w:color w:val="000000"/>
          <w:szCs w:val="24"/>
        </w:rPr>
        <w:t xml:space="preserve"> (toliau – Sekretoriatas) – Lietuvos kaimo tinklo veiklą koordinuojantis organas, kurio funkcijas vykdo Lietuvos Respublikos žemės ūkio ministerijos 3-iojo Europos Sąjungos paramos skyriaus darbuotojai.”</w:t>
      </w:r>
    </w:p>
    <w:p w14:paraId="67BDC264" w14:textId="125CD896">
      <w:pPr>
        <w:overflowPunct w:val="0"/>
        <w:spacing w:line="360" w:lineRule="auto"/>
        <w:ind w:firstLine="709"/>
        <w:jc w:val="both"/>
        <w:textAlignment w:val="baseline"/>
        <w:rPr>
          <w:szCs w:val="24"/>
        </w:rPr>
      </w:pPr>
      <w:r>
        <w:rPr>
          <w:szCs w:val="24"/>
        </w:rPr>
        <w:t>3</w:t>
      </w:r>
      <w:r>
        <w:rPr>
          <w:szCs w:val="24"/>
        </w:rPr>
        <w:t>. Pripažįstu netekusiu galios 5.10 papunktį.</w:t>
      </w:r>
    </w:p>
    <w:p w14:paraId="606AEDB1" w14:textId="508BAFAB">
      <w:pPr>
        <w:overflowPunct w:val="0"/>
        <w:spacing w:line="360" w:lineRule="auto"/>
        <w:ind w:firstLine="709"/>
        <w:jc w:val="both"/>
        <w:textAlignment w:val="baseline"/>
        <w:rPr>
          <w:szCs w:val="24"/>
        </w:rPr>
      </w:pPr>
      <w:r>
        <w:rPr>
          <w:szCs w:val="24"/>
        </w:rPr>
        <w:t>4</w:t>
      </w:r>
      <w:r>
        <w:rPr>
          <w:szCs w:val="24"/>
        </w:rPr>
        <w:t>. Pakeičiu 17.5 papunktį ir jį išdėstau taip:</w:t>
      </w:r>
    </w:p>
    <w:p w14:paraId="2019C57F" w14:textId="5F5B3496">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17.5</w:t>
      </w:r>
      <w:r>
        <w:rPr>
          <w:rFonts w:eastAsia="Calibri"/>
          <w:color w:val="000000"/>
          <w:szCs w:val="24"/>
        </w:rPr>
        <w:t>. teikti paramos paraiškas dėl komunikacijos projektų įgyvendinimo bei įgyvendinti atrinktus komunikacijos projektus;”.</w:t>
      </w:r>
    </w:p>
    <w:p w14:paraId="4D04996B" w14:textId="1BF5B712">
      <w:pPr>
        <w:overflowPunct w:val="0"/>
        <w:spacing w:line="360" w:lineRule="auto"/>
        <w:ind w:firstLine="709"/>
        <w:jc w:val="both"/>
        <w:textAlignment w:val="baseline"/>
        <w:rPr>
          <w:szCs w:val="24"/>
        </w:rPr>
      </w:pPr>
      <w:r>
        <w:rPr>
          <w:szCs w:val="24"/>
        </w:rPr>
        <w:t>5</w:t>
      </w:r>
      <w:r>
        <w:rPr>
          <w:szCs w:val="24"/>
        </w:rPr>
        <w:t>. Papildau 18.4 papunkčiu:</w:t>
      </w:r>
    </w:p>
    <w:p w14:paraId="54E50225" w14:textId="17D4B03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18.4</w:t>
      </w:r>
      <w:r>
        <w:rPr>
          <w:rFonts w:eastAsia="Calibri"/>
          <w:color w:val="000000"/>
          <w:szCs w:val="24"/>
        </w:rPr>
        <w:t>. užtikrinti ES ir LR finansinių interesų apsaugą, įgyvendinant komunikacijos projektus.”</w:t>
      </w:r>
    </w:p>
    <w:p w14:paraId="4130E4E5" w14:textId="1DB1898D">
      <w:pPr>
        <w:overflowPunct w:val="0"/>
        <w:spacing w:line="360" w:lineRule="auto"/>
        <w:ind w:firstLine="709"/>
        <w:jc w:val="both"/>
        <w:textAlignment w:val="baseline"/>
        <w:rPr>
          <w:szCs w:val="24"/>
        </w:rPr>
      </w:pPr>
      <w:r>
        <w:rPr>
          <w:szCs w:val="24"/>
        </w:rPr>
        <w:t>6</w:t>
      </w:r>
      <w:r>
        <w:rPr>
          <w:szCs w:val="24"/>
        </w:rPr>
        <w:t>. Pakeičiu 36 punktą ir jį išdėstau taip:</w:t>
      </w:r>
    </w:p>
    <w:p w14:paraId="7C19F300" w14:textId="7C284013">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36</w:t>
      </w:r>
      <w:r>
        <w:rPr>
          <w:rFonts w:eastAsia="Calibri"/>
          <w:color w:val="000000"/>
          <w:szCs w:val="24"/>
        </w:rPr>
        <w:t>. Sekretoriatas vykdo Tinklo koordinavimo funkcijas.”</w:t>
      </w:r>
    </w:p>
    <w:p w14:paraId="7C78F642" w14:textId="44D3BF41">
      <w:pPr>
        <w:overflowPunct w:val="0"/>
        <w:spacing w:line="360" w:lineRule="auto"/>
        <w:ind w:firstLine="709"/>
        <w:jc w:val="both"/>
        <w:textAlignment w:val="baseline"/>
        <w:rPr>
          <w:szCs w:val="24"/>
        </w:rPr>
      </w:pPr>
      <w:r>
        <w:rPr>
          <w:szCs w:val="24"/>
        </w:rPr>
        <w:t>7</w:t>
      </w:r>
      <w:r>
        <w:rPr>
          <w:szCs w:val="24"/>
        </w:rPr>
        <w:t>. Pakeičiu 37.9 papunktį ir jį išdėstau taip:</w:t>
      </w:r>
    </w:p>
    <w:p w14:paraId="0FB3EBA5" w14:textId="73682868">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37.9</w:t>
      </w:r>
      <w:r>
        <w:rPr>
          <w:rFonts w:eastAsia="Calibri"/>
          <w:color w:val="000000"/>
          <w:szCs w:val="24"/>
        </w:rPr>
        <w:t>. rengti ir atskiru Lietuvos Respublikos žemės ūkio ministro įsakymu tvirtinti Tinklo narių komunikacijos projektų, finansuojamų pagal KPP priemonės „Techninė pagalba“ veiklos sritį „Lietuvos kaimo tinklas“ įgyvendinimo taisykles (toliau – Tinklo įgyvendinimo taisyklės) bei dalyvauti atrenkant Tinklo narių komunikacijos projektus;”.</w:t>
      </w:r>
    </w:p>
    <w:p w14:paraId="0790A1C6" w14:textId="09D45C69">
      <w:pPr>
        <w:overflowPunct w:val="0"/>
        <w:spacing w:line="360" w:lineRule="auto"/>
        <w:ind w:firstLine="709"/>
        <w:jc w:val="both"/>
        <w:textAlignment w:val="baseline"/>
        <w:rPr>
          <w:szCs w:val="24"/>
        </w:rPr>
      </w:pPr>
      <w:r>
        <w:rPr>
          <w:szCs w:val="24"/>
        </w:rPr>
        <w:t>8</w:t>
      </w:r>
      <w:r>
        <w:rPr>
          <w:szCs w:val="24"/>
        </w:rPr>
        <w:t>. Pakeičiu 37.10 papunktį ir jį išdėstau taip:</w:t>
      </w:r>
    </w:p>
    <w:p w14:paraId="0463D32A" w14:textId="1E865FC0">
      <w:pPr>
        <w:tabs>
          <w:tab w:val="left" w:pos="851"/>
          <w:tab w:val="left" w:pos="1418"/>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37.10</w:t>
      </w:r>
      <w:r>
        <w:rPr>
          <w:rFonts w:eastAsia="Calibri"/>
          <w:color w:val="000000"/>
          <w:szCs w:val="24"/>
        </w:rPr>
        <w:t>. viešinti Tinklo narių komunikacijos projektų rezultatus;”.</w:t>
      </w:r>
    </w:p>
    <w:p w14:paraId="6C6879C1" w14:textId="4F69F985">
      <w:pPr>
        <w:overflowPunct w:val="0"/>
        <w:spacing w:line="360" w:lineRule="auto"/>
        <w:ind w:firstLine="709"/>
        <w:jc w:val="both"/>
        <w:textAlignment w:val="baseline"/>
        <w:rPr>
          <w:szCs w:val="24"/>
        </w:rPr>
      </w:pPr>
      <w:r>
        <w:rPr>
          <w:szCs w:val="24"/>
        </w:rPr>
        <w:t>9</w:t>
      </w:r>
      <w:r>
        <w:rPr>
          <w:szCs w:val="24"/>
        </w:rPr>
        <w:t>. Pakeičiu 41 punktą ir jį išdėstau taip:</w:t>
      </w:r>
    </w:p>
    <w:p w14:paraId="4BDA16FC" w14:textId="2F2F0C85">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41</w:t>
      </w:r>
      <w:r>
        <w:rPr>
          <w:rFonts w:eastAsia="Calibri"/>
          <w:color w:val="000000"/>
          <w:szCs w:val="24"/>
        </w:rPr>
        <w:t>. Veiksmų programos ir periodinių veiksmų planų įgyvendinimą organizuoja Sekretoriatas ir Tinklo nariai, įgyvendinantys komunikacijos projektus:</w:t>
      </w:r>
    </w:p>
    <w:p w14:paraId="08B0A727" w14:textId="77777777">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41.1</w:t>
      </w:r>
      <w:r>
        <w:rPr>
          <w:rFonts w:eastAsia="Calibri"/>
          <w:color w:val="000000"/>
          <w:szCs w:val="24"/>
        </w:rPr>
        <w:t>. veiklos ir veiksmai, numatyti Veiksmų programoje ir periodiniuose veiksmų planuose, finansuojami iš Tinklo veikloms vykdyti būtinų asignavimų, nustatytų KPP ir Veiksmų programos XI skyriuje;</w:t>
      </w:r>
    </w:p>
    <w:p w14:paraId="7C094254" w14:textId="59953E87">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41.2</w:t>
      </w:r>
      <w:r>
        <w:rPr>
          <w:rFonts w:eastAsia="Calibri"/>
          <w:color w:val="000000"/>
          <w:szCs w:val="24"/>
        </w:rPr>
        <w:t>. rengdamas periodinius veiksmų planus, Sekretoriatas konsultuojasi su Koordinavimo grupe ir (arba) darbo grupėmis ir (arba) Tinklo nariais. Konsultacijos atliekamos vykdant apklausas, kaupiant darbo grupių iškeltas problemas ir siūlymus joms spręsti, analizuojant tyrimų, analizių, statistikos ir kt. duomenis ir (arba) informaciją;</w:t>
      </w:r>
    </w:p>
    <w:p w14:paraId="0A429571" w14:textId="7DE30F7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41.3</w:t>
      </w:r>
      <w:r>
        <w:rPr>
          <w:rFonts w:eastAsia="Calibri"/>
          <w:color w:val="000000"/>
          <w:szCs w:val="24"/>
        </w:rPr>
        <w:t>. Sekretoriatas periodinius veiksmų planus įgyvendina pagal Lietuvos Respublikos viešųjų pirkimų įstatymą. Vadovaudamasis viešųjų pirkimų procedūromis, Sekretoriatas gali pasitelkti išorės vykdytojus ir (arba) organizatorius (paslaugų ir (arba) prekių tiekėjus).”</w:t>
      </w:r>
    </w:p>
    <w:p w14:paraId="0BA2E198" w14:textId="25D15BB9">
      <w:pPr>
        <w:overflowPunct w:val="0"/>
        <w:spacing w:line="360" w:lineRule="auto"/>
        <w:ind w:firstLine="709"/>
        <w:jc w:val="both"/>
        <w:textAlignment w:val="baseline"/>
        <w:rPr>
          <w:szCs w:val="24"/>
        </w:rPr>
      </w:pPr>
      <w:r>
        <w:rPr>
          <w:szCs w:val="24"/>
        </w:rPr>
        <w:t>10</w:t>
      </w:r>
      <w:r>
        <w:rPr>
          <w:szCs w:val="24"/>
        </w:rPr>
        <w:t>. Pakeičiu 44 punktą ir jį išdėstau taip:</w:t>
      </w:r>
    </w:p>
    <w:p w14:paraId="3663F1B8" w14:textId="6491501E">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44</w:t>
      </w:r>
      <w:r>
        <w:rPr>
          <w:rFonts w:eastAsia="Calibri"/>
          <w:color w:val="000000"/>
          <w:szCs w:val="24"/>
        </w:rPr>
        <w:t>. Sekretoriato vykdoma veikla finansuojama vadovaujantis Techninės pagalbos įgyvendinimo taisyklėse nustatyta tvarka. Tinklo narių vykdoma veikla finansuojama vadovaujantis Tinklo įgyvendinimo taisyklėse nustatyta tvarka. Tinklo veiklos finansavimui skiriamos EŽŪFKP ir bendrojo finansavimo lėšos, numatytos valstybės biudžete.“</w:t>
      </w:r>
    </w:p>
    <w:p w14:paraId="1330AF63" w14:textId="0C51E88A">
      <w:pPr>
        <w:overflowPunct w:val="0"/>
        <w:spacing w:line="360" w:lineRule="auto"/>
        <w:ind w:firstLine="709"/>
        <w:jc w:val="both"/>
        <w:textAlignment w:val="baseline"/>
        <w:rPr>
          <w:szCs w:val="24"/>
        </w:rPr>
      </w:pPr>
      <w:r>
        <w:rPr>
          <w:szCs w:val="24"/>
        </w:rPr>
        <w:t>11</w:t>
      </w:r>
      <w:r>
        <w:rPr>
          <w:szCs w:val="24"/>
        </w:rPr>
        <w:t>. Pakeičiu 45 punktą ir jį išdėstau taip:</w:t>
      </w:r>
    </w:p>
    <w:p w14:paraId="333CFAF5" w14:textId="6B08FDF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45</w:t>
      </w:r>
      <w:r>
        <w:rPr>
          <w:rFonts w:eastAsia="Calibri"/>
          <w:color w:val="000000"/>
          <w:szCs w:val="24"/>
        </w:rPr>
        <w:t>. Tinklo sekretoriatas Tinklo 2016–2021 m. finansinių įsipareigojimų plane (5 priedas) ir detaliame metiniame išlaidų plane, pagal įgyvendinamus Tinklo tikslus, metines Tinklo veiklos prioritetines sritis, įvertinant paramos poreikio pagrįstumą, bei pagal Tinklo narių komunikacijos projektams įgyvendinti kasmet numatytas skirti lėšas, suplanuoja techninės pagalbos lėšas, skirtas Tinklo veikloms įgyvendinti.“</w:t>
      </w:r>
    </w:p>
    <w:p w14:paraId="63760C19" w14:textId="4BC50646">
      <w:pPr>
        <w:overflowPunct w:val="0"/>
        <w:spacing w:line="360" w:lineRule="auto"/>
        <w:ind w:firstLine="709"/>
        <w:jc w:val="both"/>
        <w:textAlignment w:val="baseline"/>
        <w:rPr>
          <w:szCs w:val="24"/>
        </w:rPr>
      </w:pPr>
      <w:r>
        <w:rPr>
          <w:szCs w:val="24"/>
        </w:rPr>
        <w:t>12</w:t>
      </w:r>
      <w:r>
        <w:rPr>
          <w:szCs w:val="24"/>
        </w:rPr>
        <w:t>. Pakeičiu 46 punktą ir jį išdėstau taip:</w:t>
      </w:r>
    </w:p>
    <w:p w14:paraId="45745E0C" w14:textId="7448ED36">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46</w:t>
      </w:r>
      <w:r>
        <w:rPr>
          <w:rFonts w:eastAsia="Calibri"/>
          <w:color w:val="000000"/>
          <w:szCs w:val="24"/>
        </w:rPr>
        <w:t>. Sprendimą dėl kas metus skiriamos Tinklo veiklai vykdyti biudžeto sumos priima Lietuvos kaimo plėtros programų valdymo komitetas, sudarytas Lietuvos Respublikos žemės ūkio ministro 2012 m. birželio 7 d. įsakymu Nr. 3D-389 „Dėl Lietuvos kaimo plėtros programų valdymo komiteto sudėties ir darbo reglamento patvirtinimo“. Sprendimas priimamas atsižvelgiant į Tinklo tikslus, Tinklo narių komunikacijos projektams įgyvendinti planuojamas skirti lėšas, Sekretoriatui priskirtas funkcijas bei šioms funkcijoms atlikti būtinus išteklius, Sekretoriato pateiktus metinius išlaidų planus, KPP nuostatas bei į jau skirtų Tinklo veiklai Techninės pagalbos lėšų naudojimo efektyvumą.“</w:t>
      </w:r>
    </w:p>
    <w:p w14:paraId="5F4CBEFC" w14:textId="265F715F">
      <w:pPr>
        <w:overflowPunct w:val="0"/>
        <w:spacing w:line="360" w:lineRule="auto"/>
        <w:ind w:firstLine="709"/>
        <w:jc w:val="both"/>
        <w:textAlignment w:val="baseline"/>
        <w:rPr>
          <w:szCs w:val="24"/>
        </w:rPr>
      </w:pPr>
      <w:r>
        <w:rPr>
          <w:szCs w:val="24"/>
        </w:rPr>
        <w:t>13</w:t>
      </w:r>
      <w:r>
        <w:rPr>
          <w:szCs w:val="24"/>
        </w:rPr>
        <w:t>. Pakeičiu 48 punktą ir jį išdėstau taip:</w:t>
      </w:r>
    </w:p>
    <w:p w14:paraId="30BD2777" w14:textId="2048F6A5">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48</w:t>
      </w:r>
      <w:r>
        <w:rPr>
          <w:rFonts w:eastAsia="Calibri"/>
          <w:color w:val="000000"/>
          <w:szCs w:val="24"/>
        </w:rPr>
        <w:t>. Konkrečios išlaidų kategorijos, skirtos administruoti Tinklo veiklą ir įgyvendinti Veiksmų programą ir periodinius veiksmų planus nustatytos Techninės pagalbos įgyvendinimo taisyklėse ir Tinklo įgyvendinimo taisyklėse.“</w:t>
      </w:r>
    </w:p>
    <w:p w14:paraId="42D72998" w14:textId="01B92BB7">
      <w:pPr>
        <w:overflowPunct w:val="0"/>
        <w:spacing w:line="360" w:lineRule="auto"/>
        <w:ind w:firstLine="709"/>
        <w:jc w:val="both"/>
        <w:textAlignment w:val="baseline"/>
        <w:rPr>
          <w:szCs w:val="24"/>
        </w:rPr>
      </w:pPr>
      <w:r>
        <w:rPr>
          <w:szCs w:val="24"/>
        </w:rPr>
        <w:t>14</w:t>
      </w:r>
      <w:r>
        <w:rPr>
          <w:szCs w:val="24"/>
        </w:rPr>
        <w:t>. Pakeičiu 55 punktą ir jį išdėstau taip:</w:t>
      </w:r>
    </w:p>
    <w:p w14:paraId="4ADB2ABA" w14:textId="640FBB2F">
      <w:pPr>
        <w:overflowPunct w:val="0"/>
        <w:spacing w:line="360" w:lineRule="auto"/>
        <w:ind w:firstLine="709"/>
        <w:jc w:val="both"/>
        <w:textAlignment w:val="baseline"/>
        <w:rPr>
          <w:szCs w:val="24"/>
        </w:rPr>
      </w:pPr>
      <w:r>
        <w:rPr>
          <w:rFonts w:eastAsia="Calibri"/>
          <w:color w:val="000000"/>
          <w:spacing w:val="-17"/>
          <w:szCs w:val="24"/>
        </w:rPr>
        <w:t>„</w:t>
      </w:r>
      <w:r>
        <w:rPr>
          <w:rFonts w:eastAsia="Calibri"/>
          <w:color w:val="000000"/>
          <w:spacing w:val="-17"/>
          <w:szCs w:val="24"/>
        </w:rPr>
        <w:t>55</w:t>
      </w:r>
      <w:r>
        <w:rPr>
          <w:rFonts w:eastAsia="Calibri"/>
          <w:color w:val="000000"/>
          <w:spacing w:val="-17"/>
          <w:szCs w:val="24"/>
        </w:rPr>
        <w:t xml:space="preserve">. </w:t>
      </w:r>
      <w:r>
        <w:rPr>
          <w:rFonts w:eastAsia="Calibri"/>
          <w:color w:val="000000"/>
          <w:szCs w:val="24"/>
        </w:rPr>
        <w:t>Komunikacijos plane ir periodiniame Tinklo veiksmų plane ir periodiniame komunikacijos plane numatytų Sekretoriato komunikacijos priemonių įgyvendinimą administruoja Sekretoriatas. Komunikacijos planui įgyvendinti Sekretoriatas gali pasitelkti Tinklo narius XIII skyriuje nustatyta tvarka. Už Tinklo narių komunikacijos projektų administravimą ir jų įgyvendinimo priežiūros vykdymą atsako Agentūra.”</w:t>
      </w:r>
    </w:p>
    <w:p w14:paraId="5F81E477" w14:textId="642B0520">
      <w:pPr>
        <w:overflowPunct w:val="0"/>
        <w:spacing w:line="360" w:lineRule="auto"/>
        <w:ind w:firstLine="709"/>
        <w:jc w:val="both"/>
        <w:textAlignment w:val="baseline"/>
        <w:rPr>
          <w:szCs w:val="24"/>
        </w:rPr>
      </w:pPr>
      <w:r>
        <w:rPr>
          <w:szCs w:val="24"/>
        </w:rPr>
        <w:t>15</w:t>
      </w:r>
      <w:r>
        <w:rPr>
          <w:szCs w:val="24"/>
        </w:rPr>
        <w:t>. Pakeičiu 56 punktą ir jį išdėstau taip:</w:t>
      </w:r>
    </w:p>
    <w:p w14:paraId="02288A8F" w14:textId="7E3299E3">
      <w:pPr>
        <w:tabs>
          <w:tab w:val="left" w:pos="851"/>
        </w:tabs>
        <w:suppressAutoHyphens/>
        <w:overflowPunct w:val="0"/>
        <w:spacing w:line="360" w:lineRule="auto"/>
        <w:ind w:firstLine="709"/>
        <w:jc w:val="both"/>
        <w:textAlignment w:val="baseline"/>
        <w:rPr>
          <w:rFonts w:eastAsia="Calibri"/>
          <w:strike/>
          <w:color w:val="000000"/>
          <w:szCs w:val="24"/>
        </w:rPr>
      </w:pPr>
      <w:r>
        <w:rPr>
          <w:rFonts w:eastAsia="Calibri"/>
          <w:color w:val="000000"/>
          <w:szCs w:val="24"/>
        </w:rPr>
        <w:t>„</w:t>
      </w:r>
      <w:r>
        <w:rPr>
          <w:rFonts w:eastAsia="Calibri"/>
          <w:color w:val="000000"/>
          <w:szCs w:val="24"/>
        </w:rPr>
        <w:t>56</w:t>
      </w:r>
      <w:r>
        <w:rPr>
          <w:rFonts w:eastAsia="Calibri"/>
          <w:color w:val="000000"/>
          <w:szCs w:val="24"/>
        </w:rPr>
        <w:t>. Sekretoriatas Komunikacijos planui įgyvendinti gali pasitelkti Tinklo narius.”</w:t>
      </w:r>
    </w:p>
    <w:p w14:paraId="0F829C62" w14:textId="0AD47763">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16</w:t>
      </w:r>
      <w:r>
        <w:rPr>
          <w:rFonts w:eastAsia="Calibri"/>
          <w:color w:val="000000"/>
          <w:szCs w:val="24"/>
        </w:rPr>
        <w:t>. Pripažįstu netekusiais galios 57–58 punktus.</w:t>
      </w:r>
    </w:p>
    <w:p w14:paraId="12B8237F" w14:textId="4C384799">
      <w:pPr>
        <w:overflowPunct w:val="0"/>
        <w:spacing w:line="360" w:lineRule="auto"/>
        <w:ind w:firstLine="709"/>
        <w:jc w:val="both"/>
        <w:textAlignment w:val="baseline"/>
        <w:rPr>
          <w:szCs w:val="24"/>
        </w:rPr>
      </w:pPr>
      <w:r>
        <w:rPr>
          <w:szCs w:val="24"/>
        </w:rPr>
        <w:t>17</w:t>
      </w:r>
      <w:r>
        <w:rPr>
          <w:szCs w:val="24"/>
        </w:rPr>
        <w:t>. Pakeičiu 59 punktą ir jį išdėstau taip:</w:t>
      </w:r>
    </w:p>
    <w:p w14:paraId="7FA2F633" w14:textId="70737F2C">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59</w:t>
      </w:r>
      <w:r>
        <w:rPr>
          <w:rFonts w:eastAsia="Calibri"/>
          <w:color w:val="000000"/>
          <w:szCs w:val="24"/>
        </w:rPr>
        <w:t xml:space="preserve">. Tinklo nariai, prisidėdami prie Komunikacijos plano įgyvendinimo vadovaudamiesi </w:t>
      </w:r>
      <w:r>
        <w:rPr>
          <w:rFonts w:eastAsia="Calibri"/>
          <w:color w:val="000000"/>
        </w:rPr>
        <w:t xml:space="preserve">Tinklo įgyvendinimo taisyklių </w:t>
      </w:r>
      <w:r>
        <w:rPr>
          <w:rFonts w:eastAsia="Calibri"/>
          <w:color w:val="000000"/>
          <w:szCs w:val="24"/>
        </w:rPr>
        <w:t>nuostatomis, teikia paramos paraiškas dėl šių komunikacijos priemonių įgyvendinimo:</w:t>
      </w:r>
    </w:p>
    <w:p w14:paraId="29CBF6BE" w14:textId="13F4C4E5">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59.1</w:t>
      </w:r>
      <w:r>
        <w:rPr>
          <w:rFonts w:eastAsia="Calibri"/>
          <w:color w:val="000000"/>
          <w:szCs w:val="24"/>
        </w:rPr>
        <w:t>. teminiai renginiai – renginiai (apskritojo stalo diskusijos, seminarai, konferencijos), skirti didinti suinteresuotųjų subjektų įsitraukimą į kaimo plėtros procesus, pagerinti KPP įgyvendinimo kokybę, informuoti plačiąją visuomenę ir galimus paramos gavėjus apie kaimo plėtros politiką bei KPP, paskatinti inovacijas žemės ūkyje, miškų ūkyje, maisto gamyboje bei kaimo vietovėse;</w:t>
      </w:r>
    </w:p>
    <w:p w14:paraId="6C00AAB3" w14:textId="64ED80F9">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59.2</w:t>
      </w:r>
      <w:r>
        <w:rPr>
          <w:rFonts w:eastAsia="Calibri"/>
          <w:color w:val="000000"/>
          <w:szCs w:val="24"/>
        </w:rPr>
        <w:t>. renginiai „Atviras ūkis“ – vienos dienos renginiai „Atviras ūkis“ (angl. „open farm“), kuriuose vyktų kaimo vietovėse vykdomų žemės ūkio ir (arba) ne žemės ūkio veiklas vykdančių subjektų lankymai, taip parodant visuomenei bei galimiems pareiškėjams apie kaimo vietovėse vykdomų žemės ūkio ir (arba) ne žemės ūkio veiklų rezultatus ir jų teikiamą naudą, taip pat geromis idėjomis skatinant galimus pareiškėjus teikti paramos paraiškas ir įgyvendinti projektus finansuojamus iš KPP lėšų;</w:t>
      </w:r>
    </w:p>
    <w:p w14:paraId="70A17B87" w14:textId="10FFB1F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59.3</w:t>
      </w:r>
      <w:r>
        <w:rPr>
          <w:rFonts w:eastAsia="Calibri"/>
          <w:color w:val="000000"/>
          <w:szCs w:val="24"/>
        </w:rPr>
        <w:t>. renginiai „Gerieji KPP pavyzdžiai“ – gerosios KPP patirties / projektų / inovacijų pavyzdžių rinkimas, su tuo susiję renginiai ir pristatymai, skirti formuoti teigiamą visuomenės nuomonę apie EŽŪFKP bei skleisti informaciją apie geruosius KPP pavyzdžius;</w:t>
      </w:r>
    </w:p>
    <w:p w14:paraId="7E0CD676" w14:textId="3C5A3B06">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59.4</w:t>
      </w:r>
      <w:r>
        <w:rPr>
          <w:rFonts w:eastAsia="Calibri"/>
          <w:color w:val="000000"/>
          <w:szCs w:val="24"/>
        </w:rPr>
        <w:t>. informacinės KPP kampanijos – informacinės kampanijos apie KPP įgyvendinimą, kurios būtų vykdomos įvairių renginių metu (parodos, mugės, susijusios su žemės ūkiu, maisto ūkiu, miškų ūkiu ir kaimo plėtra, renginiai „miesto ūkis“ (angl. „city farm“), kurie padėtų paaiškinti žemės ūkio svarbą miesto gyventojams ir asmenys, susidomėję EŽŪFKP parama ir KPP, galėtų apie tai sužinoti daugiau informacijos, taip pat renginiai, skirti skatinti vaikus bei jaunimą domėtis EŽŪFKP parama, įsitraukti į KPP įgyvendinimą;“.</w:t>
      </w:r>
    </w:p>
    <w:p w14:paraId="02EB5120" w14:textId="56580817">
      <w:pPr>
        <w:overflowPunct w:val="0"/>
        <w:spacing w:line="360" w:lineRule="auto"/>
        <w:ind w:firstLine="709"/>
        <w:jc w:val="both"/>
        <w:textAlignment w:val="baseline"/>
        <w:rPr>
          <w:rFonts w:eastAsia="Calibri"/>
          <w:color w:val="000000"/>
          <w:szCs w:val="24"/>
        </w:rPr>
      </w:pPr>
      <w:r>
        <w:rPr>
          <w:szCs w:val="24"/>
        </w:rPr>
        <w:t>18</w:t>
      </w:r>
      <w:r>
        <w:rPr>
          <w:szCs w:val="24"/>
        </w:rPr>
        <w:t>. Pakeičiu 60 punktą ir jį išdėstau taip:</w:t>
      </w:r>
    </w:p>
    <w:p w14:paraId="21A13DAD" w14:textId="4F1E3B9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60</w:t>
      </w:r>
      <w:r>
        <w:rPr>
          <w:rFonts w:eastAsia="Calibri"/>
          <w:color w:val="000000"/>
          <w:szCs w:val="24"/>
        </w:rPr>
        <w:t>. Tinkamos finansuoti komunikacijos priemonių įgyvendinimui reikalingos išlaidos nurodomos Tinklo įgyvendinimo taisyklėse.“</w:t>
      </w:r>
    </w:p>
    <w:p w14:paraId="5A40B70A" w14:textId="243609E4">
      <w:pPr>
        <w:overflowPunct w:val="0"/>
        <w:spacing w:line="360" w:lineRule="auto"/>
        <w:ind w:firstLine="709"/>
        <w:jc w:val="both"/>
        <w:textAlignment w:val="baseline"/>
        <w:rPr>
          <w:rFonts w:eastAsia="Calibri"/>
          <w:color w:val="000000"/>
          <w:szCs w:val="24"/>
        </w:rPr>
      </w:pPr>
      <w:r>
        <w:rPr>
          <w:szCs w:val="24"/>
        </w:rPr>
        <w:t>19</w:t>
      </w:r>
      <w:r>
        <w:rPr>
          <w:szCs w:val="24"/>
        </w:rPr>
        <w:t>. Pakeičiu 61 punktą ir jį išdėstau taip:</w:t>
      </w:r>
    </w:p>
    <w:p w14:paraId="41C7E9C4" w14:textId="59DCB913">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61</w:t>
      </w:r>
      <w:r>
        <w:rPr>
          <w:rFonts w:eastAsia="Calibri"/>
          <w:color w:val="000000"/>
          <w:szCs w:val="24"/>
        </w:rPr>
        <w:t>. Paramos paraiškas komunikacijos projektams įgyvendinti gali teikti tik į 2014–2020 m. Tinklo narių sąrašą įtraukti ir Tinklo įgyvendinimo taisyklėse nurodytas tinkamumo gauti paramą sąlygas ir reikalavimus atitinkantys Tinklo nariai.“</w:t>
      </w:r>
    </w:p>
    <w:p w14:paraId="121DBBBF" w14:textId="6F256279">
      <w:pPr>
        <w:overflowPunct w:val="0"/>
        <w:spacing w:line="360" w:lineRule="auto"/>
        <w:ind w:firstLine="709"/>
        <w:jc w:val="both"/>
        <w:textAlignment w:val="baseline"/>
        <w:rPr>
          <w:rFonts w:eastAsia="Calibri"/>
          <w:color w:val="000000"/>
          <w:szCs w:val="24"/>
        </w:rPr>
      </w:pPr>
      <w:r>
        <w:rPr>
          <w:szCs w:val="24"/>
        </w:rPr>
        <w:t>20</w:t>
      </w:r>
      <w:r>
        <w:rPr>
          <w:szCs w:val="24"/>
        </w:rPr>
        <w:t>. Pakeičiu 62 punktą ir jį išdėstau taip:</w:t>
      </w:r>
    </w:p>
    <w:p w14:paraId="581279EC" w14:textId="2A899C62">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62</w:t>
      </w:r>
      <w:r>
        <w:rPr>
          <w:rFonts w:eastAsia="Calibri"/>
          <w:color w:val="000000"/>
          <w:szCs w:val="24"/>
        </w:rPr>
        <w:t>. Tinklo narių paramos paraiškos, teikiamos Agentūrai, kuri</w:t>
      </w:r>
      <w:r>
        <w:rPr>
          <w:rFonts w:eastAsia="Calibri"/>
          <w:strike/>
          <w:color w:val="000000"/>
          <w:szCs w:val="24"/>
        </w:rPr>
        <w:t>s,</w:t>
      </w:r>
      <w:r>
        <w:rPr>
          <w:rFonts w:eastAsia="Calibri"/>
          <w:color w:val="000000"/>
          <w:szCs w:val="24"/>
        </w:rPr>
        <w:t xml:space="preserve"> vadovaujantis Tinklo įgyvendinimo taisyklių nuostatomis, atlieka paramos paraiškų  vertinimą, susidedantį iš atrankos vertinimo ir tinkamumo skirti paramą pagal Tinklo įgyvendinimo taisyklėse nuostatas sąlygas, vertinimo.“</w:t>
      </w:r>
    </w:p>
    <w:p w14:paraId="260D9336" w14:textId="2C465E5C">
      <w:pPr>
        <w:overflowPunct w:val="0"/>
        <w:spacing w:line="360" w:lineRule="auto"/>
        <w:ind w:firstLine="709"/>
        <w:jc w:val="both"/>
        <w:textAlignment w:val="baseline"/>
        <w:rPr>
          <w:rFonts w:eastAsia="Calibri"/>
          <w:color w:val="000000"/>
          <w:szCs w:val="24"/>
        </w:rPr>
      </w:pPr>
      <w:r>
        <w:rPr>
          <w:szCs w:val="24"/>
        </w:rPr>
        <w:t>21</w:t>
      </w:r>
      <w:r>
        <w:rPr>
          <w:szCs w:val="24"/>
        </w:rPr>
        <w:t>. Pakeičiu 63 punktą ir jį išdėstau taip:</w:t>
      </w:r>
    </w:p>
    <w:p w14:paraId="5E8B93AD" w14:textId="2264A6E5">
      <w:pPr>
        <w:tabs>
          <w:tab w:val="left" w:pos="851"/>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w:t>
      </w:r>
      <w:r>
        <w:rPr>
          <w:rFonts w:eastAsia="Calibri"/>
          <w:color w:val="000000"/>
          <w:szCs w:val="24"/>
        </w:rPr>
        <w:t>63</w:t>
      </w:r>
      <w:r>
        <w:rPr>
          <w:rFonts w:eastAsia="Calibri"/>
          <w:color w:val="000000"/>
          <w:szCs w:val="24"/>
        </w:rPr>
        <w:t>. Komunikacijos projektų atrankai pasitelkiamas Agentūros sudarytas Projektų atrankos komitetas, kuris teikia rekomendacijas dėl paramos skyrimo ar neskyrimo. Sprendimą dėl paramos skyrimo ar neskyrimo priima Agentūra.“</w:t>
      </w:r>
    </w:p>
    <w:p w14:paraId="3D416EDC" w14:textId="67F4B80A">
      <w:pPr>
        <w:overflowPunct w:val="0"/>
        <w:spacing w:line="360" w:lineRule="auto"/>
        <w:ind w:firstLine="709"/>
        <w:jc w:val="both"/>
        <w:textAlignment w:val="baseline"/>
        <w:rPr>
          <w:szCs w:val="24"/>
        </w:rPr>
      </w:pPr>
      <w:r>
        <w:rPr>
          <w:szCs w:val="24"/>
        </w:rPr>
        <w:t>22</w:t>
      </w:r>
      <w:r>
        <w:rPr>
          <w:szCs w:val="24"/>
        </w:rPr>
        <w:t>. Pripažįstu netekusiu galios XIII skyriaus trečiąjį skirsnį.</w:t>
      </w:r>
    </w:p>
    <w:p w14:paraId="2456691F" w14:textId="1A7AC9AE">
      <w:pPr>
        <w:overflowPunct w:val="0"/>
        <w:spacing w:line="360" w:lineRule="auto"/>
        <w:ind w:firstLine="709"/>
        <w:jc w:val="both"/>
        <w:textAlignment w:val="baseline"/>
        <w:rPr>
          <w:szCs w:val="24"/>
        </w:rPr>
      </w:pPr>
      <w:r>
        <w:rPr>
          <w:szCs w:val="24"/>
        </w:rPr>
        <w:t>23</w:t>
      </w:r>
      <w:r>
        <w:rPr>
          <w:szCs w:val="24"/>
        </w:rPr>
        <w:t xml:space="preserve">. Pakeičiu 5 priedą ir jį  išdėstau nauja redakcija (pridedama).</w:t>
      </w:r>
    </w:p>
    <w:p w14:paraId="316464FC" w14:textId="77777777">
      <w:pPr>
        <w:overflowPunct w:val="0"/>
        <w:spacing w:line="360" w:lineRule="auto"/>
        <w:jc w:val="both"/>
        <w:textAlignment w:val="baseline"/>
      </w:pPr>
    </w:p>
    <w:p w14:paraId="7382DD27" w14:textId="77777777">
      <w:pPr>
        <w:overflowPunct w:val="0"/>
        <w:spacing w:line="360" w:lineRule="auto"/>
        <w:jc w:val="both"/>
        <w:textAlignment w:val="baseline"/>
      </w:pPr>
    </w:p>
    <w:p w14:paraId="7E6B178D" w14:textId="1D5D22F2">
      <w:pPr>
        <w:overflowPunct w:val="0"/>
        <w:spacing w:line="360" w:lineRule="auto"/>
        <w:jc w:val="both"/>
        <w:textAlignment w:val="baseline"/>
      </w:pPr>
      <w:r>
        <w:t xml:space="preserve">Žemės ūkio ministras                                                                                              </w:t>
      </w:r>
    </w:p>
    <w:p w14:paraId="6D737C1F" w14:textId="77777777">
      <w:pPr>
        <w:overflowPunct w:val="0"/>
        <w:ind w:left="10064"/>
        <w:jc w:val="both"/>
        <w:textAlignment w:val="baseline"/>
      </w:pPr>
    </w:p>
    <w:sectPr>
      <w:headerReference w:type="even" r:id="rId7"/>
      <w:headerReference w:type="default" r:id="rId8"/>
      <w:footerReference w:type="even" r:id="rId9"/>
      <w:footerReference w:type="default" r:id="rId10"/>
      <w:headerReference w:type="first" r:id="rId11"/>
      <w:footerReference w:type="first" r:id="rId12"/>
      <w:pgSz w:w="11907" w:h="16840"/>
      <w:pgMar w:top="1134" w:right="680" w:bottom="1418"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AD53" w14:textId="77777777">
      <w:pPr>
        <w:overflowPunct w:val="0"/>
        <w:jc w:val="both"/>
        <w:textAlignment w:val="baseline"/>
        <w:rPr>
          <w:lang w:val="en-GB"/>
        </w:rPr>
      </w:pPr>
      <w:r>
        <w:rPr>
          <w:lang w:val="en-GB"/>
        </w:rPr>
        <w:separator/>
      </w:r>
    </w:p>
  </w:endnote>
  <w:endnote w:type="continuationSeparator" w:id="0">
    <w:p w14:paraId="0F286FBC" w14:textId="77777777">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8F5D" w14:textId="77777777">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490" w14:textId="77777777">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BFCC" w14:textId="77777777">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D0D1" w14:textId="77777777">
      <w:pPr>
        <w:overflowPunct w:val="0"/>
        <w:jc w:val="both"/>
        <w:textAlignment w:val="baseline"/>
        <w:rPr>
          <w:lang w:val="en-GB"/>
        </w:rPr>
      </w:pPr>
      <w:r>
        <w:rPr>
          <w:lang w:val="en-GB"/>
        </w:rPr>
        <w:separator/>
      </w:r>
    </w:p>
  </w:footnote>
  <w:footnote w:type="continuationSeparator" w:id="0">
    <w:p w14:paraId="7EC78457" w14:textId="77777777">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E038" w14:textId="77777777">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87B8" w14:textId="7777777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108B5AFD" w14:textId="77777777">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CB75" w14:textId="078537BC">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733A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76829751">
      <w:bodyDiv w:val="1"/>
      <w:marLeft w:val="0"/>
      <w:marRight w:val="0"/>
      <w:marTop w:val="0"/>
      <w:marBottom w:val="0"/>
      <w:divBdr>
        <w:top w:val="none" w:sz="0" w:space="0" w:color="auto"/>
        <w:left w:val="none" w:sz="0" w:space="0" w:color="auto"/>
        <w:bottom w:val="none" w:sz="0" w:space="0" w:color="auto"/>
        <w:right w:val="none" w:sz="0" w:space="0" w:color="auto"/>
      </w:divBdr>
    </w:div>
    <w:div w:id="1783457831">
      <w:bodyDiv w:val="1"/>
      <w:marLeft w:val="0"/>
      <w:marRight w:val="0"/>
      <w:marTop w:val="0"/>
      <w:marBottom w:val="0"/>
      <w:divBdr>
        <w:top w:val="none" w:sz="0" w:space="0" w:color="auto"/>
        <w:left w:val="none" w:sz="0" w:space="0" w:color="auto"/>
        <w:bottom w:val="none" w:sz="0" w:space="0" w:color="auto"/>
        <w:right w:val="none" w:sz="0" w:space="0" w:color="auto"/>
      </w:divBdr>
      <w:divsChild>
        <w:div w:id="1956716135">
          <w:marLeft w:val="0"/>
          <w:marRight w:val="0"/>
          <w:marTop w:val="0"/>
          <w:marBottom w:val="0"/>
          <w:divBdr>
            <w:top w:val="none" w:sz="0" w:space="0" w:color="auto"/>
            <w:left w:val="none" w:sz="0" w:space="0" w:color="auto"/>
            <w:bottom w:val="none" w:sz="0" w:space="0" w:color="auto"/>
            <w:right w:val="none" w:sz="0" w:space="0" w:color="auto"/>
          </w:divBdr>
          <w:divsChild>
            <w:div w:id="783422068">
              <w:marLeft w:val="0"/>
              <w:marRight w:val="0"/>
              <w:marTop w:val="0"/>
              <w:marBottom w:val="0"/>
              <w:divBdr>
                <w:top w:val="none" w:sz="0" w:space="0" w:color="auto"/>
                <w:left w:val="none" w:sz="0" w:space="0" w:color="auto"/>
                <w:bottom w:val="none" w:sz="0" w:space="0" w:color="auto"/>
                <w:right w:val="none" w:sz="0" w:space="0" w:color="auto"/>
              </w:divBdr>
              <w:divsChild>
                <w:div w:id="1839033853">
                  <w:marLeft w:val="0"/>
                  <w:marRight w:val="0"/>
                  <w:marTop w:val="0"/>
                  <w:marBottom w:val="0"/>
                  <w:divBdr>
                    <w:top w:val="none" w:sz="0" w:space="0" w:color="auto"/>
                    <w:left w:val="none" w:sz="0" w:space="0" w:color="auto"/>
                    <w:bottom w:val="none" w:sz="0" w:space="0" w:color="auto"/>
                    <w:right w:val="none" w:sz="0" w:space="0" w:color="auto"/>
                  </w:divBdr>
                  <w:divsChild>
                    <w:div w:id="1550802073">
                      <w:marLeft w:val="0"/>
                      <w:marRight w:val="0"/>
                      <w:marTop w:val="0"/>
                      <w:marBottom w:val="0"/>
                      <w:divBdr>
                        <w:top w:val="none" w:sz="0" w:space="0" w:color="auto"/>
                        <w:left w:val="none" w:sz="0" w:space="0" w:color="auto"/>
                        <w:bottom w:val="none" w:sz="0" w:space="0" w:color="auto"/>
                        <w:right w:val="none" w:sz="0" w:space="0" w:color="auto"/>
                      </w:divBdr>
                      <w:divsChild>
                        <w:div w:id="582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7821</Characters>
  <Application>Microsoft Office Word</Application>
  <DocSecurity>4</DocSecurity>
  <Lines>142</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8892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2019-05-15T07:28:00Z</dcterms:created>
  <dcterms:modified xsi:type="dcterms:W3CDTF">2019-05-15T07:28:00Z</dcterms:modified>
  <revision>1</revision>
</coreProperties>
</file>