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9cb6c421eca44788f0c354850bc930d"/>
        <w:lock w:val="sdtLocked"/>
        <w:richText/>
      </w:sdtPr>
      <w:sdtContent>
        <w:p>
          <w:pPr>
            <w:ind w:left="7776" w:right="707"/>
            <w:jc w:val="both"/>
            <w:rPr>
              <w:b/>
              <w:bCs/>
              <w:szCs w:val="24"/>
              <w:lang w:eastAsia="lt-LT"/>
            </w:rPr>
          </w:pPr>
          <w:r>
            <w:rPr>
              <w:b/>
              <w:bCs/>
              <w:szCs w:val="24"/>
              <w:lang w:eastAsia="lt-LT"/>
            </w:rPr>
            <w:t>Projektas</w:t>
          </w:r>
        </w:p>
        <w:p>
          <w:pPr>
            <w:ind w:left="6480" w:firstLine="1296"/>
            <w:jc w:val="both"/>
            <w:rPr>
              <w:szCs w:val="24"/>
              <w:lang w:eastAsia="lt-LT"/>
            </w:rPr>
          </w:pPr>
          <w:r>
            <w:rPr>
              <w:szCs w:val="24"/>
              <w:lang w:eastAsia="lt-LT"/>
            </w:rPr>
            <w:t>Nr. TSP-</w:t>
          </w:r>
        </w:p>
        <w:p>
          <w:pPr>
            <w:jc w:val="both"/>
            <w:rPr>
              <w:szCs w:val="24"/>
              <w:lang w:eastAsia="lt-LT"/>
            </w:rPr>
          </w:pPr>
        </w:p>
        <w:p>
          <w:pPr>
            <w:jc w:val="center"/>
            <w:rPr>
              <w:b/>
              <w:szCs w:val="24"/>
              <w:lang w:eastAsia="lt-LT"/>
            </w:rPr>
          </w:pPr>
          <w:r>
            <w:rPr>
              <w:b/>
              <w:szCs w:val="24"/>
              <w:lang w:eastAsia="lt-LT"/>
            </w:rPr>
            <w:t>RADVILIŠKIO RAJONO SAVIVALDYBĖS TARYBA</w:t>
          </w:r>
        </w:p>
        <w:p>
          <w:pPr>
            <w:jc w:val="center"/>
            <w:rPr>
              <w:b/>
              <w:szCs w:val="24"/>
              <w:lang w:eastAsia="lt-LT"/>
            </w:rPr>
          </w:pPr>
        </w:p>
        <w:p>
          <w:pPr>
            <w:jc w:val="center"/>
            <w:rPr>
              <w:b/>
              <w:szCs w:val="24"/>
              <w:lang w:eastAsia="lt-LT"/>
            </w:rPr>
          </w:pPr>
          <w:r>
            <w:rPr>
              <w:b/>
              <w:szCs w:val="24"/>
              <w:lang w:eastAsia="lt-LT"/>
            </w:rPr>
            <w:t>SPRENDIMAS</w:t>
          </w:r>
        </w:p>
        <w:p>
          <w:pPr>
            <w:jc w:val="center"/>
            <w:rPr>
              <w:b/>
              <w:szCs w:val="24"/>
              <w:lang w:eastAsia="lt-LT"/>
            </w:rPr>
          </w:pPr>
          <w:r>
            <w:rPr>
              <w:b/>
              <w:bCs/>
              <w:color w:val="000000"/>
              <w:szCs w:val="24"/>
              <w:lang w:eastAsia="lt-LT"/>
            </w:rPr>
            <w:t>DĖL RADVILIŠKIO RAJONO SAVIVALDYBĖS KONTROLĖS IR AUDITO TARNYBOS FINANSINĖS APSKAITOS TVARKYMO CENTRALIZUOTAI</w:t>
          </w:r>
        </w:p>
        <w:p>
          <w:pPr>
            <w:jc w:val="center"/>
            <w:rPr>
              <w:b/>
              <w:szCs w:val="24"/>
              <w:lang w:eastAsia="lt-LT"/>
            </w:rPr>
          </w:pPr>
        </w:p>
        <w:p>
          <w:pPr>
            <w:jc w:val="center"/>
            <w:rPr>
              <w:szCs w:val="24"/>
              <w:lang w:eastAsia="lt-LT"/>
            </w:rPr>
          </w:pPr>
          <w:r>
            <w:rPr>
              <w:szCs w:val="24"/>
              <w:lang w:eastAsia="lt-LT"/>
            </w:rPr>
            <w:t xml:space="preserve">2025 m.                    d. Nr. T-</w:t>
          </w:r>
        </w:p>
        <w:p>
          <w:pPr>
            <w:jc w:val="center"/>
            <w:rPr>
              <w:szCs w:val="24"/>
              <w:lang w:eastAsia="lt-LT"/>
            </w:rPr>
          </w:pPr>
          <w:r>
            <w:rPr>
              <w:szCs w:val="24"/>
              <w:lang w:eastAsia="lt-LT"/>
            </w:rPr>
            <w:t>Radviliškis</w:t>
          </w:r>
        </w:p>
        <w:p>
          <w:pPr>
            <w:rPr>
              <w:szCs w:val="24"/>
              <w:lang w:eastAsia="lt-LT"/>
            </w:rPr>
          </w:pPr>
        </w:p>
        <w:sdt>
          <w:sdtPr>
            <w:alias w:val="preambule"/>
            <w:tag w:val="part_5c77a882e1fd4addac1015889d6030e7"/>
            <w:lock w:val="sdtLocked"/>
            <w:richText/>
          </w:sdtPr>
          <w:sdtContent>
            <w:p>
              <w:pPr>
                <w:shd w:val="clear" w:color="auto" w:fill="FFFFFF"/>
                <w:ind w:firstLine="851"/>
                <w:jc w:val="both"/>
                <w:rPr>
                  <w:szCs w:val="24"/>
                  <w:shd w:val="clear" w:color="auto" w:fill="FFFFFF"/>
                  <w:lang w:eastAsia="lt-LT"/>
                </w:rPr>
              </w:pPr>
              <w:r>
                <w:rPr>
                  <w:szCs w:val="24"/>
                  <w:lang w:eastAsia="lt-LT"/>
                </w:rPr>
                <w:t>Vadovaudamasi Lietuvos Respublikos vietos savivaldos įstatymo 15 straipsnio 4 dalimi, 67 straipsnio 3 dalimi, Lietuvos Respublikos biudžetinių įstaigų įstatymo 19 straipsnio 1, 3 ir 6 dalimis</w:t>
              </w:r>
              <w:r>
                <w:rPr>
                  <w:szCs w:val="24"/>
                  <w:shd w:val="clear" w:color="auto" w:fill="FFFFFF"/>
                  <w:lang w:eastAsia="lt-LT"/>
                </w:rPr>
                <w:t xml:space="preserve">, Lietuvos Respublikos finansinės apskaitos įstatymo 16 straipsnio 1 dalies 2 punktu Radviliškio rajono savivaldybės taryba </w:t>
              </w:r>
              <w:r>
                <w:rPr>
                  <w:spacing w:val="50"/>
                  <w:szCs w:val="24"/>
                  <w:shd w:val="clear" w:color="auto" w:fill="FFFFFF"/>
                  <w:lang w:eastAsia="lt-LT"/>
                </w:rPr>
                <w:t>nusprendži</w:t>
              </w:r>
              <w:r>
                <w:rPr>
                  <w:szCs w:val="24"/>
                  <w:shd w:val="clear" w:color="auto" w:fill="FFFFFF"/>
                  <w:lang w:eastAsia="lt-LT"/>
                </w:rPr>
                <w:t>a:</w:t>
              </w:r>
            </w:p>
          </w:sdtContent>
        </w:sdt>
        <w:sdt>
          <w:sdtPr>
            <w:alias w:val="1 p."/>
            <w:tag w:val="part_dbb4c394c8e54412bc798bcf8ccecf3d"/>
            <w:lock w:val="sdtLocked"/>
            <w:richText/>
          </w:sdtPr>
          <w:sdtContent>
            <w:p>
              <w:pPr>
                <w:shd w:val="clear" w:color="auto" w:fill="FFFFFF"/>
                <w:tabs>
                  <w:tab w:val="left" w:pos="993"/>
                  <w:tab w:val="left" w:pos="1276"/>
                </w:tabs>
                <w:ind w:firstLine="851"/>
                <w:jc w:val="both"/>
                <w:rPr>
                  <w:szCs w:val="24"/>
                  <w:lang w:eastAsia="lt-LT"/>
                </w:rPr>
              </w:pPr>
              <w:sdt>
                <w:sdtPr>
                  <w:alias w:val="Numeris"/>
                  <w:tag w:val="nr_dbb4c394c8e54412bc798bcf8ccecf3d"/>
                  <w:lock w:val="sdtLocked"/>
                  <w:richText/>
                </w:sdtPr>
                <w:sdtContent>
                  <w:r>
                    <w:rPr>
                      <w:szCs w:val="24"/>
                      <w:lang w:eastAsia="lt-LT"/>
                    </w:rPr>
                    <w:t>1</w:t>
                  </w:r>
                </w:sdtContent>
              </w:sdt>
              <w:r>
                <w:rPr>
                  <w:szCs w:val="24"/>
                  <w:lang w:eastAsia="lt-LT"/>
                </w:rPr>
                <w:t>.</w:t>
                <w:tab/>
                <w:t xml:space="preserve">Nustatyti, kad </w:t>
              </w:r>
              <w:r>
                <w:rPr>
                  <w:szCs w:val="24"/>
                  <w:shd w:val="clear" w:color="auto" w:fill="FFFFFF"/>
                  <w:lang w:eastAsia="lt-LT"/>
                </w:rPr>
                <w:t>Radviliškio rajono savivaldybės kontrolės ir audito tarnybos finansinė apskaita tvarkoma centralizuotai.</w:t>
              </w:r>
            </w:p>
          </w:sdtContent>
        </w:sdt>
        <w:sdt>
          <w:sdtPr>
            <w:alias w:val="2 p."/>
            <w:tag w:val="part_ee60bd1fcb2242a8b594f207d41bcff7"/>
            <w:lock w:val="sdtLocked"/>
            <w:richText/>
          </w:sdtPr>
          <w:sdtContent>
            <w:p>
              <w:pPr>
                <w:shd w:val="clear" w:color="auto" w:fill="FFFFFF"/>
                <w:tabs>
                  <w:tab w:val="left" w:pos="993"/>
                  <w:tab w:val="left" w:pos="1276"/>
                </w:tabs>
                <w:ind w:firstLine="851"/>
                <w:jc w:val="both"/>
                <w:rPr>
                  <w:szCs w:val="24"/>
                  <w:lang w:eastAsia="lt-LT"/>
                </w:rPr>
              </w:pPr>
              <w:sdt>
                <w:sdtPr>
                  <w:alias w:val="Numeris"/>
                  <w:tag w:val="nr_ee60bd1fcb2242a8b594f207d41bcff7"/>
                  <w:lock w:val="sdtLocked"/>
                  <w:richText/>
                </w:sdtPr>
                <w:sdtContent>
                  <w:r>
                    <w:rPr>
                      <w:szCs w:val="24"/>
                      <w:lang w:eastAsia="lt-LT"/>
                    </w:rPr>
                    <w:t>2</w:t>
                  </w:r>
                </w:sdtContent>
              </w:sdt>
              <w:r>
                <w:rPr>
                  <w:szCs w:val="24"/>
                  <w:lang w:eastAsia="lt-LT"/>
                </w:rPr>
                <w:t>.</w:t>
                <w:tab/>
              </w:r>
              <w:r>
                <w:rPr>
                  <w:szCs w:val="24"/>
                  <w:shd w:val="clear" w:color="auto" w:fill="FFFFFF"/>
                  <w:lang w:eastAsia="lt-LT"/>
                </w:rPr>
                <w:t>Pavesti Radviliškio rajono savivaldybės administracijai centralizuotai tvarkyti Radviliškio rajono savivaldybės kontrolės ir audito tarnybos finansinę apskaitą.</w:t>
              </w:r>
            </w:p>
          </w:sdtContent>
        </w:sdt>
        <w:sdt>
          <w:sdtPr>
            <w:alias w:val="3 p."/>
            <w:tag w:val="part_c2c19bda17704a56ac65f91854d506dc"/>
            <w:lock w:val="sdtLocked"/>
            <w:richText/>
          </w:sdtPr>
          <w:sdtContent>
            <w:p>
              <w:pPr>
                <w:shd w:val="clear" w:color="auto" w:fill="FFFFFF"/>
                <w:tabs>
                  <w:tab w:val="left" w:pos="1134"/>
                </w:tabs>
                <w:ind w:firstLine="851"/>
                <w:jc w:val="both"/>
                <w:rPr>
                  <w:szCs w:val="24"/>
                  <w:lang w:eastAsia="lt-LT"/>
                </w:rPr>
              </w:pPr>
              <w:sdt>
                <w:sdtPr>
                  <w:alias w:val="Numeris"/>
                  <w:tag w:val="nr_c2c19bda17704a56ac65f91854d506dc"/>
                  <w:lock w:val="sdtLocked"/>
                  <w:richText/>
                </w:sdtPr>
                <w:sdtContent>
                  <w:r>
                    <w:rPr>
                      <w:szCs w:val="24"/>
                      <w:lang w:eastAsia="lt-LT"/>
                    </w:rPr>
                    <w:t>3</w:t>
                  </w:r>
                </w:sdtContent>
              </w:sdt>
              <w:r>
                <w:rPr>
                  <w:szCs w:val="24"/>
                  <w:lang w:eastAsia="lt-LT"/>
                </w:rPr>
                <w:t>.</w:t>
                <w:tab/>
                <w:t xml:space="preserve"> Pripažinti netekusiu galios Radviliškio rajono savivaldybės tarybos 2012 m. rugpjūčio 23 d. sprendimo Nr. T-344 „Dėl pritarimo Radviliškio rajono savivaldybės kontrolės ir audito tarnybos išvadai dėl Radviliškio rajono savivaldybės 2011 metų biudžeto vykdymo ataskaitų rinkinio, išvadai dėl Radviliškio rajono savivaldybei nuosavybės teise priklausančio turto ir patikėjimo valdomo valstybės turto 2011 metų statistinių ataskaitų ir buhalterinės apskaitos paslaugų teikimo sutarčiai“ 3 punktą.</w:t>
              </w:r>
            </w:p>
            <w:p>
              <w:pPr>
                <w:shd w:val="clear" w:color="auto" w:fill="FFFFFF"/>
                <w:tabs>
                  <w:tab w:val="left" w:pos="1134"/>
                </w:tabs>
                <w:ind w:left="851"/>
                <w:jc w:val="both"/>
                <w:rPr>
                  <w:szCs w:val="24"/>
                  <w:lang w:eastAsia="lt-LT"/>
                </w:rPr>
              </w:pPr>
            </w:p>
            <w:p>
              <w:pPr>
                <w:shd w:val="clear" w:color="auto" w:fill="FFFFFF"/>
                <w:tabs>
                  <w:tab w:val="left" w:pos="1134"/>
                </w:tabs>
                <w:jc w:val="both"/>
                <w:rPr>
                  <w:szCs w:val="24"/>
                  <w:lang w:eastAsia="lt-LT"/>
                </w:rPr>
              </w:pPr>
            </w:p>
            <w:p>
              <w:pPr>
                <w:shd w:val="clear" w:color="auto" w:fill="FFFFFF"/>
                <w:tabs>
                  <w:tab w:val="left" w:pos="1134"/>
                </w:tabs>
                <w:jc w:val="both"/>
                <w:rPr>
                  <w:szCs w:val="24"/>
                  <w:lang w:eastAsia="lt-LT"/>
                </w:rPr>
              </w:pPr>
            </w:p>
            <w:p>
              <w:pPr>
                <w:jc w:val="both"/>
                <w:rPr>
                  <w:szCs w:val="24"/>
                  <w:lang w:eastAsia="lt-LT"/>
                </w:rPr>
              </w:pPr>
              <w:r>
                <w:rPr>
                  <w:szCs w:val="24"/>
                  <w:lang w:eastAsia="lt-LT"/>
                </w:rPr>
                <w:t>Savivaldybės meras</w:t>
                <w:tab/>
                <w:tab/>
                <w:tab/>
                <w:tab/>
                <w:t xml:space="preserve">               </w:t>
              </w:r>
            </w:p>
            <w:p>
              <w:pPr>
                <w:jc w:val="both"/>
                <w:rPr>
                  <w:szCs w:val="24"/>
                  <w:lang w:eastAsia="lt-LT"/>
                </w:rPr>
              </w:pPr>
            </w:p>
            <w:p>
              <w:pPr>
                <w:keepNext/>
                <w:widowControl w:val="0"/>
                <w:tabs>
                  <w:tab w:val="left" w:pos="0"/>
                </w:tabs>
                <w:suppressAutoHyphens/>
                <w:spacing w:line="276" w:lineRule="auto"/>
                <w:jc w:val="center"/>
                <w:outlineLvl w:val="2"/>
                <w:rPr>
                  <w:rFonts w:eastAsia="HG Mincho Light J"/>
                  <w:b/>
                  <w:szCs w:val="24"/>
                  <w:lang w:eastAsia="ar-SA"/>
                </w:rPr>
              </w:pPr>
              <w:r>
                <w:rPr>
                  <w:szCs w:val="24"/>
                  <w:lang w:eastAsia="lt-LT"/>
                </w:rPr>
                <w:br w:type="page"/>
              </w:r>
            </w:p>
          </w:sdtContent>
        </w:sdt>
        <w:sdt>
          <w:sdtPr>
            <w:alias w:val="skirsnis"/>
            <w:tag w:val="part_ae8eac1983374b999147550ae76a1de2"/>
            <w:lock w:val="sdtLocked"/>
            <w:richText/>
          </w:sdtPr>
          <w:sdtContent>
            <w:sdt>
              <w:sdtPr>
                <w:alias w:val="Pavadinimas"/>
                <w:tag w:val="title_ae8eac1983374b999147550ae76a1de2"/>
                <w:lock w:val="sdtLocked"/>
                <w:richText/>
              </w:sdtPr>
              <w:sdtContent>
                <w:p>
                  <w:pPr>
                    <w:widowControl w:val="0"/>
                    <w:suppressAutoHyphens/>
                    <w:jc w:val="center"/>
                    <w:rPr>
                      <w:rFonts w:eastAsia="HG Mincho Light J"/>
                      <w:b/>
                      <w:szCs w:val="24"/>
                      <w:lang w:eastAsia="ar-SA"/>
                    </w:rPr>
                  </w:pPr>
                  <w:r>
                    <w:rPr>
                      <w:rFonts w:eastAsia="HG Mincho Light J"/>
                      <w:b/>
                      <w:szCs w:val="24"/>
                      <w:lang w:eastAsia="ar-SA"/>
                    </w:rPr>
                    <w:t>RADVILIŠKIO RAJONO SAVIVALDYBĖS TARYBOS SPRENDIMO PROJEKTO</w:t>
                  </w:r>
                </w:p>
                <w:p>
                  <w:pPr>
                    <w:jc w:val="center"/>
                    <w:rPr>
                      <w:b/>
                      <w:szCs w:val="24"/>
                      <w:lang w:eastAsia="lt-LT"/>
                    </w:rPr>
                  </w:pPr>
                  <w:r>
                    <w:rPr>
                      <w:rFonts w:eastAsia="HG Mincho Light J"/>
                      <w:b/>
                      <w:szCs w:val="24"/>
                      <w:lang w:eastAsia="ar-SA"/>
                    </w:rPr>
                    <w:t>„</w:t>
                  </w:r>
                  <w:r>
                    <w:rPr>
                      <w:b/>
                      <w:bCs/>
                      <w:color w:val="000000"/>
                      <w:szCs w:val="24"/>
                      <w:lang w:eastAsia="lt-LT"/>
                    </w:rPr>
                    <w:t>DĖL RADVILIŠKIO RAJONO SAVIVALDYBĖS KONTROLĖS IR AUDITO TARNYBOS FINANSINĖS APSKAITOS TVARKYMO CENTRALIZUOTAI“</w:t>
                  </w:r>
                </w:p>
                <w:p>
                  <w:pPr>
                    <w:widowControl w:val="0"/>
                    <w:suppressAutoHyphens/>
                    <w:jc w:val="center"/>
                    <w:rPr>
                      <w:rFonts w:eastAsia="HG Mincho Light J"/>
                      <w:b/>
                      <w:szCs w:val="24"/>
                      <w:lang w:eastAsia="ar-SA"/>
                    </w:rPr>
                  </w:pPr>
                  <w:r>
                    <w:rPr>
                      <w:rFonts w:eastAsia="HG Mincho Light J"/>
                      <w:b/>
                      <w:szCs w:val="24"/>
                      <w:lang w:eastAsia="ar-SA"/>
                    </w:rPr>
                    <w:t>AIŠKINAMASIS RAŠTAS</w:t>
                  </w:r>
                </w:p>
              </w:sdtContent>
            </w:sdt>
            <w:p>
              <w:pPr>
                <w:widowControl w:val="0"/>
                <w:suppressAutoHyphens/>
                <w:jc w:val="center"/>
                <w:rPr>
                  <w:rFonts w:eastAsia="HG Mincho Light J"/>
                  <w:b/>
                  <w:szCs w:val="24"/>
                  <w:lang w:eastAsia="ar-SA"/>
                </w:rPr>
              </w:pPr>
            </w:p>
            <w:p>
              <w:pPr>
                <w:widowControl w:val="0"/>
                <w:suppressAutoHyphens/>
                <w:jc w:val="center"/>
                <w:rPr>
                  <w:rFonts w:eastAsia="HG Mincho Light J"/>
                  <w:bCs/>
                  <w:szCs w:val="24"/>
                  <w:lang w:eastAsia="ar-SA"/>
                </w:rPr>
              </w:pPr>
              <w:r>
                <w:rPr>
                  <w:rFonts w:eastAsia="HG Mincho Light J"/>
                  <w:bCs/>
                  <w:szCs w:val="24"/>
                  <w:lang w:eastAsia="ar-SA"/>
                </w:rPr>
                <w:t>2025 m. vasario 3 d.</w:t>
              </w:r>
            </w:p>
            <w:p>
              <w:pPr>
                <w:widowControl w:val="0"/>
                <w:suppressAutoHyphens/>
                <w:jc w:val="center"/>
                <w:rPr>
                  <w:rFonts w:eastAsia="HG Mincho Light J"/>
                  <w:bCs/>
                  <w:szCs w:val="24"/>
                  <w:lang w:eastAsia="ar-SA"/>
                </w:rPr>
              </w:pPr>
              <w:r>
                <w:rPr>
                  <w:rFonts w:eastAsia="HG Mincho Light J"/>
                  <w:bCs/>
                  <w:szCs w:val="24"/>
                  <w:lang w:eastAsia="ar-SA"/>
                </w:rPr>
                <w:t>Radviliškis</w:t>
              </w:r>
            </w:p>
            <w:p>
              <w:pPr>
                <w:rPr>
                  <w:szCs w:val="24"/>
                  <w:lang w:eastAsia="lt-LT"/>
                </w:rPr>
              </w:pPr>
            </w:p>
            <w:sdt>
              <w:sdtPr>
                <w:alias w:val="1 p."/>
                <w:tag w:val="part_3e973a2cefe44269b6e5729586670fd0"/>
                <w:lock w:val="sdtLocked"/>
                <w:richText/>
              </w:sdtPr>
              <w:sdtContent>
                <w:p>
                  <w:pPr>
                    <w:tabs>
                      <w:tab w:val="left" w:pos="1134"/>
                    </w:tabs>
                    <w:ind w:firstLine="709"/>
                    <w:jc w:val="both"/>
                    <w:rPr>
                      <w:szCs w:val="24"/>
                      <w:lang w:eastAsia="lt-LT" w:bidi="he-IL"/>
                    </w:rPr>
                  </w:pPr>
                  <w:sdt>
                    <w:sdtPr>
                      <w:alias w:val="Numeris"/>
                      <w:tag w:val="nr_3e973a2cefe44269b6e5729586670fd0"/>
                      <w:lock w:val="sdtLocked"/>
                      <w:richText/>
                    </w:sdtPr>
                    <w:sdtContent>
                      <w:r>
                        <w:rPr>
                          <w:b/>
                          <w:szCs w:val="24"/>
                          <w:lang w:eastAsia="lt-LT" w:bidi="he-IL"/>
                        </w:rPr>
                        <w:t>1</w:t>
                      </w:r>
                    </w:sdtContent>
                  </w:sdt>
                  <w:r>
                    <w:rPr>
                      <w:b/>
                      <w:szCs w:val="24"/>
                      <w:lang w:eastAsia="lt-LT" w:bidi="he-IL"/>
                    </w:rPr>
                    <w:t>.</w:t>
                    <w:tab/>
                    <w:t>Projekto rengimą paskatinusios priežastys, parengto projekto tikslai, sprendimo projekto tikslai ir uždaviniai</w:t>
                  </w:r>
                  <w:r>
                    <w:rPr>
                      <w:szCs w:val="24"/>
                      <w:lang w:eastAsia="lt-LT" w:bidi="he-IL"/>
                    </w:rPr>
                    <w:t>.</w:t>
                  </w:r>
                </w:p>
                <w:p>
                  <w:pPr>
                    <w:tabs>
                      <w:tab w:val="left" w:pos="1134"/>
                    </w:tabs>
                    <w:ind w:firstLine="709"/>
                    <w:jc w:val="both"/>
                    <w:rPr>
                      <w:szCs w:val="24"/>
                      <w:lang w:eastAsia="lt-LT" w:bidi="he-IL"/>
                    </w:rPr>
                  </w:pPr>
                  <w:r>
                    <w:rPr>
                      <w:szCs w:val="24"/>
                      <w:lang w:eastAsia="lt-LT"/>
                    </w:rPr>
                    <w:t xml:space="preserve">Radviliškio rajono savivaldybės kontrolės ir audito tarnybos finansinę apskaitą pagal Radviliškio rajono savivaldybės tarybos 2012 m. rugpjūčio 23 d. sprendimo Nr. T-344 „Dėl pritarimo Radviliškio rajono savivaldybės kontrolės ir audito tarnybos išvadai dėl Radviliškio rajono savivaldybės 2011 metų biudžeto vykdymo ataskaitų rinkinio, išvadai dėl Radviliškio rajono savivaldybei nuosavybės teise priklausančio turto ir patikėjimo valdomo valstybės turto 2011 metų statistinių ataskaitų ir buhalterinės apskaitos paslaugų teikimo sutarčiai“ 3 punktu patvirtintą sutartį tvarko Radviliškio rajono savivaldybės Centralizuotos buhalterinės apskaitos skyrius. Lietuvos Respublikos Vyriausybės 2018-05-23 nutarimu Nr. 488 „Dėl centralizuoto viešojo sektoriaus subjektų buhalterinės apskaitos organizavimo tvarkos aprašo patvirtinimo“ patvirtintas Centralizuoto viešojo sektoriaus subjektų buhalterinės apskaitos organizavimo tvarkos aprašas, pagal kurio nuostatas turėtų būti sureguliuotos teisinės normos. Savivaldybės tarybos patvirtinta „Buhalterinės apskaitos paslaugų teikimo sutartis“ neatitinka teisės aktų, todėl šiuo sprendimu siekiama  panaikinti galiojančią sutartį ir pasirašyti naują pagal vyriausybės nutarimų patvirtintą pavyzdinę buhalterinės apskaitos organizavimo sutartį. </w:t>
                  </w:r>
                </w:p>
              </w:sdtContent>
            </w:sdt>
            <w:sdt>
              <w:sdtPr>
                <w:alias w:val="2 p."/>
                <w:tag w:val="part_2ddeec54a5ce4294ade67da191e5873b"/>
                <w:lock w:val="sdtLocked"/>
                <w:richText/>
              </w:sdtPr>
              <w:sdtContent>
                <w:p>
                  <w:pPr>
                    <w:tabs>
                      <w:tab w:val="left" w:pos="993"/>
                    </w:tabs>
                    <w:ind w:firstLine="709"/>
                    <w:jc w:val="both"/>
                    <w:rPr>
                      <w:b/>
                      <w:bCs/>
                      <w:szCs w:val="24"/>
                      <w:lang w:eastAsia="lt-LT"/>
                    </w:rPr>
                  </w:pPr>
                  <w:sdt>
                    <w:sdtPr>
                      <w:alias w:val="Numeris"/>
                      <w:tag w:val="nr_2ddeec54a5ce4294ade67da191e5873b"/>
                      <w:lock w:val="sdtLocked"/>
                      <w:richText/>
                    </w:sdtPr>
                    <w:sdtContent>
                      <w:r>
                        <w:rPr>
                          <w:b/>
                          <w:bCs/>
                          <w:szCs w:val="24"/>
                          <w:lang w:eastAsia="lt-LT"/>
                        </w:rPr>
                        <w:t>2</w:t>
                      </w:r>
                    </w:sdtContent>
                  </w:sdt>
                  <w:r>
                    <w:rPr>
                      <w:b/>
                      <w:bCs/>
                      <w:szCs w:val="24"/>
                      <w:lang w:eastAsia="lt-LT"/>
                    </w:rPr>
                    <w:t>.</w:t>
                    <w:tab/>
                    <w:t>Projekto iniciatoriai (institucija, asmenys ar piliečių atstovai) ir rengėjai.</w:t>
                  </w:r>
                </w:p>
                <w:p>
                  <w:pPr>
                    <w:ind w:firstLine="709"/>
                    <w:jc w:val="both"/>
                    <w:rPr>
                      <w:szCs w:val="24"/>
                      <w:lang w:eastAsia="lt-LT"/>
                    </w:rPr>
                  </w:pPr>
                  <w:r>
                    <w:rPr>
                      <w:szCs w:val="24"/>
                      <w:lang w:eastAsia="lt-LT"/>
                    </w:rPr>
                    <w:t xml:space="preserve">Radviliškio rajono savivaldybės kontrolierius. </w:t>
                  </w:r>
                </w:p>
              </w:sdtContent>
            </w:sdt>
            <w:sdt>
              <w:sdtPr>
                <w:alias w:val="3 p."/>
                <w:tag w:val="part_6dc5d6903f76433784a5f48f79b20b69"/>
                <w:lock w:val="sdtLocked"/>
                <w:richText/>
              </w:sdtPr>
              <w:sdtContent>
                <w:p>
                  <w:pPr>
                    <w:tabs>
                      <w:tab w:val="left" w:pos="993"/>
                    </w:tabs>
                    <w:ind w:firstLine="709"/>
                    <w:jc w:val="both"/>
                    <w:rPr>
                      <w:szCs w:val="24"/>
                      <w:lang w:eastAsia="lt-LT"/>
                    </w:rPr>
                  </w:pPr>
                  <w:sdt>
                    <w:sdtPr>
                      <w:alias w:val="Numeris"/>
                      <w:tag w:val="nr_6dc5d6903f76433784a5f48f79b20b69"/>
                      <w:lock w:val="sdtLocked"/>
                      <w:richText/>
                    </w:sdtPr>
                    <w:sdtContent>
                      <w:r>
                        <w:rPr>
                          <w:b/>
                          <w:szCs w:val="24"/>
                          <w:lang w:eastAsia="lt-LT"/>
                        </w:rPr>
                        <w:t>3</w:t>
                      </w:r>
                    </w:sdtContent>
                  </w:sdt>
                  <w:r>
                    <w:rPr>
                      <w:b/>
                      <w:szCs w:val="24"/>
                      <w:lang w:eastAsia="lt-LT"/>
                    </w:rPr>
                    <w:t>.</w:t>
                    <w:tab/>
                    <w:t>Kaip šiuo metu yra reguliuojami sprendimo projekte aptarti teisiniai santykiai.</w:t>
                  </w:r>
                </w:p>
                <w:p>
                  <w:pPr>
                    <w:ind w:firstLine="709"/>
                    <w:jc w:val="both"/>
                    <w:rPr>
                      <w:szCs w:val="24"/>
                      <w:lang w:eastAsia="lt-LT"/>
                    </w:rPr>
                  </w:pPr>
                  <w:r>
                    <w:rPr>
                      <w:szCs w:val="24"/>
                      <w:lang w:eastAsia="lt-LT"/>
                    </w:rPr>
                    <w:t>Radviliškio rajono savivaldybės kontrolės ir audito tarnybos finansinę apskaitą pagal Radviliškio rajono savivaldybės tarybos 2012 m. rugpjūčio 23 d. sprendimo Nr. T-344 „Dėl pritarimo Radviliškio rajono savivaldybės kontrolės ir audito tarnybos išvadai dėl Radviliškio rajono savivaldybės 2011 metų biudžeto vykdymo ataskaitų rinkinio, išvadai dėl Radviliškio rajono savivaldybei nuosavybės teise priklausančio turto ir patikėjimo valdomo valstybės turto 2011 metų statistinių ataskaitų ir buhalterinės apskaitos paslaugų teikimo sutarčiai“ 3 punktu patvirtintą sutartį tvarko Radviliškio rajono savivaldybės Centralizuotos buhalterinės apskaitos skyrius.</w:t>
                  </w:r>
                </w:p>
              </w:sdtContent>
            </w:sdt>
            <w:sdt>
              <w:sdtPr>
                <w:alias w:val="4 p."/>
                <w:tag w:val="part_502d459df7714e5f824a3a1b6208e8d0"/>
                <w:lock w:val="sdtLocked"/>
                <w:richText/>
              </w:sdtPr>
              <w:sdtContent>
                <w:p>
                  <w:pPr>
                    <w:tabs>
                      <w:tab w:val="left" w:pos="993"/>
                    </w:tabs>
                    <w:ind w:firstLine="709"/>
                    <w:jc w:val="both"/>
                    <w:rPr>
                      <w:b/>
                      <w:bCs/>
                      <w:szCs w:val="24"/>
                      <w:lang w:eastAsia="lt-LT"/>
                    </w:rPr>
                  </w:pPr>
                  <w:sdt>
                    <w:sdtPr>
                      <w:alias w:val="Numeris"/>
                      <w:tag w:val="nr_502d459df7714e5f824a3a1b6208e8d0"/>
                      <w:lock w:val="sdtLocked"/>
                      <w:richText/>
                    </w:sdtPr>
                    <w:sdtContent>
                      <w:r>
                        <w:rPr>
                          <w:b/>
                          <w:bCs/>
                          <w:szCs w:val="24"/>
                          <w:lang w:eastAsia="lt-LT"/>
                        </w:rPr>
                        <w:t>4</w:t>
                      </w:r>
                    </w:sdtContent>
                  </w:sdt>
                  <w:r>
                    <w:rPr>
                      <w:b/>
                      <w:bCs/>
                      <w:szCs w:val="24"/>
                      <w:lang w:eastAsia="lt-LT"/>
                    </w:rPr>
                    <w:t>.</w:t>
                    <w:tab/>
                    <w:t xml:space="preserve">Kokios siūlomos naujos teisinio reguliavimo nuostatos, kokių teigiamų rezultatų laukiama. </w:t>
                  </w:r>
                </w:p>
                <w:p>
                  <w:pPr>
                    <w:ind w:left="709"/>
                    <w:jc w:val="both"/>
                    <w:rPr>
                      <w:szCs w:val="24"/>
                      <w:lang w:eastAsia="lt-LT"/>
                    </w:rPr>
                  </w:pPr>
                  <w:r>
                    <w:rPr>
                      <w:szCs w:val="24"/>
                      <w:lang w:eastAsia="lt-LT"/>
                    </w:rPr>
                    <w:t xml:space="preserve">Rezultatai nenumatomi. </w:t>
                  </w:r>
                </w:p>
              </w:sdtContent>
            </w:sdt>
            <w:sdt>
              <w:sdtPr>
                <w:alias w:val="5 p."/>
                <w:tag w:val="part_dd7a37980a124b138ede19584f723c6d"/>
                <w:lock w:val="sdtLocked"/>
                <w:richText/>
              </w:sdtPr>
              <w:sdtContent>
                <w:p>
                  <w:pPr>
                    <w:tabs>
                      <w:tab w:val="left" w:pos="993"/>
                    </w:tabs>
                    <w:ind w:firstLine="709"/>
                    <w:jc w:val="both"/>
                    <w:rPr>
                      <w:b/>
                      <w:bCs/>
                      <w:szCs w:val="24"/>
                      <w:lang w:eastAsia="lt-LT"/>
                    </w:rPr>
                  </w:pPr>
                  <w:sdt>
                    <w:sdtPr>
                      <w:alias w:val="Numeris"/>
                      <w:tag w:val="nr_dd7a37980a124b138ede19584f723c6d"/>
                      <w:lock w:val="sdtLocked"/>
                      <w:richText/>
                    </w:sdtPr>
                    <w:sdtContent>
                      <w:r>
                        <w:rPr>
                          <w:b/>
                          <w:bCs/>
                          <w:szCs w:val="24"/>
                          <w:lang w:eastAsia="lt-LT"/>
                        </w:rPr>
                        <w:t>5</w:t>
                      </w:r>
                    </w:sdtContent>
                  </w:sdt>
                  <w:r>
                    <w:rPr>
                      <w:b/>
                      <w:bCs/>
                      <w:szCs w:val="24"/>
                      <w:lang w:eastAsia="lt-LT"/>
                    </w:rPr>
                    <w:t>.</w:t>
                    <w:tab/>
                    <w:t>Galimos neigiamos priimto sprendimo projekto pasekmės ir kokių priemonių reikėtų imtis, kad tokių pasekmių būtų išvengta.</w:t>
                  </w:r>
                </w:p>
                <w:p>
                  <w:pPr>
                    <w:ind w:firstLine="709"/>
                    <w:jc w:val="both"/>
                    <w:rPr>
                      <w:szCs w:val="24"/>
                      <w:lang w:eastAsia="lt-LT"/>
                    </w:rPr>
                  </w:pPr>
                  <w:r>
                    <w:rPr>
                      <w:szCs w:val="24"/>
                      <w:lang w:eastAsia="lt-LT"/>
                    </w:rPr>
                    <w:t xml:space="preserve">Neigiamų pasekmių nenumatoma. </w:t>
                  </w:r>
                </w:p>
              </w:sdtContent>
            </w:sdt>
            <w:sdt>
              <w:sdtPr>
                <w:alias w:val="6 p."/>
                <w:tag w:val="part_c37b7730720e4fd492c1c229e1d4dac9"/>
                <w:lock w:val="sdtLocked"/>
                <w:richText/>
              </w:sdtPr>
              <w:sdtContent>
                <w:p>
                  <w:pPr>
                    <w:tabs>
                      <w:tab w:val="left" w:pos="993"/>
                    </w:tabs>
                    <w:ind w:firstLine="709"/>
                    <w:jc w:val="both"/>
                    <w:rPr>
                      <w:b/>
                      <w:bCs/>
                      <w:szCs w:val="24"/>
                      <w:lang w:eastAsia="lt-LT"/>
                    </w:rPr>
                  </w:pPr>
                  <w:sdt>
                    <w:sdtPr>
                      <w:alias w:val="Numeris"/>
                      <w:tag w:val="nr_c37b7730720e4fd492c1c229e1d4dac9"/>
                      <w:lock w:val="sdtLocked"/>
                      <w:richText/>
                    </w:sdtPr>
                    <w:sdtContent>
                      <w:r>
                        <w:rPr>
                          <w:b/>
                          <w:bCs/>
                          <w:szCs w:val="24"/>
                          <w:lang w:eastAsia="lt-LT"/>
                        </w:rPr>
                        <w:t>6</w:t>
                      </w:r>
                    </w:sdtContent>
                  </w:sdt>
                  <w:r>
                    <w:rPr>
                      <w:b/>
                      <w:bCs/>
                      <w:szCs w:val="24"/>
                      <w:lang w:eastAsia="lt-LT"/>
                    </w:rPr>
                    <w:t>.</w:t>
                    <w:tab/>
                    <w:t xml:space="preserve">Kokius teisės aktus būtina priimti, kokius galiojančius teisės aktus būtina pakeisti ar pripažinti netekusiais galios priėmus sprendimo projektą. </w:t>
                  </w:r>
                </w:p>
                <w:p>
                  <w:pPr>
                    <w:ind w:firstLine="851"/>
                    <w:jc w:val="both"/>
                    <w:rPr>
                      <w:szCs w:val="24"/>
                      <w:lang w:eastAsia="lt-LT"/>
                    </w:rPr>
                  </w:pPr>
                  <w:r>
                    <w:rPr>
                      <w:szCs w:val="24"/>
                      <w:lang w:eastAsia="lt-LT"/>
                    </w:rPr>
                    <w:t>Pripažinti netekusiu galios Radviliškio rajono savivaldybės tarybos 2012 m. rugpjūčio 23 d. sprendimo Nr. T-344 „Dėl pritarimo Radviliškio rajono savivaldybės kontrolės ir audito tarnybos išvadai dėl Radviliškio rajono savivaldybės 2011 metų biudžeto vykdymo ataskaitų rinkinio, išvadai dėl Radviliškio rajono savivaldybei nuosavybės teise priklausančio turto ir patikėjimo valdomo valstybės turto 2011 metų statistinių ataskaitų ir buhalterinės apskaitos paslaugų teikimo sutarčiai“ 3 punktą.</w:t>
                  </w:r>
                </w:p>
              </w:sdtContent>
            </w:sdt>
            <w:sdt>
              <w:sdtPr>
                <w:alias w:val="7 p."/>
                <w:tag w:val="part_05c99187ae4f4da6ad252b8d166b42ca"/>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05c99187ae4f4da6ad252b8d166b42ca"/>
                      <w:lock w:val="sdtLocked"/>
                      <w:richText/>
                    </w:sdtPr>
                    <w:sdtContent>
                      <w:r>
                        <w:rPr>
                          <w:b/>
                          <w:szCs w:val="24"/>
                          <w:lang w:eastAsia="lt-LT"/>
                        </w:rPr>
                        <w:t>7</w:t>
                      </w:r>
                    </w:sdtContent>
                  </w:sdt>
                  <w:r>
                    <w:rPr>
                      <w:b/>
                      <w:szCs w:val="24"/>
                      <w:lang w:eastAsia="lt-LT"/>
                    </w:rPr>
                    <w:t>.</w:t>
                    <w:tab/>
                    <w:t>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r>
                    <w:rPr>
                      <w:bCs/>
                      <w:szCs w:val="24"/>
                      <w:lang w:eastAsia="lt-LT"/>
                    </w:rPr>
                    <w:t xml:space="preserve">Papildomų lėšų sprendimui įgyvendinti nereikės. </w:t>
                  </w:r>
                </w:p>
              </w:sdtContent>
            </w:sdt>
            <w:sdt>
              <w:sdtPr>
                <w:alias w:val="8 p."/>
                <w:tag w:val="part_094a826d000d4744b8d60284c33c93ab"/>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094a826d000d4744b8d60284c33c93ab"/>
                      <w:lock w:val="sdtLocked"/>
                      <w:richText/>
                    </w:sdtPr>
                    <w:sdtContent>
                      <w:r>
                        <w:rPr>
                          <w:b/>
                          <w:szCs w:val="24"/>
                          <w:lang w:eastAsia="lt-LT"/>
                        </w:rPr>
                        <w:t>8</w:t>
                      </w:r>
                    </w:sdtContent>
                  </w:sdt>
                  <w:r>
                    <w:rPr>
                      <w:b/>
                      <w:szCs w:val="24"/>
                      <w:lang w:eastAsia="lt-LT"/>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r>
                    <w:rPr>
                      <w:bCs/>
                      <w:szCs w:val="24"/>
                      <w:lang w:eastAsia="lt-LT"/>
                    </w:rPr>
                    <w:t>Sprendimo projektas</w:t>
                  </w:r>
                  <w:r>
                    <w:rPr>
                      <w:b/>
                      <w:szCs w:val="24"/>
                      <w:lang w:eastAsia="lt-LT"/>
                    </w:rPr>
                    <w:t xml:space="preserve"> </w:t>
                  </w:r>
                  <w:r>
                    <w:rPr>
                      <w:bCs/>
                      <w:szCs w:val="24"/>
                      <w:lang w:eastAsia="lt-LT"/>
                    </w:rPr>
                    <w:t>suderintas su Radviliškio rajono savivaldybės administracijos juridinio skyriaus vedėju, Radviliškio rajono savivaldybės tarybos posėdžių sekretoriumi, atsakingu už Savivaldybės tarybos sprendimų projektų kalbos taisyklingumą, Radviliškio rajono savivaldybės administracijos direktore.</w:t>
                  </w:r>
                </w:p>
              </w:sdtContent>
            </w:sdt>
            <w:sdt>
              <w:sdtPr>
                <w:alias w:val="9 p."/>
                <w:tag w:val="part_f9636fdc2ce34ffda6cde33df8ecec10"/>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f9636fdc2ce34ffda6cde33df8ecec10"/>
                      <w:lock w:val="sdtLocked"/>
                      <w:richText/>
                    </w:sdtPr>
                    <w:sdtContent>
                      <w:r>
                        <w:rPr>
                          <w:b/>
                          <w:szCs w:val="24"/>
                          <w:lang w:eastAsia="lt-LT"/>
                        </w:rPr>
                        <w:t>9</w:t>
                      </w:r>
                    </w:sdtContent>
                  </w:sdt>
                  <w:r>
                    <w:rPr>
                      <w:b/>
                      <w:szCs w:val="24"/>
                      <w:lang w:eastAsia="lt-LT"/>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r>
                    <w:rPr>
                      <w:bCs/>
                      <w:szCs w:val="24"/>
                      <w:lang w:eastAsia="lt-LT"/>
                    </w:rPr>
                    <w:t xml:space="preserve">Rezultatai nenumatomi. </w:t>
                  </w:r>
                </w:p>
              </w:sdtContent>
            </w:sdt>
            <w:sdt>
              <w:sdtPr>
                <w:alias w:val="10 p."/>
                <w:tag w:val="part_a618a820efb246668b9fd69aea5aa4ec"/>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sdt>
                    <w:sdtPr>
                      <w:alias w:val="Numeris"/>
                      <w:tag w:val="nr_a618a820efb246668b9fd69aea5aa4ec"/>
                      <w:lock w:val="sdtLocked"/>
                      <w:richText/>
                    </w:sdtPr>
                    <w:sdtContent>
                      <w:r>
                        <w:rPr>
                          <w:b/>
                          <w:bCs/>
                          <w:szCs w:val="24"/>
                          <w:lang w:eastAsia="lt-LT"/>
                        </w:rPr>
                        <w:t>10</w:t>
                      </w:r>
                    </w:sdtContent>
                  </w:sdt>
                  <w:r>
                    <w:rPr>
                      <w:b/>
                      <w:bCs/>
                      <w:szCs w:val="24"/>
                      <w:lang w:eastAsia="lt-LT"/>
                    </w:rPr>
                    <w:t>.</w:t>
                    <w:tab/>
                  </w:r>
                  <w:r>
                    <w:rPr>
                      <w:rFonts w:eastAsia="Calibri"/>
                      <w:b/>
                      <w:szCs w:val="24"/>
                      <w:lang w:eastAsia="ar-SA"/>
                    </w:rPr>
                    <w:t>Sprendimo projekto antikorupcinis vertinimas.</w:t>
                  </w:r>
                </w:p>
                <w:p>
                  <w:pPr>
                    <w:tabs>
                      <w:tab w:val="left" w:pos="1134"/>
                    </w:tabs>
                    <w:ind w:firstLine="709"/>
                    <w:rPr>
                      <w:rFonts w:eastAsia="Calibri"/>
                      <w:szCs w:val="24"/>
                      <w:lang w:eastAsia="lt-LT"/>
                    </w:rPr>
                  </w:pPr>
                  <w:r>
                    <w:rPr>
                      <w:rFonts w:eastAsia="Calibri"/>
                      <w:szCs w:val="24"/>
                      <w:lang w:eastAsia="lt-LT"/>
                    </w:rPr>
                    <w:t>Teisės akto projektas antikorupciniam vertinimui neteikiamas.</w:t>
                  </w:r>
                </w:p>
              </w:sdtContent>
            </w:sdt>
            <w:sdt>
              <w:sdtPr>
                <w:alias w:val="11 p."/>
                <w:tag w:val="part_33d6c5bffa644f49b4e5b8ed946adcff"/>
                <w:lock w:val="sdtLocked"/>
                <w:richText/>
              </w:sdtPr>
              <w:sdtContent>
                <w:p>
                  <w:pPr>
                    <w:tabs>
                      <w:tab w:val="left" w:pos="1134"/>
                    </w:tabs>
                    <w:ind w:firstLine="709"/>
                    <w:rPr>
                      <w:rFonts w:eastAsia="Calibri"/>
                      <w:b/>
                      <w:bCs/>
                      <w:szCs w:val="24"/>
                      <w:lang w:eastAsia="lt-LT"/>
                    </w:rPr>
                  </w:pPr>
                  <w:sdt>
                    <w:sdtPr>
                      <w:alias w:val="Numeris"/>
                      <w:tag w:val="nr_33d6c5bffa644f49b4e5b8ed946adcff"/>
                      <w:lock w:val="sdtLocked"/>
                      <w:richText/>
                    </w:sdtPr>
                    <w:sdtContent>
                      <w:r>
                        <w:rPr>
                          <w:rFonts w:eastAsia="Calibri"/>
                          <w:b/>
                          <w:bCs/>
                          <w:szCs w:val="24"/>
                          <w:lang w:eastAsia="lt-LT"/>
                        </w:rPr>
                        <w:t>11</w:t>
                      </w:r>
                    </w:sdtContent>
                  </w:sdt>
                  <w:r>
                    <w:rPr>
                      <w:rFonts w:eastAsia="Calibri"/>
                      <w:b/>
                      <w:bCs/>
                      <w:szCs w:val="24"/>
                      <w:lang w:eastAsia="lt-LT"/>
                    </w:rPr>
                    <w:t>.</w:t>
                    <w:tab/>
                    <w:t xml:space="preserve">Kiti, iniciatoriaus nuomone, reikalingi pagrindimai ir paaiškinimai. </w:t>
                  </w:r>
                </w:p>
                <w:p>
                  <w:pPr>
                    <w:tabs>
                      <w:tab w:val="left" w:pos="1134"/>
                    </w:tabs>
                    <w:ind w:left="709"/>
                    <w:rPr>
                      <w:rFonts w:eastAsia="Calibri"/>
                      <w:szCs w:val="24"/>
                      <w:lang w:eastAsia="lt-LT"/>
                    </w:rPr>
                  </w:pPr>
                  <w:r>
                    <w:rPr>
                      <w:rFonts w:eastAsia="Calibri"/>
                      <w:szCs w:val="24"/>
                      <w:lang w:eastAsia="lt-LT"/>
                    </w:rPr>
                    <w:t>Papildomų paaiškinimų nėra.</w:t>
                  </w:r>
                </w:p>
              </w:sdtContent>
            </w:sdt>
            <w:sdt>
              <w:sdtPr>
                <w:alias w:val="12 p."/>
                <w:tag w:val="part_c6ec759e9ba24ea89806be5a79d0ea06"/>
                <w:lock w:val="sdtLocked"/>
                <w:richText/>
              </w:sdtPr>
              <w:sdtContent>
                <w:p>
                  <w:pPr>
                    <w:tabs>
                      <w:tab w:val="left" w:pos="1134"/>
                    </w:tabs>
                    <w:ind w:firstLine="709"/>
                    <w:rPr>
                      <w:rFonts w:eastAsia="Calibri"/>
                      <w:b/>
                      <w:bCs/>
                      <w:szCs w:val="24"/>
                      <w:lang w:eastAsia="lt-LT"/>
                    </w:rPr>
                  </w:pPr>
                  <w:sdt>
                    <w:sdtPr>
                      <w:alias w:val="Numeris"/>
                      <w:tag w:val="nr_c6ec759e9ba24ea89806be5a79d0ea06"/>
                      <w:lock w:val="sdtLocked"/>
                      <w:richText/>
                    </w:sdtPr>
                    <w:sdtContent>
                      <w:r>
                        <w:rPr>
                          <w:rFonts w:eastAsia="Calibri"/>
                          <w:b/>
                          <w:bCs/>
                          <w:szCs w:val="24"/>
                          <w:lang w:eastAsia="lt-LT"/>
                        </w:rPr>
                        <w:t>12</w:t>
                      </w:r>
                    </w:sdtContent>
                  </w:sdt>
                  <w:r>
                    <w:rPr>
                      <w:rFonts w:eastAsia="Calibri"/>
                      <w:b/>
                      <w:bCs/>
                      <w:szCs w:val="24"/>
                      <w:lang w:eastAsia="lt-LT"/>
                    </w:rPr>
                    <w:t>.</w:t>
                    <w:tab/>
                    <w:t xml:space="preserve">Pridedami dokumentai. </w:t>
                  </w:r>
                </w:p>
                <w:p>
                  <w:pPr>
                    <w:ind w:firstLine="709"/>
                    <w:jc w:val="both"/>
                    <w:rPr>
                      <w:szCs w:val="24"/>
                      <w:lang w:eastAsia="lt-LT"/>
                    </w:rPr>
                  </w:pPr>
                  <w:r>
                    <w:rPr>
                      <w:szCs w:val="24"/>
                      <w:lang w:eastAsia="lt-LT"/>
                    </w:rPr>
                    <w:t xml:space="preserve">Nėra. </w:t>
                  </w:r>
                </w:p>
                <w:p>
                  <w:pPr>
                    <w:jc w:val="both"/>
                    <w:rPr>
                      <w:szCs w:val="24"/>
                      <w:highlight w:val="yellow"/>
                      <w:lang w:eastAsia="lt-LT"/>
                    </w:rPr>
                  </w:pPr>
                </w:p>
                <w:p>
                  <w:pPr>
                    <w:jc w:val="both"/>
                    <w:rPr>
                      <w:szCs w:val="24"/>
                      <w:highlight w:val="yellow"/>
                      <w:lang w:eastAsia="lt-LT"/>
                    </w:rPr>
                  </w:pPr>
                </w:p>
                <w:p>
                  <w:pPr>
                    <w:jc w:val="both"/>
                    <w:rPr>
                      <w:szCs w:val="24"/>
                      <w:highlight w:val="yellow"/>
                      <w:lang w:eastAsia="lt-LT"/>
                    </w:rPr>
                  </w:pPr>
                </w:p>
              </w:sdtContent>
            </w:sdt>
          </w:sdtContent>
        </w:sdt>
        <w:sdt>
          <w:sdtPr>
            <w:alias w:val="signatura"/>
            <w:tag w:val="part_3d051553d92e4c808fff3bcc5db5901e"/>
            <w:lock w:val="sdtLocked"/>
            <w:richText/>
          </w:sdtPr>
          <w:sdtContent>
            <w:p>
              <w:pPr>
                <w:jc w:val="both"/>
                <w:rPr>
                  <w:szCs w:val="24"/>
                  <w:lang w:eastAsia="lt-LT"/>
                </w:rPr>
              </w:pPr>
              <w:r>
                <w:rPr>
                  <w:szCs w:val="24"/>
                  <w:lang w:eastAsia="lt-LT"/>
                </w:rPr>
                <w:t xml:space="preserve">Savivaldybės kontrolierė                                                                                             Giedrė Sinkevičienė</w:t>
              </w:r>
            </w:p>
            <w:p>
              <w:pPr>
                <w:widowControl w:val="0"/>
                <w:tabs>
                  <w:tab w:val="left" w:pos="710"/>
                </w:tabs>
                <w:suppressAutoHyphens/>
                <w:spacing w:line="276" w:lineRule="auto"/>
                <w:ind w:left="1211"/>
                <w:jc w:val="both"/>
                <w:rPr>
                  <w:rFonts w:eastAsia="HG Mincho Light J"/>
                  <w:szCs w:val="24"/>
                  <w:lang w:eastAsia="ar-SA"/>
                </w:rPr>
              </w:pPr>
            </w:p>
            <w:p>
              <w:pPr>
                <w:widowControl w:val="0"/>
                <w:tabs>
                  <w:tab w:val="left" w:pos="710"/>
                </w:tabs>
                <w:suppressAutoHyphens/>
                <w:jc w:val="both"/>
                <w:rPr>
                  <w:rFonts w:eastAsia="HG Mincho Light J"/>
                  <w:szCs w:val="24"/>
                  <w:lang w:eastAsia="ar-SA"/>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57"/>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0D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D395187-2602-493F-8E49-C4B6BEC3757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05802777">
      <w:bodyDiv w:val="1"/>
      <w:marLeft w:val="0"/>
      <w:marRight w:val="0"/>
      <w:marTop w:val="0"/>
      <w:marBottom w:val="0"/>
      <w:divBdr>
        <w:top w:val="none" w:sz="0" w:space="0" w:color="auto"/>
        <w:left w:val="none" w:sz="0" w:space="0" w:color="auto"/>
        <w:bottom w:val="none" w:sz="0" w:space="0" w:color="auto"/>
        <w:right w:val="none" w:sz="0" w:space="0" w:color="auto"/>
      </w:divBdr>
    </w:div>
    <w:div w:id="438181655">
      <w:bodyDiv w:val="1"/>
      <w:marLeft w:val="0"/>
      <w:marRight w:val="0"/>
      <w:marTop w:val="0"/>
      <w:marBottom w:val="0"/>
      <w:divBdr>
        <w:top w:val="none" w:sz="0" w:space="0" w:color="auto"/>
        <w:left w:val="none" w:sz="0" w:space="0" w:color="auto"/>
        <w:bottom w:val="none" w:sz="0" w:space="0" w:color="auto"/>
        <w:right w:val="none" w:sz="0" w:space="0" w:color="auto"/>
      </w:divBdr>
    </w:div>
    <w:div w:id="1001469902">
      <w:bodyDiv w:val="1"/>
      <w:marLeft w:val="0"/>
      <w:marRight w:val="0"/>
      <w:marTop w:val="0"/>
      <w:marBottom w:val="0"/>
      <w:divBdr>
        <w:top w:val="none" w:sz="0" w:space="0" w:color="auto"/>
        <w:left w:val="none" w:sz="0" w:space="0" w:color="auto"/>
        <w:bottom w:val="none" w:sz="0" w:space="0" w:color="auto"/>
        <w:right w:val="none" w:sz="0" w:space="0" w:color="auto"/>
      </w:divBdr>
      <w:divsChild>
        <w:div w:id="1490944151">
          <w:marLeft w:val="0"/>
          <w:marRight w:val="0"/>
          <w:marTop w:val="0"/>
          <w:marBottom w:val="0"/>
          <w:divBdr>
            <w:top w:val="none" w:sz="0" w:space="0" w:color="auto"/>
            <w:left w:val="none" w:sz="0" w:space="0" w:color="auto"/>
            <w:bottom w:val="none" w:sz="0" w:space="0" w:color="auto"/>
            <w:right w:val="none" w:sz="0" w:space="0" w:color="auto"/>
          </w:divBdr>
          <w:divsChild>
            <w:div w:id="995378924">
              <w:marLeft w:val="0"/>
              <w:marRight w:val="0"/>
              <w:marTop w:val="0"/>
              <w:marBottom w:val="0"/>
              <w:divBdr>
                <w:top w:val="none" w:sz="0" w:space="0" w:color="auto"/>
                <w:left w:val="none" w:sz="0" w:space="0" w:color="auto"/>
                <w:bottom w:val="none" w:sz="0" w:space="0" w:color="auto"/>
                <w:right w:val="none" w:sz="0" w:space="0" w:color="auto"/>
              </w:divBdr>
              <w:divsChild>
                <w:div w:id="877208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325219">
      <w:bodyDiv w:val="1"/>
      <w:marLeft w:val="0"/>
      <w:marRight w:val="0"/>
      <w:marTop w:val="0"/>
      <w:marBottom w:val="0"/>
      <w:divBdr>
        <w:top w:val="none" w:sz="0" w:space="0" w:color="auto"/>
        <w:left w:val="none" w:sz="0" w:space="0" w:color="auto"/>
        <w:bottom w:val="none" w:sz="0" w:space="0" w:color="auto"/>
        <w:right w:val="none" w:sz="0" w:space="0" w:color="auto"/>
      </w:divBdr>
    </w:div>
    <w:div w:id="1131629579">
      <w:bodyDiv w:val="1"/>
      <w:marLeft w:val="0"/>
      <w:marRight w:val="0"/>
      <w:marTop w:val="0"/>
      <w:marBottom w:val="0"/>
      <w:divBdr>
        <w:top w:val="none" w:sz="0" w:space="0" w:color="auto"/>
        <w:left w:val="none" w:sz="0" w:space="0" w:color="auto"/>
        <w:bottom w:val="none" w:sz="0" w:space="0" w:color="auto"/>
        <w:right w:val="none" w:sz="0" w:space="0" w:color="auto"/>
      </w:divBdr>
    </w:div>
    <w:div w:id="1292132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e8fb9555da847f3874387ce8c70856b" PartId="49cb6c421eca44788f0c354850bc930d">
    <Part Type="preambule" DocPartId="ec4591bbfda9423daea4d54544df89f9" PartId="5c77a882e1fd4addac1015889d6030e7"/>
    <Part Type="punktas" Nr="1" Abbr="1 p." DocPartId="1c7471b8c31c434eb3f648285c3d615c" PartId="dbb4c394c8e54412bc798bcf8ccecf3d"/>
    <Part Type="punktas" Nr="2" Abbr="2 p." DocPartId="6d3531f433c2499b8a158a3985eca3ed" PartId="ee60bd1fcb2242a8b594f207d41bcff7"/>
    <Part Type="punktas" Nr="3" Abbr="3 p." DocPartId="6e9f3bb766be485590d491e7b6bdf899" PartId="c2c19bda17704a56ac65f91854d506dc"/>
    <Part Type="skirsnis" Title="RADVILIŠKIO RAJONO SAVIVALDYBĖS TARYBOS SPRENDIMO PROJEKTO „DĖL RADVILIŠKIO RAJONO SAVIVALDYBĖS KONTROLĖS IR AUDITO TARNYBOS FINANSINĖS APSKAITOS TVARKYMO CENTRALIZUOTAI“ AIŠKINAMASIS RAŠTAS" DocPartId="a0ae509d365f4efab595900e6db3b322" PartId="ae8eac1983374b999147550ae76a1de2">
      <Part Type="punktas" Nr="1" Abbr="1 p." DocPartId="a466da8aefcc424c8bcc0d1c9e357876" PartId="3e973a2cefe44269b6e5729586670fd0"/>
      <Part Type="punktas" Nr="2" Abbr="2 p." DocPartId="8dcaf5e8de224d639f671cc1503a2772" PartId="2ddeec54a5ce4294ade67da191e5873b"/>
      <Part Type="punktas" Nr="3" Abbr="3 p." DocPartId="f9160efe4433470ba7d129c9887a00ed" PartId="6dc5d6903f76433784a5f48f79b20b69"/>
      <Part Type="punktas" Nr="4" Abbr="4 p." DocPartId="305a3acdcd8046adb368ff71498e28a9" PartId="502d459df7714e5f824a3a1b6208e8d0"/>
      <Part Type="punktas" Nr="5" Abbr="5 p." DocPartId="4e70e287add74ecd83add9b553e43cda" PartId="dd7a37980a124b138ede19584f723c6d"/>
      <Part Type="punktas" Nr="6" Abbr="6 p." DocPartId="01134f4efa944010b03a1707a049aa46" PartId="c37b7730720e4fd492c1c229e1d4dac9"/>
      <Part Type="punktas" Nr="7" Abbr="7 p." DocPartId="4ab8da66f4ff4b12949d258cfbcf52f2" PartId="05c99187ae4f4da6ad252b8d166b42ca"/>
      <Part Type="punktas" Nr="8" Abbr="8 p." DocPartId="582f9c49db224e40a09570faa2c7b4a6" PartId="094a826d000d4744b8d60284c33c93ab"/>
      <Part Type="punktas" Nr="9" Abbr="9 p." DocPartId="5a4a9082d2df429bbc5bb771afb05b08" PartId="f9636fdc2ce34ffda6cde33df8ecec10"/>
      <Part Type="punktas" Nr="10" Abbr="10 p." DocPartId="e860ab51c124412e8f08a36136cc4635" PartId="a618a820efb246668b9fd69aea5aa4ec"/>
      <Part Type="punktas" Nr="11" Abbr="11 p." DocPartId="266aff4833424d23a55ac51f141f0752" PartId="33d6c5bffa644f49b4e5b8ed946adcff"/>
      <Part Type="punktas" Nr="12" Abbr="12 p." DocPartId="29ab0b3d52cf4e3fa8fdddaca5a6d491" PartId="c6ec759e9ba24ea89806be5a79d0ea06"/>
    </Part>
    <Part Type="signatura" DocPartId="628723f0ae36420cb7b1b381f77d3033" PartId="3d051553d92e4c808fff3bcc5db5901e"/>
  </Part>
</Parts>
</file>

<file path=customXml/itemProps1.xml><?xml version="1.0" encoding="utf-8"?>
<ds:datastoreItem xmlns:ds="http://schemas.openxmlformats.org/officeDocument/2006/customXml" ds:itemID="{B7F979B0-94F2-4E2A-8AEC-76BCE816920F}">
  <ds:schemaRefs>
    <ds:schemaRef ds:uri="http://schemas.openxmlformats.org/officeDocument/2006/bibliography"/>
  </ds:schemaRefs>
</ds:datastoreItem>
</file>

<file path=customXml/itemProps2.xml><?xml version="1.0" encoding="utf-8"?>
<ds:datastoreItem xmlns:ds="http://schemas.openxmlformats.org/officeDocument/2006/customXml" ds:itemID="{01746989-0005-4AB7-B95C-C5C653415C0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672</Words>
  <Characters>5122</Characters>
  <Application>Microsoft Office Word</Application>
  <DocSecurity>4</DocSecurity>
  <Lines>104</Lines>
  <Paragraphs>48</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5746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2025-03-13T12:25:00Z</dcterms:created>
  <dc:creator>1</dc:creator>
  <lastModifiedBy>adlibuser</lastModifiedBy>
  <lastPrinted>2023-04-12T07:06:00Z</lastPrinted>
  <dcterms:modified xsi:type="dcterms:W3CDTF">2025-03-13T12:25:00Z</dcterms:modified>
  <revision>2</revision>
  <dc:title>Projektas</dc:title>
</coreProperties>
</file>