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ffcb70802cc4a518498b9c627942e68"/>
        <w:lock w:val="sdtLocked"/>
        <w:richText/>
      </w:sdtPr>
      <w:sdtContent>
        <w:p w14:paraId="456296B9" w14:textId="77777777">
          <w:pPr>
            <w:tabs>
              <w:tab w:val="center" w:pos="4819"/>
              <w:tab w:val="right" w:pos="9638"/>
            </w:tabs>
          </w:pPr>
        </w:p>
        <w:p w14:paraId="57157140" w14:textId="77777777">
          <w:pPr>
            <w:tabs>
              <w:tab w:val="center" w:pos="4819"/>
              <w:tab w:val="right" w:pos="9638"/>
            </w:tabs>
          </w:pPr>
        </w:p>
        <w:p w14:paraId="6CA6989C" w14:textId="77777777">
          <w:pPr>
            <w:tabs>
              <w:tab w:val="center" w:pos="4819"/>
              <w:tab w:val="right" w:pos="9638"/>
            </w:tabs>
            <w:jc w:val="center"/>
            <w:rPr>
              <w:szCs w:val="24"/>
            </w:rPr>
          </w:pPr>
          <w:r>
            <w:rPr>
              <w:szCs w:val="24"/>
              <w:lang w:val="en-US"/>
            </w:rPr>
            <w:drawing>
              <wp:inline distT="0" distB="0" distL="0" distR="0" wp14:anchorId="0204A6C8" wp14:editId="077EFA37">
                <wp:extent cx="454182" cy="533400"/>
                <wp:effectExtent l="0" t="0" r="0" b="0"/>
                <wp:docPr id="100003" name="Paveikslėlis 100003" descr="A black and white logo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3" name="Paveikslėlis 100003" descr="A black and white logo  Description automatically generated"/>
                        <pic:cNvPicPr>
                          <a:picLocks noChangeAspect="1"/>
                        </pic:cNvPicPr>
                      </pic:nvPicPr>
                      <pic:blipFill>
                        <a:blip r:embed="rId7"/>
                        <a:stretch>
                          <a:fillRect/>
                        </a:stretch>
                      </pic:blipFill>
                      <pic:spPr>
                        <a:xfrm>
                          <a:off x="0" y="0"/>
                          <a:ext cx="454182" cy="533400"/>
                        </a:xfrm>
                        <a:prstGeom prst="rect">
                          <a:avLst/>
                        </a:prstGeom>
                      </pic:spPr>
                    </pic:pic>
                  </a:graphicData>
                </a:graphic>
              </wp:inline>
            </w:drawing>
          </w:r>
        </w:p>
        <w:p w14:paraId="4E399C3F" w14:textId="77777777">
          <w:pPr>
            <w:tabs>
              <w:tab w:val="center" w:pos="4819"/>
              <w:tab w:val="right" w:pos="9638"/>
            </w:tabs>
            <w:jc w:val="center"/>
            <w:rPr>
              <w:szCs w:val="24"/>
            </w:rPr>
          </w:pPr>
        </w:p>
        <w:p w14:paraId="132BF53B" w14:textId="77777777">
          <w:pPr>
            <w:tabs>
              <w:tab w:val="center" w:pos="4819"/>
              <w:tab w:val="right" w:pos="9638"/>
            </w:tabs>
            <w:jc w:val="center"/>
            <w:rPr>
              <w:b/>
              <w:bCs/>
              <w:szCs w:val="24"/>
            </w:rPr>
          </w:pPr>
          <w:r>
            <w:rPr>
              <w:b/>
              <w:bCs/>
              <w:szCs w:val="24"/>
            </w:rPr>
            <w:t>LIETUVOS RESPUBLIKOS SVEIKATOS APSAUGOS MINISTERIJA</w:t>
          </w:r>
        </w:p>
        <w:p w14:paraId="186B91D5" w14:textId="77777777">
          <w:pPr>
            <w:tabs>
              <w:tab w:val="center" w:pos="4819"/>
              <w:tab w:val="right" w:pos="9638"/>
            </w:tabs>
            <w:jc w:val="center"/>
            <w:rPr>
              <w:szCs w:val="24"/>
            </w:rPr>
          </w:pPr>
        </w:p>
        <w:p w14:paraId="71C65119" w14:textId="77777777"/>
        <w:tbl>
          <w:tblPr>
            <w:tblW w:w="9639" w:type="dxa"/>
            <w:jc w:val="center"/>
            <w:tblLayout w:type="fixed"/>
            <w:tblCellMar>
              <w:left w:w="0" w:type="dxa"/>
              <w:right w:w="0" w:type="dxa"/>
            </w:tblCellMar>
            <w:tblLook w:val="0000" w:firstRow="0" w:lastRow="0" w:firstColumn="0" w:lastColumn="0" w:noHBand="0" w:noVBand="0"/>
          </w:tblPr>
          <w:tblGrid>
            <w:gridCol w:w="5538"/>
            <w:gridCol w:w="1425"/>
            <w:gridCol w:w="426"/>
            <w:gridCol w:w="2250"/>
          </w:tblGrid>
          <w:tr w14:paraId="7A45EB71" w14:textId="77777777">
            <w:trPr>
              <w:cantSplit/>
              <w:trHeight w:val="270"/>
              <w:jc w:val="center"/>
            </w:trPr>
            <w:tc>
              <w:tcPr>
                <w:tcW w:w="5538" w:type="dxa"/>
                <w:vMerge w:val="restart"/>
              </w:tcPr>
              <w:p w14:paraId="6022192D" w14:textId="5AE8B268">
                <w:pPr>
                  <w:ind w:left="-284" w:firstLine="284"/>
                  <w:rPr>
                    <w:szCs w:val="24"/>
                  </w:rPr>
                </w:pPr>
                <w:r>
                  <w:rPr>
                    <w:szCs w:val="24"/>
                  </w:rPr>
                  <w:t>Lietuvos Respublikos Vyriausybei</w:t>
                </w:r>
              </w:p>
              <w:p w14:paraId="172CBF2C" w14:textId="77777777">
                <w:pPr>
                  <w:rPr>
                    <w:rFonts w:eastAsia="Calibri"/>
                    <w:szCs w:val="24"/>
                  </w:rPr>
                </w:pPr>
              </w:p>
            </w:tc>
            <w:tc>
              <w:tcPr>
                <w:tcW w:w="1425" w:type="dxa"/>
              </w:tcPr>
              <w:p w14:paraId="2AAEBD13" w14:textId="3F905E5A">
                <w:pPr>
                  <w:ind w:firstLine="62"/>
                  <w:rPr>
                    <w:rFonts w:eastAsia="Calibri"/>
                    <w:szCs w:val="24"/>
                  </w:rPr>
                </w:pPr>
                <w:r>
                  <w:rPr>
                    <w:rFonts w:eastAsia="Calibri"/>
                    <w:szCs w:val="24"/>
                  </w:rPr>
                  <w:t>2026-</w:t>
                </w:r>
                <w:r>
                  <w:rPr>
                    <w:rFonts w:eastAsia="Calibri"/>
                    <w:szCs w:val="24"/>
                    <w:lang w:val="en-US"/>
                  </w:rPr>
                  <w:t>07</w:t>
                </w:r>
                <w:r>
                  <w:rPr>
                    <w:rFonts w:eastAsia="Calibri"/>
                    <w:szCs w:val="24"/>
                  </w:rPr>
                  <w:t>-</w:t>
                </w:r>
              </w:p>
            </w:tc>
            <w:tc>
              <w:tcPr>
                <w:tcW w:w="426" w:type="dxa"/>
              </w:tcPr>
              <w:p w14:paraId="0C983D53" w14:textId="77777777">
                <w:pPr>
                  <w:rPr>
                    <w:rFonts w:eastAsia="Calibri"/>
                    <w:szCs w:val="24"/>
                  </w:rPr>
                </w:pPr>
                <w:r>
                  <w:rPr>
                    <w:rFonts w:eastAsia="Calibri"/>
                    <w:szCs w:val="24"/>
                  </w:rPr>
                  <w:t>Nr.</w:t>
                </w:r>
              </w:p>
            </w:tc>
            <w:tc>
              <w:tcPr>
                <w:tcW w:w="2250" w:type="dxa"/>
              </w:tcPr>
              <w:p w14:paraId="47754E34" w14:textId="77777777">
                <w:pPr>
                  <w:rPr>
                    <w:rFonts w:eastAsia="Calibri"/>
                    <w:szCs w:val="24"/>
                  </w:rPr>
                </w:pPr>
              </w:p>
            </w:tc>
          </w:tr>
          <w:tr w14:paraId="2F7BB79E" w14:textId="77777777">
            <w:trPr>
              <w:cantSplit/>
              <w:trHeight w:val="270"/>
              <w:jc w:val="center"/>
            </w:trPr>
            <w:tc>
              <w:tcPr>
                <w:tcW w:w="5538" w:type="dxa"/>
                <w:vMerge/>
              </w:tcPr>
              <w:p w14:paraId="676643FC" w14:textId="77777777">
                <w:pPr>
                  <w:ind w:right="708"/>
                  <w:rPr>
                    <w:rFonts w:eastAsia="Calibri"/>
                    <w:szCs w:val="24"/>
                  </w:rPr>
                </w:pPr>
              </w:p>
            </w:tc>
            <w:tc>
              <w:tcPr>
                <w:tcW w:w="1425" w:type="dxa"/>
              </w:tcPr>
              <w:p w14:paraId="594B1727" w14:textId="77777777">
                <w:pPr>
                  <w:ind w:right="-142"/>
                  <w:rPr>
                    <w:rFonts w:eastAsia="Calibri"/>
                    <w:szCs w:val="24"/>
                  </w:rPr>
                </w:pPr>
              </w:p>
            </w:tc>
            <w:tc>
              <w:tcPr>
                <w:tcW w:w="426" w:type="dxa"/>
              </w:tcPr>
              <w:p w14:paraId="30C40FA1" w14:textId="77777777">
                <w:pPr>
                  <w:rPr>
                    <w:rFonts w:eastAsia="Calibri"/>
                    <w:szCs w:val="24"/>
                  </w:rPr>
                </w:pPr>
              </w:p>
            </w:tc>
            <w:tc>
              <w:tcPr>
                <w:tcW w:w="2250" w:type="dxa"/>
              </w:tcPr>
              <w:p w14:paraId="6C9872DF" w14:textId="77777777">
                <w:pPr>
                  <w:rPr>
                    <w:szCs w:val="24"/>
                    <w:shd w:val="clear" w:color="auto" w:fill="FFFFFF"/>
                  </w:rPr>
                </w:pPr>
              </w:p>
            </w:tc>
          </w:tr>
        </w:tbl>
        <w:p w14:paraId="6D15258B" w14:textId="77777777">
          <w:pPr>
            <w:keepLines/>
            <w:widowControl w:val="0"/>
            <w:pBdr>
              <w:top w:val="nil"/>
              <w:left w:val="nil"/>
              <w:bottom w:val="nil"/>
              <w:right w:val="nil"/>
              <w:between w:val="nil"/>
              <w:bar w:val="nil"/>
            </w:pBdr>
            <w:suppressAutoHyphens/>
            <w:jc w:val="both"/>
            <w:rPr>
              <w:b/>
              <w:bCs/>
              <w:szCs w:val="24"/>
            </w:rPr>
          </w:pPr>
        </w:p>
        <w:sdt>
          <w:sdtPr>
            <w:alias w:val="skirsnis"/>
            <w:tag w:val="part_c1131c55b219432baf26336d2c789762"/>
            <w:lock w:val="sdtLocked"/>
            <w:richText/>
          </w:sdtPr>
          <w:sdtContent>
            <w:p w14:paraId="0FFA8318" w14:textId="0447A2B3">
              <w:pPr>
                <w:keepLines/>
                <w:widowControl w:val="0"/>
                <w:pBdr>
                  <w:top w:val="nil"/>
                  <w:left w:val="nil"/>
                  <w:bottom w:val="nil"/>
                  <w:right w:val="nil"/>
                  <w:between w:val="nil"/>
                  <w:bar w:val="nil"/>
                </w:pBdr>
                <w:suppressAutoHyphens/>
                <w:ind w:firstLine="372"/>
                <w:jc w:val="both"/>
                <w:rPr>
                  <w:b/>
                  <w:bCs/>
                  <w:color w:val="000000"/>
                  <w:szCs w:val="24"/>
                  <w:lang w:val="en-GB"/>
                </w:rPr>
              </w:pPr>
              <w:sdt>
                <w:sdtPr>
                  <w:alias w:val="Pavadinimas"/>
                  <w:tag w:val="title_c1131c55b219432baf26336d2c789762"/>
                  <w:lock w:val="sdtLocked"/>
                  <w:richText/>
                </w:sdtPr>
                <w:sdtContent>
                  <w:r>
                    <w:rPr>
                      <w:b/>
                      <w:bCs/>
                      <w:color w:val="000000"/>
                      <w:szCs w:val="24"/>
                      <w:lang w:val="en-GB"/>
                    </w:rPr>
                    <w:t>DĖL VYRIAUSYBĖS NUTARIMO PROJEKTO</w:t>
                  </w:r>
                </w:sdtContent>
              </w:sdt>
            </w:p>
            <w:p w14:paraId="15E96FC3" w14:textId="77777777">
              <w:pPr>
                <w:keepLines/>
                <w:widowControl w:val="0"/>
                <w:pBdr>
                  <w:top w:val="nil"/>
                  <w:left w:val="nil"/>
                  <w:bottom w:val="nil"/>
                  <w:right w:val="nil"/>
                  <w:between w:val="nil"/>
                  <w:bar w:val="nil"/>
                </w:pBdr>
                <w:suppressAutoHyphens/>
                <w:jc w:val="both"/>
                <w:rPr>
                  <w:rFonts w:eastAsia="Arial Unicode MS" w:cs="Arial Unicode MS"/>
                  <w:b/>
                  <w:bCs/>
                  <w:caps/>
                  <w:color w:val="000000"/>
                  <w:szCs w:val="24"/>
                  <w:bdr w:val="nil"/>
                  <w:lang w:eastAsia="lt-LT"/>
                </w:rPr>
              </w:pPr>
            </w:p>
            <w:p w14:paraId="1AD34B99" w14:textId="2C1120AA">
              <w:pPr>
                <w:widowControl w:val="0"/>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09"/>
                <w:jc w:val="both"/>
                <w:textAlignment w:val="baseline"/>
                <w:rPr>
                  <w:color w:val="000000"/>
                  <w:szCs w:val="24"/>
                </w:rPr>
              </w:pPr>
              <w:r>
                <w:rPr>
                  <w:color w:val="000000"/>
                  <w:szCs w:val="24"/>
                </w:rPr>
                <w:t>Lietuvos Respublikos sveikatos apsaugos ministerija (toliau – Ministerija) parengė ir teikia Lietuvos Respublikos Vyriausybės nutarimo „Dėl nekilnojamojo turto perdavimo Kauno rajono savivaldybės nuosavybėn“ projektą (toliau – Nutarimo projektas).</w:t>
              </w:r>
            </w:p>
            <w:p w14:paraId="37BD466A" w14:textId="0C07A01B">
              <w:pPr>
                <w:widowControl w:val="0"/>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09"/>
                <w:jc w:val="both"/>
                <w:textAlignment w:val="baseline"/>
                <w:rPr>
                  <w:color w:val="000000"/>
                  <w:szCs w:val="24"/>
                </w:rPr>
              </w:pPr>
              <w:r>
                <w:rPr>
                  <w:color w:val="000000"/>
                  <w:szCs w:val="24"/>
                </w:rPr>
                <w:t>Nutarimo projektas parengtas vadovaujantis Lietuvos Respublikos valstybės ir savivaldybių turto valdymo, naudojimo ir disponavimo juo įstatymo 6 straipsnio 2 punktu ir 19 straipsnio 1 dalies 5 punktu, Lietuvos Respublikos vietos savivaldos įstatymo 6 straipsnio 5, 8, 17, 18, 29 ir 38 punktais, įgyvendinant Valstybės turto perdavimo patikėjimo teise ir savivaldybių nuosavybėn tvarkos aprašą, patvirtintą Lietuvos Respublikos Vyriausybės 2001 m. sausio 5 d. nutarimu Nr. 16 „Dėl valstybės turto perdavimo patikėjimo teise ir savivaldybių nuosavybėn“, ir atsižvelgiant į Kauno rajono savivaldybės tarybos 2026 m. gegužės 28 d. sprendimą Nr. TS-187 „Dėl nekilnojamojo turto Kauno r. sav., Kačerginės mstl. perėmimo Kauno rajono savivaldybės nuosavybėn“.</w:t>
              </w:r>
            </w:p>
            <w:p w14:paraId="3F926C56" w14:textId="77777777">
              <w:pPr>
                <w:widowControl w:val="0"/>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09"/>
                <w:jc w:val="both"/>
                <w:textAlignment w:val="baseline"/>
                <w:rPr>
                  <w:color w:val="000000"/>
                  <w:szCs w:val="24"/>
                </w:rPr>
              </w:pPr>
              <w:r>
                <w:rPr>
                  <w:color w:val="000000"/>
                  <w:szCs w:val="24"/>
                </w:rPr>
                <w:t>Nutarimo projektu siūloma perduoti Kauno rajono</w:t>
              </w:r>
              <w:r>
                <w:rPr>
                  <w:bCs/>
                  <w:color w:val="000000"/>
                  <w:szCs w:val="24"/>
                </w:rPr>
                <w:t xml:space="preserve"> </w:t>
              </w:r>
              <w:r>
                <w:rPr>
                  <w:color w:val="000000"/>
                  <w:szCs w:val="24"/>
                </w:rPr>
                <w:t>savivaldybės nuosavybėn savarankiškosioms savivaldybės funkcijoms įgyvendinti valstybei nuosavybės teise priklausantį ir šiuo metu Lietuvos sveikatos mokslų universiteto Kauno ligoninės (toliau – Kauno ligoninė) patikėjimo teise pagal valstybės turto patikėjimo sutartį valdomą nekilnojamąjį turtą, esantį Kauno r. sav., Kačerginėje, Juozo Zikaro g. 14, nurodytą šio nutarimo priede.</w:t>
              </w:r>
            </w:p>
            <w:p w14:paraId="55E11E88" w14:textId="23F32C23">
              <w:pPr>
                <w:widowControl w:val="0"/>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09"/>
                <w:jc w:val="both"/>
                <w:textAlignment w:val="baseline"/>
                <w:rPr>
                  <w:color w:val="000000"/>
                  <w:szCs w:val="24"/>
                </w:rPr>
              </w:pPr>
              <w:r>
                <w:rPr>
                  <w:color w:val="000000"/>
                  <w:szCs w:val="24"/>
                </w:rPr>
                <w:t>Nekilnojamasis turtas, esantis Kauno r. sav., Kačerginėje, J. Zikaro g. 14, naudojamas Kauno ligoninės Vaikų ligų klinikos Vaikų reabilitacijos skyriaus „Žibutė“ veiklai vykdyti.</w:t>
              </w:r>
              <w:r>
                <w:t xml:space="preserve"> </w:t>
              </w:r>
              <w:r>
                <w:rPr>
                  <w:color w:val="000000"/>
                  <w:szCs w:val="24"/>
                </w:rPr>
                <w:t xml:space="preserve">Vaikų reabilitacijos skyrius „Žibutė“ yra vienas iš šešių vaikų stacionarinės medicininės reabilitacijos centrų Lietuvoje, veikiantis nuo 1962 metų. Komplekso pastatai pastatyti 1962 m. ir, nepaisant vykdytų remonto darbų bei nuolatinės priežiūros, jų infrastruktūra yra morališkai pasenusi ir nebeatitinka šiuolaikinių medicininės reabilitacijos paslaugų organizavimo poreikių. Apskaitos duomenimis, 2021 m. sausio 1 d.–2026 m. gegužės 31 d. laikotarpiu pastatų ir patalpų paprastojo remonto darbams, prekėms ir paslaugoms panaudota 134 824,17 Eur, tačiau šios investicijos užtikrino tik saugų turto eksploatavimą ir nepašalino esminių infrastruktūros trūkumų. Kompleksui būtina kompleksinė rekonstrukcija, kurios mastas ir vertė reikšmingai viršija Kauno ligoninės finansines galimybes. Perdavus Nutarimo projekte nurodytą nekilnojamą turtą Kauno rajono savivaldybės nuosavybėn, būtų įgyvendinamos savivaldybės savarankiškosios funkcijos: 1. pirminės asmens ir visuomenės sveikatos priežiūra (įstaigų steigimas, reorganizavimas, likvidavimas, biudžetinių įstaigų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 2. savivaldybių sveikatinimo priemonių planavimas ir įgyvendinimas, parama savivaldybės gyventojų sveikatos priežiūrai; 3. kūno kultūros ir sporto plėtojimas, gyventojų poilsio organizavimas; 4. savivaldybės teritorijoje gyvenančių vaikų iki 16 metų mokymosi pagal privalomojo švietimo programas užtikrinimas; 5. ikimokyklinio ugdymo, vaikų ir suaugusiųjų neformaliojo švietimo organizavimas, vaikų ir jaunimo užimtumo organizavimas; 6. sąlygų verslo ir turizmo plėtrai sudarymas ir šios veiklos skatinimas. </w:t>
              </w:r>
            </w:p>
            <w:p w14:paraId="1562D215" w14:textId="3159D6E5">
              <w:pPr>
                <w:widowControl w:val="0"/>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09"/>
                <w:jc w:val="both"/>
                <w:textAlignment w:val="baseline"/>
                <w:rPr>
                  <w:color w:val="000000"/>
                  <w:szCs w:val="24"/>
                </w:rPr>
              </w:pPr>
              <w:r>
                <w:rPr>
                  <w:color w:val="000000"/>
                  <w:szCs w:val="24"/>
                </w:rPr>
                <w:t>Komplekso perdavimas Kauno rajono savivaldybės nuosavybėn sudarys prielaidas įgyvendinti ilgalaikį komplekso modernizavimo projektą, kurio Kauno ligoninė, veikdama viena, neturi galimybių įgyvendinti. Perdavimas leis užtikrinti racionalesnį valstybės turto panaudojimą, pritraukti investicijas į infrastruktūros atnaujinimą ir išlaikyti nekilnojamojo turto naudojimą visuomenės poreikiams tenkinti, tęsiant sveikatos priežiūros paslaugų teikimą.</w:t>
              </w:r>
            </w:p>
            <w:p w14:paraId="739AAFFC" w14:textId="4A64813B">
              <w:pPr>
                <w:widowControl w:val="0"/>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09"/>
                <w:jc w:val="both"/>
                <w:textAlignment w:val="baseline"/>
                <w:rPr>
                  <w:color w:val="000000"/>
                  <w:szCs w:val="24"/>
                </w:rPr>
              </w:pPr>
              <w:r>
                <w:rPr>
                  <w:color w:val="000000"/>
                  <w:szCs w:val="24"/>
                </w:rPr>
                <w:t>Kauno rajono savivaldybė perimtą turtą modernizuotų savivaldybės biudžeto bei kitų teisėtai pritrauktų finansavimo šaltinių lėšomis. Pagal parengtą komplekso vystymo koncepciją ir techninio darbo projekto sprendinius numatoma kompleksiškai pertvarkyti visą infrastruktūrą, modernizuoti inžinerines sistemas, sujungti atskirus pastatus į vientisą kompleksą, įrengti naujas funkcines erdves, pritaikytas šiuolaikiniams medicininės reabilitacijos paslaugų teikimo poreikiams, bei užtikrinti energinio efektyvumo, prieinamumo ir funkcionalumo reikalavimus. Tai sudarys prielaidas išsaugoti ir plėtoti vaikų medicininės reabilitacijos paslaugas, išplėsti prevencinių ir sveikatinimo paslaugų spektrą bei stiprinti studijų ir mokslo veiklą bendradarbiaujant su Lietuvos sveikatos mokslų universitetu.</w:t>
              </w:r>
            </w:p>
            <w:p w14:paraId="6058FF86" w14:textId="6AF4B2A8">
              <w:pPr>
                <w:widowControl w:val="0"/>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09"/>
                <w:jc w:val="both"/>
                <w:textAlignment w:val="baseline"/>
                <w:rPr>
                  <w:color w:val="000000"/>
                  <w:szCs w:val="24"/>
                </w:rPr>
              </w:pPr>
              <w:r>
                <w:rPr>
                  <w:bCs/>
                </w:rPr>
                <w:t>Kauno ligoninė ir Kauno rajono savivaldybė glaudžiai bendradarbiauja jau nuo 2025 m. ir siekia atnaujinti kompleksą bendromis pastangomis. Šalys yra pasirašiusios šias sutartis:</w:t>
              </w:r>
            </w:p>
            <w:sdt>
              <w:sdtPr>
                <w:alias w:val="a pp."/>
                <w:tag w:val="part_fc571f91af6441b8ba0d4e0306f90ece"/>
                <w:lock w:val="sdtLocked"/>
                <w:richText/>
              </w:sdtPr>
              <w:sdtContent>
                <w:p w14:paraId="514F9231" w14:textId="42F10FFC">
                  <w:pPr>
                    <w:widowControl w:val="0"/>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09"/>
                    <w:jc w:val="both"/>
                    <w:textAlignment w:val="baseline"/>
                    <w:rPr>
                      <w:bCs/>
                    </w:rPr>
                  </w:pPr>
                  <w:sdt>
                    <w:sdtPr>
                      <w:alias w:val="Numeris"/>
                      <w:tag w:val="nr_fc571f91af6441b8ba0d4e0306f90ece"/>
                      <w:lock w:val="sdtLocked"/>
                      <w:richText/>
                    </w:sdtPr>
                    <w:sdtContent>
                      <w:r>
                        <w:rPr>
                          <w:bCs/>
                        </w:rPr>
                        <w:t>a</w:t>
                      </w:r>
                    </w:sdtContent>
                  </w:sdt>
                  <w:r>
                    <w:rPr>
                      <w:bCs/>
                    </w:rPr>
                    <w:t xml:space="preserve">) 2025 m. birželio 4 d. bendradarbiavimo sutartį, kurios pagrindu nuspręsta kurti žemės sklypo ir pastatų, kuriuose būtų vykdoma </w:t>
                  </w:r>
                  <w:r>
                    <w:rPr>
                      <w:color w:val="000000"/>
                      <w:szCs w:val="24"/>
                    </w:rPr>
                    <w:t>sveikatos priežiūros veikla atnaujintame Vaikų ligų klinikos Vaikų reabilitacijos skyriuje „Žibutė“</w:t>
                  </w:r>
                  <w:r>
                    <w:rPr>
                      <w:bCs/>
                    </w:rPr>
                    <w:t>, pertvarkymo koncepcija;</w:t>
                  </w:r>
                </w:p>
              </w:sdtContent>
            </w:sdt>
            <w:sdt>
              <w:sdtPr>
                <w:alias w:val="b pp."/>
                <w:tag w:val="part_9d77fdec4de543d58d6bdef7469f6c18"/>
                <w:lock w:val="sdtLocked"/>
                <w:richText/>
              </w:sdtPr>
              <w:sdtContent>
                <w:p w14:paraId="74A84BD2" w14:textId="77777777">
                  <w:pPr>
                    <w:widowControl w:val="0"/>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09"/>
                    <w:jc w:val="both"/>
                    <w:textAlignment w:val="baseline"/>
                    <w:rPr>
                      <w:color w:val="000000"/>
                      <w:szCs w:val="24"/>
                    </w:rPr>
                  </w:pPr>
                  <w:sdt>
                    <w:sdtPr>
                      <w:alias w:val="Numeris"/>
                      <w:tag w:val="nr_9d77fdec4de543d58d6bdef7469f6c18"/>
                      <w:lock w:val="sdtLocked"/>
                      <w:richText/>
                    </w:sdtPr>
                    <w:sdtContent>
                      <w:r>
                        <w:rPr>
                          <w:bCs/>
                        </w:rPr>
                        <w:t>b</w:t>
                      </w:r>
                    </w:sdtContent>
                  </w:sdt>
                  <w:r>
                    <w:rPr>
                      <w:bCs/>
                    </w:rPr>
                    <w:t xml:space="preserve">) 2025 m. rugsėjo 2 d. Jungtinės veiklos sutartį, pagal kurią Kauno rajono savivaldybė įsipareigojo skirti 500 000 Eur komplekso techninio darbo projekto parengimui, siekiant gauti statybą leidžiantį dokumentą. </w:t>
                  </w:r>
                </w:p>
                <w:p w14:paraId="371D117C" w14:textId="48837C5F">
                  <w:pPr>
                    <w:widowControl w:val="0"/>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09"/>
                    <w:jc w:val="both"/>
                    <w:textAlignment w:val="baseline"/>
                    <w:rPr>
                      <w:color w:val="000000"/>
                      <w:szCs w:val="24"/>
                    </w:rPr>
                  </w:pPr>
                  <w:r>
                    <w:rPr>
                      <w:color w:val="000000"/>
                      <w:szCs w:val="24"/>
                    </w:rPr>
                    <w:t>2025 m. lapkričio mėn. buvo pradėtas rengti Kauno ligoninės užsakytas techninis darbo projektas, finansuojamas Kauno rajono savivaldybės biudžeto lėšomis. Pagal parengtą techninį darbo projektą planuojamų rekonstruoti pastatų bendras plotas sudarytų apie 9086 kv. m, o rekonstrukcijos darbų kaina siektų apie 16,3 mln. Eur. Šio projekto įgyvendinimas yra realiai pradėtas – Kauno rajono savivaldybė jau finansuoja techninio darbo projekto rengimą, todėl turto perdavimas nėra siejamas su hipotetinėmis investicijomis, o sudaro būtinas teisines prielaidas tęsti jau pradėtą komplekso modernizavimo procesą.</w:t>
                  </w:r>
                </w:p>
                <w:p w14:paraId="3D34B8C4" w14:textId="1B0FED28">
                  <w:pPr>
                    <w:widowControl w:val="0"/>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09"/>
                    <w:jc w:val="both"/>
                    <w:textAlignment w:val="baseline"/>
                    <w:rPr>
                      <w:color w:val="000000"/>
                      <w:szCs w:val="24"/>
                    </w:rPr>
                  </w:pPr>
                  <w:r>
                    <w:rPr>
                      <w:color w:val="000000"/>
                      <w:szCs w:val="24"/>
                    </w:rPr>
                    <w:t>Atsižvelgiant į tai, kad Kauno rajono savivaldybė yra pasirengusi perimti nutarimo priede nurodytą nekilnojamą turtą, investuoti į jo atnaujinimą bei užtikrinti Kauno ligoninės vykdomos veiklos tęstinumą modernizuotame objekte, Kauno ligoninė neprieštarauja dėl nutarimo priede nurodyto nekilnojamojo turto perdavimo Kauno rajono savivaldybei.</w:t>
                  </w:r>
                </w:p>
                <w:p w14:paraId="245E6CF5" w14:textId="4D7582B9">
                  <w:pPr>
                    <w:widowControl w:val="0"/>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09"/>
                    <w:jc w:val="both"/>
                    <w:textAlignment w:val="baseline"/>
                    <w:rPr>
                      <w:szCs w:val="24"/>
                    </w:rPr>
                  </w:pPr>
                  <w:r>
                    <w:rPr>
                      <w:color w:val="000000"/>
                      <w:szCs w:val="24"/>
                    </w:rPr>
                    <w:t xml:space="preserve">Perdavus nekilnojamąjį turtą Kauno rajono savivaldybės nuosavybėn, nebus atsisakoma valstybės funkcijos – vaikų medicininės reabilitacijos paslaugų teikimo. Priešingai, perduodant turtą kitam viešojo sektoriaus subjektui, kuris yra pasirengęs organizuoti investicijų pritraukimą ir komplekso modernizavimą, bus sudarytos prielaidos efektyviau įgyvendinti valstybės funkcijas, užtikrinti ilgalaikį </w:t>
                  </w:r>
                  <w:r>
                    <w:rPr>
                      <w:szCs w:val="24"/>
                    </w:rPr>
                    <w:t>Ligoninės veiklos tęstinumą modernizuotame komplekse ir racionalesnį valstybės turto panaudojimą. Kauno rajono savivaldybė įsipareigos po komplekso modernizavimo perduoti nekilnojamąjį turtą ar jo dalį Kauno ligoninei naudotis panaudos pagrindais, užtikrinant galimybę ir toliau neterminuotai vykdyti vaikų medicininės reabilitacijos bei kitas asmens sveikatos priežiūros paslaugas atnaujintame komplekse. Atitinkami šalių įsipareigojimai bus nustatyti turto perdavimo ir kituose susijusiuose susitarimuose.</w:t>
                  </w:r>
                </w:p>
                <w:p w14:paraId="32FF5ACA" w14:textId="77777777">
                  <w:pPr>
                    <w:widowControl w:val="0"/>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09"/>
                    <w:jc w:val="both"/>
                    <w:textAlignment w:val="baseline"/>
                    <w:rPr>
                      <w:color w:val="000000"/>
                      <w:szCs w:val="24"/>
                    </w:rPr>
                  </w:pPr>
                  <w:r>
                    <w:rPr>
                      <w:color w:val="000000"/>
                      <w:szCs w:val="24"/>
                    </w:rPr>
                    <w:t>Ministerija gavo Kauno ligoninės 2026 m. birželio 15 d. raštą Nr. 3V-1793 „Dėl nekilnojamųjų daiktų perdavimo Kauno rajono savivaldybės nuosavybėn“, kuriuo Kauno ligoninė informavo, kad Kauno rajono savivaldybė nėra įtraukusi į Kauno rajono savivaldybės tarybos patvirtintą Viešame aukcione parduodamo savivaldybės nekilnojamojo turto ir kitų nekilnojamųjų daiktų sąrašą, taip pat nėra išnuomojusi ar perdavusi panaudos pagrindais subjektams, kurie pagal Lietuvos Respublikos viešojo sektoriaus atskaitomybės įstatymą nėra laikomi viešojo sektoriaus subjektais, Kauno rajono savivaldybei nuosavybės teise priklausančio nekilnojamojo turto, kurio paskirtis atitiktų prašomų perduoti valstybės nekilnojamųjų daiktų naudojimo paskirtį ir kuris būtų Kauno rajono savivaldybės teritorijoje.</w:t>
                  </w:r>
                  <w:r>
                    <w:rPr>
                      <w:color w:val="000000"/>
                      <w:szCs w:val="24"/>
                      <w:vertAlign w:val="superscript"/>
                    </w:rPr>
                    <w:footnoteReference w:id="1"/>
                  </w:r>
                </w:p>
                <w:p w14:paraId="1D789D21" w14:textId="2C0410A5">
                  <w:pPr>
                    <w:widowControl w:val="0"/>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09"/>
                    <w:jc w:val="both"/>
                    <w:textAlignment w:val="baseline"/>
                    <w:rPr>
                      <w:color w:val="000000"/>
                      <w:szCs w:val="24"/>
                    </w:rPr>
                  </w:pPr>
                  <w:r>
                    <w:rPr>
                      <w:color w:val="000000"/>
                      <w:szCs w:val="24"/>
                    </w:rPr>
                    <w:t xml:space="preserve">Nutarimo projektas buvo suderintas su Lietuvos Respublikos finansų ministerija, kuri nurodė, kad </w:t>
                  </w:r>
                  <w:r>
                    <w:rPr>
                      <w:szCs w:val="24"/>
                    </w:rPr>
                    <w:t xml:space="preserve">dėl Nutarimo projekto turinio atitikties valstybės turto perdavimo savivaldybių nuosavybėn teisinio reguliavimo nuostatoms pastabų neturi. </w:t>
                  </w:r>
                </w:p>
                <w:p w14:paraId="676BEFE4" w14:textId="56553254">
                  <w:pPr>
                    <w:widowControl w:val="0"/>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09"/>
                    <w:jc w:val="both"/>
                    <w:textAlignment w:val="baseline"/>
                    <w:rPr>
                      <w:color w:val="000000"/>
                      <w:szCs w:val="24"/>
                    </w:rPr>
                  </w:pPr>
                  <w:r>
                    <w:rPr>
                      <w:color w:val="000000"/>
                    </w:rPr>
                    <w:t xml:space="preserve">Nutarimo projektas yra individualus teisės aktas, todėl vadovaujantis Numatomo teisinio reguliavimo poveikio vertinimo metodikos, patvirtintos Lietuvos Respublikos Vyriausybės 2003 m. vasario 26 d. nutarimu Nr. 276 „Dėl Numatomo teisinio reguliavimo poveikio vertinimo metodikos patvirtinimo“,                 4 punktu, numatomo teisinio reguliavimo poveikio vertinimo pažyma nerengiama.</w:t>
                  </w:r>
                </w:p>
                <w:p w14:paraId="3DADE9FF" w14:textId="2C8D1FC7">
                  <w:pPr>
                    <w:widowControl w:val="0"/>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09"/>
                    <w:jc w:val="both"/>
                    <w:textAlignment w:val="baseline"/>
                    <w:rPr>
                      <w:color w:val="000000"/>
                    </w:rPr>
                  </w:pPr>
                  <w:r>
                    <w:rPr>
                      <w:color w:val="000000"/>
                    </w:rPr>
                    <w:t>Priėmus Nutarimo projektą, neigiamų pasekmių nenumatoma. Nutarimo projektui įgyvendinti papildomų valstybės biudžeto lėšų nereikės.</w:t>
                  </w:r>
                </w:p>
                <w:p w14:paraId="04B884D5" w14:textId="7721A435">
                  <w:pPr>
                    <w:widowControl w:val="0"/>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09"/>
                    <w:jc w:val="both"/>
                    <w:textAlignment w:val="baseline"/>
                    <w:rPr>
                      <w:color w:val="000000"/>
                    </w:rPr>
                  </w:pPr>
                  <w:r>
                    <w:rPr>
                      <w:color w:val="000000"/>
                    </w:rPr>
                    <w:t>Nutarimo projekto nuostatos atitinka Lietuvos Respublikos Vyriausybės programą. Nutarimo projektas neperkelia ir neįgyvendina Europos Sąjungos teisės aktų.</w:t>
                  </w:r>
                </w:p>
                <w:p w14:paraId="67851768" w14:textId="77777777">
                  <w:pPr>
                    <w:widowControl w:val="0"/>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09"/>
                    <w:jc w:val="both"/>
                    <w:textAlignment w:val="baseline"/>
                    <w:rPr>
                      <w:color w:val="000000"/>
                    </w:rPr>
                  </w:pPr>
                  <w:r>
                    <w:rPr>
                      <w:color w:val="000000"/>
                    </w:rPr>
                    <w:t>Priėmus Nutarimo projektą, priimti naujų teisės aktų, keisti ar pripažinti netekusiais galios galiojančių teisės aktų nereikės.</w:t>
                  </w:r>
                </w:p>
                <w:p w14:paraId="43CAEE50" w14:textId="29BBE372">
                  <w:pPr>
                    <w:widowControl w:val="0"/>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09"/>
                    <w:jc w:val="both"/>
                    <w:textAlignment w:val="baseline"/>
                    <w:rPr>
                      <w:color w:val="000000"/>
                    </w:rPr>
                  </w:pPr>
                  <w:r>
                    <w:rPr>
                      <w:color w:val="000000"/>
                    </w:rPr>
                    <w:t>Projektas paskelbtas Lietuvos Respublikos Seimo kanceliarijos Teisės aktų informacinėje sistemoje</w:t>
                  </w:r>
                  <w:r>
                    <w:t>.</w:t>
                  </w:r>
                  <w:r>
                    <w:rPr>
                      <w:color w:val="000000"/>
                    </w:rPr>
                    <w:t xml:space="preserve"> </w:t>
                  </w:r>
                </w:p>
                <w:p w14:paraId="5AFA7DD0" w14:textId="3DA2800B">
                  <w:pPr>
                    <w:widowControl w:val="0"/>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09"/>
                    <w:jc w:val="both"/>
                    <w:textAlignment w:val="baseline"/>
                    <w:rPr>
                      <w:color w:val="000000"/>
                      <w:szCs w:val="24"/>
                    </w:rPr>
                  </w:pPr>
                  <w:r>
                    <w:rPr>
                      <w:color w:val="000000"/>
                    </w:rPr>
                    <w:t>Projektą parengė Ministerijos Valstybės turto valdymo ir viešųjų pirkimų skyriaus (vedėjas Andriejus Bielinskis, tel. (0 5) 266 1448, el. p</w:t>
                  </w:r>
                  <w:r>
                    <w:t xml:space="preserve">. </w:t>
                  </w:r>
                  <w:r>
                    <w:t>Andriejus.Bielinskis@sam.lt</w:t>
                  </w:r>
                  <w:r>
                    <w:t xml:space="preserve">) patarėja Neringa Gerasimavičienė, tel.    (0 5) 205 5288, el. p. </w:t>
                  </w:r>
                  <w:r>
                    <w:t>Neringa.Gerasimaviciene@sam.lt</w:t>
                  </w:r>
                  <w:r>
                    <w:rPr>
                      <w:color w:val="000000"/>
                    </w:rPr>
                    <w:t>).</w:t>
                  </w:r>
                </w:p>
                <w:p w14:paraId="32BE5146" w14:textId="20FE6878">
                  <w:pPr>
                    <w:ind w:firstLine="709"/>
                    <w:jc w:val="both"/>
                    <w:rPr>
                      <w:color w:val="000000"/>
                      <w:szCs w:val="24"/>
                      <w:lang w:eastAsia="lt-LT"/>
                    </w:rPr>
                  </w:pPr>
                  <w:r>
                    <w:rPr>
                      <w:color w:val="000000"/>
                      <w:szCs w:val="24"/>
                      <w:lang w:eastAsia="lt-LT"/>
                    </w:rPr>
                    <w:t>PRIDEDAMA:</w:t>
                  </w:r>
                </w:p>
              </w:sdtContent>
            </w:sdt>
            <w:sdt>
              <w:sdtPr>
                <w:alias w:val="1 p."/>
                <w:tag w:val="part_2aa6d3a231e74f94ba43a9a07497f64f"/>
                <w:lock w:val="sdtLocked"/>
                <w:richText/>
              </w:sdtPr>
              <w:sdtContent>
                <w:p w14:paraId="02CF3227" w14:textId="39142F9C">
                  <w:pPr>
                    <w:widowControl w:val="0"/>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09"/>
                    <w:jc w:val="both"/>
                    <w:textAlignment w:val="baseline"/>
                    <w:rPr>
                      <w:color w:val="000000"/>
                      <w:szCs w:val="24"/>
                    </w:rPr>
                  </w:pPr>
                  <w:sdt>
                    <w:sdtPr>
                      <w:alias w:val="Numeris"/>
                      <w:tag w:val="nr_2aa6d3a231e74f94ba43a9a07497f64f"/>
                      <w:lock w:val="sdtLocked"/>
                      <w:richText/>
                    </w:sdtPr>
                    <w:sdtContent>
                      <w:r>
                        <w:rPr>
                          <w:color w:val="000000"/>
                          <w:szCs w:val="24"/>
                        </w:rPr>
                        <w:t>1</w:t>
                      </w:r>
                    </w:sdtContent>
                  </w:sdt>
                  <w:r>
                    <w:rPr>
                      <w:color w:val="000000"/>
                      <w:szCs w:val="24"/>
                    </w:rPr>
                    <w:t>.</w:t>
                    <w:tab/>
                    <w:t>Lietuvos Respublikos Vyriausybės nutarimo „Dėl nekilnojamojo turto perdavimo Kauno rajono savivaldybės nuosavybėn“ projektas, 3 lapai.</w:t>
                  </w:r>
                </w:p>
              </w:sdtContent>
            </w:sdt>
            <w:sdt>
              <w:sdtPr>
                <w:alias w:val="2 p."/>
                <w:tag w:val="part_29bb5d7ab0224a73bd8baef2e958ea8c"/>
                <w:lock w:val="sdtLocked"/>
                <w:richText/>
              </w:sdtPr>
              <w:sdtContent>
                <w:p w14:paraId="37D9F8FC" w14:textId="3A4D4AA6">
                  <w:pPr>
                    <w:widowControl w:val="0"/>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09"/>
                    <w:jc w:val="both"/>
                    <w:textAlignment w:val="baseline"/>
                    <w:rPr>
                      <w:color w:val="000000"/>
                      <w:szCs w:val="24"/>
                    </w:rPr>
                  </w:pPr>
                  <w:sdt>
                    <w:sdtPr>
                      <w:alias w:val="Numeris"/>
                      <w:tag w:val="nr_29bb5d7ab0224a73bd8baef2e958ea8c"/>
                      <w:lock w:val="sdtLocked"/>
                      <w:richText/>
                    </w:sdtPr>
                    <w:sdtContent>
                      <w:r>
                        <w:rPr>
                          <w:color w:val="000000"/>
                          <w:szCs w:val="24"/>
                        </w:rPr>
                        <w:t>2</w:t>
                      </w:r>
                    </w:sdtContent>
                  </w:sdt>
                  <w:r>
                    <w:rPr>
                      <w:color w:val="000000"/>
                      <w:szCs w:val="24"/>
                    </w:rPr>
                    <w:t>.</w:t>
                    <w:tab/>
                    <w:t xml:space="preserve">Kauno rajono savivaldybės tarybos 2026 m. gegužės 28 d. sprendimas Nr. TS-187 „Dėl </w:t>
                  </w:r>
                  <w:r>
                    <w:rPr>
                      <w:szCs w:val="24"/>
                    </w:rPr>
                    <w:t xml:space="preserve">nekilnojamojo turto Kauno r. sav., Kačerginės mstl. perėmimo Kauno rajono savivaldybės nuosavybėn“,         3 lapai.</w:t>
                  </w:r>
                </w:p>
              </w:sdtContent>
            </w:sdt>
            <w:sdt>
              <w:sdtPr>
                <w:alias w:val="3 p."/>
                <w:tag w:val="part_4021dc6a90d34e6d939ef0832e8ffbf3"/>
                <w:lock w:val="sdtLocked"/>
                <w:richText/>
              </w:sdtPr>
              <w:sdtContent>
                <w:p w14:paraId="72209D40" w14:textId="46D23DA4">
                  <w:pPr>
                    <w:widowControl w:val="0"/>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09"/>
                    <w:jc w:val="both"/>
                    <w:textAlignment w:val="baseline"/>
                    <w:rPr>
                      <w:color w:val="000000"/>
                      <w:szCs w:val="24"/>
                    </w:rPr>
                  </w:pPr>
                  <w:sdt>
                    <w:sdtPr>
                      <w:alias w:val="Numeris"/>
                      <w:tag w:val="nr_4021dc6a90d34e6d939ef0832e8ffbf3"/>
                      <w:lock w:val="sdtLocked"/>
                      <w:richText/>
                    </w:sdtPr>
                    <w:sdtContent>
                      <w:r>
                        <w:rPr>
                          <w:color w:val="000000"/>
                          <w:szCs w:val="24"/>
                        </w:rPr>
                        <w:t>3</w:t>
                      </w:r>
                    </w:sdtContent>
                  </w:sdt>
                  <w:r>
                    <w:rPr>
                      <w:color w:val="000000"/>
                      <w:szCs w:val="24"/>
                    </w:rPr>
                    <w:t>.</w:t>
                    <w:tab/>
                    <w:t>Lietuvos sveikatos mokslų universiteto Kauno ligonines Vaikų ligų klinikos Vaikų reabilitacijos skyriaus „Žibutė“ atnaujinimo ir plėtros, koncepcija, 17 lapų.</w:t>
                  </w:r>
                </w:p>
              </w:sdtContent>
            </w:sdt>
            <w:sdt>
              <w:sdtPr>
                <w:alias w:val="4 p."/>
                <w:tag w:val="part_de42c9ae83c34f8da26441a0e03c6b51"/>
                <w:lock w:val="sdtLocked"/>
                <w:richText/>
              </w:sdtPr>
              <w:sdtContent>
                <w:p w14:paraId="5FC2B7FF" w14:textId="2624A1D7">
                  <w:pPr>
                    <w:widowControl w:val="0"/>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09"/>
                    <w:jc w:val="both"/>
                    <w:textAlignment w:val="baseline"/>
                    <w:rPr>
                      <w:color w:val="000000"/>
                      <w:szCs w:val="24"/>
                    </w:rPr>
                  </w:pPr>
                  <w:sdt>
                    <w:sdtPr>
                      <w:alias w:val="Numeris"/>
                      <w:tag w:val="nr_de42c9ae83c34f8da26441a0e03c6b51"/>
                      <w:lock w:val="sdtLocked"/>
                      <w:richText/>
                    </w:sdtPr>
                    <w:sdtContent>
                      <w:r>
                        <w:rPr>
                          <w:color w:val="000000"/>
                          <w:szCs w:val="24"/>
                        </w:rPr>
                        <w:t>4</w:t>
                      </w:r>
                    </w:sdtContent>
                  </w:sdt>
                  <w:r>
                    <w:rPr>
                      <w:color w:val="000000"/>
                      <w:szCs w:val="24"/>
                    </w:rPr>
                    <w:t>.</w:t>
                    <w:tab/>
                    <w:t>2025 m. birželio 4 d. Bendradarbiavimo sutartis, 6 lapai.</w:t>
                  </w:r>
                </w:p>
              </w:sdtContent>
            </w:sdt>
            <w:sdt>
              <w:sdtPr>
                <w:alias w:val="5 p."/>
                <w:tag w:val="part_030ce3c7d31443eb97088f6ae96c3530"/>
                <w:lock w:val="sdtLocked"/>
                <w:richText/>
              </w:sdtPr>
              <w:sdtContent>
                <w:p w14:paraId="7EA1351A" w14:textId="3D5A066B">
                  <w:pPr>
                    <w:widowControl w:val="0"/>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09"/>
                    <w:jc w:val="both"/>
                    <w:textAlignment w:val="baseline"/>
                    <w:rPr>
                      <w:color w:val="000000"/>
                      <w:szCs w:val="24"/>
                    </w:rPr>
                  </w:pPr>
                  <w:sdt>
                    <w:sdtPr>
                      <w:alias w:val="Numeris"/>
                      <w:tag w:val="nr_030ce3c7d31443eb97088f6ae96c3530"/>
                      <w:lock w:val="sdtLocked"/>
                      <w:richText/>
                    </w:sdtPr>
                    <w:sdtContent>
                      <w:r>
                        <w:rPr>
                          <w:color w:val="000000"/>
                          <w:szCs w:val="24"/>
                        </w:rPr>
                        <w:t>5</w:t>
                      </w:r>
                    </w:sdtContent>
                  </w:sdt>
                  <w:r>
                    <w:rPr>
                      <w:color w:val="000000"/>
                      <w:szCs w:val="24"/>
                    </w:rPr>
                    <w:t>.</w:t>
                    <w:tab/>
                    <w:t>2025 m. rugsėjo 2 d. Jungtinės veiklos sutartis, 6 lapai.</w:t>
                  </w:r>
                </w:p>
              </w:sdtContent>
            </w:sdt>
            <w:sdt>
              <w:sdtPr>
                <w:alias w:val="6 p."/>
                <w:tag w:val="part_7824211b76314d5f84615dccee947352"/>
                <w:lock w:val="sdtLocked"/>
                <w:richText/>
              </w:sdtPr>
              <w:sdtContent>
                <w:p w14:paraId="4C17E66D" w14:textId="6CDD3AF8">
                  <w:pPr>
                    <w:widowControl w:val="0"/>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09"/>
                    <w:jc w:val="both"/>
                    <w:textAlignment w:val="baseline"/>
                    <w:rPr>
                      <w:color w:val="000000"/>
                      <w:szCs w:val="24"/>
                    </w:rPr>
                  </w:pPr>
                  <w:sdt>
                    <w:sdtPr>
                      <w:alias w:val="Numeris"/>
                      <w:tag w:val="nr_7824211b76314d5f84615dccee947352"/>
                      <w:lock w:val="sdtLocked"/>
                      <w:richText/>
                    </w:sdtPr>
                    <w:sdtContent>
                      <w:r>
                        <w:rPr>
                          <w:color w:val="000000"/>
                          <w:szCs w:val="24"/>
                        </w:rPr>
                        <w:t>6</w:t>
                      </w:r>
                    </w:sdtContent>
                  </w:sdt>
                  <w:r>
                    <w:rPr>
                      <w:color w:val="000000"/>
                      <w:szCs w:val="24"/>
                    </w:rPr>
                    <w:t>.</w:t>
                    <w:tab/>
                    <w:t xml:space="preserve">Lietuvos sveikatos mokslų universiteto Kauno ligoninės 2026 m. birželio 15 d. raštas Nr.            3V-1793 „Dėl nekilnojamųjų daiktų perdavimo Kauno rajono savivaldybės nuosavybėn“ (ADOC formatu).</w:t>
                  </w:r>
                </w:p>
              </w:sdtContent>
            </w:sdt>
            <w:sdt>
              <w:sdtPr>
                <w:alias w:val="7 p."/>
                <w:tag w:val="part_e5694cf8e23041c087e2c0343b14f756"/>
                <w:lock w:val="sdtLocked"/>
                <w:richText/>
              </w:sdtPr>
              <w:sdtContent>
                <w:p w14:paraId="72E040A1" w14:textId="333EB0E3">
                  <w:pPr>
                    <w:widowControl w:val="0"/>
                    <w:tabs>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09"/>
                    <w:jc w:val="both"/>
                    <w:textAlignment w:val="baseline"/>
                    <w:rPr>
                      <w:szCs w:val="24"/>
                    </w:rPr>
                  </w:pPr>
                  <w:sdt>
                    <w:sdtPr>
                      <w:alias w:val="Numeris"/>
                      <w:tag w:val="nr_e5694cf8e23041c087e2c0343b14f756"/>
                      <w:lock w:val="sdtLocked"/>
                      <w:richText/>
                    </w:sdtPr>
                    <w:sdtContent>
                      <w:r>
                        <w:rPr>
                          <w:szCs w:val="24"/>
                        </w:rPr>
                        <w:t>7</w:t>
                      </w:r>
                    </w:sdtContent>
                  </w:sdt>
                  <w:r>
                    <w:rPr>
                      <w:szCs w:val="24"/>
                    </w:rPr>
                    <w:t xml:space="preserve">. </w:t>
                  </w:r>
                  <w:r>
                    <w:rPr>
                      <w:color w:val="000000"/>
                      <w:szCs w:val="24"/>
                    </w:rPr>
                    <w:t>Lietuvos sveikatos mokslų universiteto Kauno ligoninės</w:t>
                  </w:r>
                  <w:r>
                    <w:rPr>
                      <w:szCs w:val="24"/>
                    </w:rPr>
                    <w:t xml:space="preserve"> 2026 m. liepos 3 d. raštas Nr. 3V-1956 „</w:t>
                  </w:r>
                  <w:r>
                    <w:rPr>
                      <w:rFonts w:eastAsia="Calibri"/>
                      <w:szCs w:val="24"/>
                    </w:rPr>
                    <w:t xml:space="preserve">Dėl VTIPS sprendimo derinimo pažyma ir vnt. duomenų ataskaita“ </w:t>
                  </w:r>
                  <w:r>
                    <w:rPr>
                      <w:szCs w:val="24"/>
                    </w:rPr>
                    <w:t>(ADOC formatu).</w:t>
                  </w:r>
                </w:p>
              </w:sdtContent>
            </w:sdt>
            <w:sdt>
              <w:sdtPr>
                <w:alias w:val="8 p."/>
                <w:tag w:val="part_282ca4b56ea94742827612c0f2c7e024"/>
                <w:lock w:val="sdtLocked"/>
                <w:richText/>
              </w:sdtPr>
              <w:sdtContent>
                <w:p w14:paraId="300602F6" w14:textId="7FC82E6D">
                  <w:pPr>
                    <w:widowControl w:val="0"/>
                    <w:tabs>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09"/>
                    <w:jc w:val="both"/>
                    <w:textAlignment w:val="baseline"/>
                    <w:rPr>
                      <w:szCs w:val="24"/>
                    </w:rPr>
                  </w:pPr>
                  <w:sdt>
                    <w:sdtPr>
                      <w:alias w:val="Numeris"/>
                      <w:tag w:val="nr_282ca4b56ea94742827612c0f2c7e024"/>
                      <w:lock w:val="sdtLocked"/>
                      <w:richText/>
                    </w:sdtPr>
                    <w:sdtContent>
                      <w:r>
                        <w:rPr>
                          <w:color w:val="000000"/>
                          <w:szCs w:val="24"/>
                        </w:rPr>
                        <w:t>8</w:t>
                      </w:r>
                    </w:sdtContent>
                  </w:sdt>
                  <w:r>
                    <w:rPr>
                      <w:color w:val="000000"/>
                      <w:szCs w:val="24"/>
                    </w:rPr>
                    <w:t>. Lietuvos Respublikos finansų ministerijos 2026 m. liepos 3 d. raštas Nr. 6K-26/3432 (ADOC formatu).</w:t>
                  </w:r>
                </w:p>
                <w:p w14:paraId="108614CE" w14:textId="77777777">
                  <w:pPr>
                    <w:ind w:right="56"/>
                    <w:rPr>
                      <w:szCs w:val="24"/>
                    </w:rPr>
                  </w:pPr>
                </w:p>
                <w:p w14:paraId="52E8A262" w14:textId="77777777">
                  <w:pPr>
                    <w:ind w:right="56"/>
                    <w:rPr>
                      <w:szCs w:val="24"/>
                    </w:rPr>
                  </w:pPr>
                  <w:r>
                    <w:rPr>
                      <w:szCs w:val="24"/>
                    </w:rPr>
                    <w:t xml:space="preserve">Laikinai einanti sveikatos apsaugos ministro pareigas           </w:t>
                    <w:tab/>
                    <w:t xml:space="preserve">                   Marija Jakubauskienė</w:t>
                  </w:r>
                </w:p>
                <w:p w14:paraId="0444380F" w14:textId="77777777">
                  <w:pPr>
                    <w:spacing w:line="276" w:lineRule="auto"/>
                    <w:rPr>
                      <w:sz w:val="18"/>
                      <w:szCs w:val="18"/>
                    </w:rPr>
                  </w:pPr>
                </w:p>
                <w:p w14:paraId="27FEE5ED" w14:textId="77777777">
                  <w:pPr>
                    <w:spacing w:line="276" w:lineRule="auto"/>
                    <w:rPr>
                      <w:sz w:val="18"/>
                      <w:szCs w:val="18"/>
                    </w:rPr>
                  </w:pPr>
                </w:p>
                <w:p w14:paraId="2B065FFD" w14:textId="19056E3E">
                  <w:pPr>
                    <w:spacing w:line="276" w:lineRule="auto"/>
                    <w:rPr>
                      <w:sz w:val="18"/>
                      <w:szCs w:val="18"/>
                      <w:lang w:val="es-ES" w:eastAsia="lt-LT"/>
                    </w:rPr>
                  </w:pPr>
                  <w:r>
                    <w:rPr>
                      <w:sz w:val="18"/>
                      <w:szCs w:val="18"/>
                    </w:rPr>
                    <w:t>N. Gerasimavičienė, tel. (+370) 5 205 5288, el. p. neringa.gerasimaviciene@s</w:t>
                  </w:r>
                  <w:r>
                    <w:rPr>
                      <w:sz w:val="18"/>
                      <w:szCs w:val="18"/>
                      <w:lang w:val="es-ES"/>
                    </w:rPr>
                    <w:t>am.lt</w:t>
                  </w:r>
                </w:p>
              </w:sdtContent>
            </w:sdt>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284" w:right="424" w:bottom="1134" w:left="1134" w:header="426" w:footer="279"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10AAD7" w14:textId="77777777">
      <w:r>
        <w:separator/>
      </w:r>
    </w:p>
  </w:endnote>
  <w:endnote w:type="continuationSeparator" w:id="0">
    <w:p w14:paraId="641817CD"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Aptos Display">
    <w:charset w:val="00"/>
    <w:family w:val="swiss"/>
    <w:pitch w:val="variable"/>
    <w:sig w:usb0="20000287" w:usb1="00000003" w:usb2="00000000" w:usb3="00000000" w:csb0="0000019F" w:csb1="00000000"/>
  </w:font>
  <w:font w:name="Aptos">
    <w:altName w:val="Times New Roman"/>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479567" w14:textId="77777777">
    <w:pPr>
      <w:tabs>
        <w:tab w:val="center" w:pos="4819"/>
        <w:tab w:val="right" w:pos="9638"/>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FFE2C2" w14:textId="77777777">
    <w:pPr>
      <w:tabs>
        <w:tab w:val="center" w:pos="4819"/>
        <w:tab w:val="right" w:pos="9638"/>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A2B0D8" w14:textId="77777777">
    <w:pPr>
      <w:widowControl w:val="0"/>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left="578"/>
      <w:jc w:val="both"/>
      <w:textAlignment w:val="baseline"/>
      <w:rPr>
        <w:rFonts w:eastAsia="Arial Unicode MS"/>
        <w:szCs w:val="24"/>
      </w:rPr>
    </w:pPr>
  </w:p>
  <w:tbl>
    <w:tblPr>
      <w:tblW w:w="9923" w:type="dxa"/>
      <w:tblBorders>
        <w:top w:val="single" w:sz="4" w:space="0" w:color="auto"/>
      </w:tblBorders>
      <w:tblLook w:val="04A0" w:firstRow="1" w:lastRow="0" w:firstColumn="1" w:lastColumn="0" w:noHBand="0" w:noVBand="1"/>
    </w:tblPr>
    <w:tblGrid>
      <w:gridCol w:w="1555"/>
      <w:gridCol w:w="1842"/>
      <w:gridCol w:w="3686"/>
      <w:gridCol w:w="2840"/>
    </w:tblGrid>
    <w:tr w14:paraId="6D059C99" w14:textId="77777777">
      <w:tc>
        <w:tcPr>
          <w:tcW w:w="1555" w:type="dxa"/>
          <w:vAlign w:val="center"/>
        </w:tcPr>
        <w:p w14:paraId="416707F0" w14:textId="77777777">
          <w:pPr>
            <w:rPr>
              <w:sz w:val="10"/>
              <w:szCs w:val="10"/>
            </w:rPr>
          </w:pPr>
        </w:p>
        <w:p w14:paraId="28A8683E" w14:textId="77777777">
          <w:pPr>
            <w:rPr>
              <w:szCs w:val="24"/>
            </w:rPr>
          </w:pPr>
          <w:r>
            <w:rPr>
              <w:szCs w:val="24"/>
              <w:lang w:val="en-US"/>
            </w:rPr>
            <w:drawing>
              <wp:inline distT="0" distB="0" distL="0" distR="0" wp14:anchorId="771D85A4" wp14:editId="429CCF34">
                <wp:extent cx="533400" cy="628608"/>
                <wp:effectExtent l="0" t="0" r="0" b="635"/>
                <wp:docPr id="759065403" name="Paveikslėlis 1" descr="Paveikslėlis, kuriame yra logotipas, varinis kastetas, dizain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aveikslėlis 1" descr="Paveikslėlis, kuriame yra logotipas, varinis kastetas, dizainas  Automatiškai sugeneruotas aprašymas"/>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45239" cy="642560"/>
                        </a:xfrm>
                        <a:prstGeom prst="rect">
                          <a:avLst/>
                        </a:prstGeom>
                        <a:noFill/>
                        <a:ln>
                          <a:noFill/>
                        </a:ln>
                      </pic:spPr>
                    </pic:pic>
                  </a:graphicData>
                </a:graphic>
              </wp:inline>
            </w:drawing>
          </w:r>
        </w:p>
      </w:tc>
      <w:tc>
        <w:tcPr>
          <w:tcW w:w="1842" w:type="dxa"/>
          <w:vAlign w:val="center"/>
        </w:tcPr>
        <w:p w14:paraId="5FB3D522" w14:textId="77777777">
          <w:pPr>
            <w:rPr>
              <w:rFonts w:eastAsia="Calibri"/>
              <w:color w:val="000000"/>
              <w:sz w:val="18"/>
              <w:szCs w:val="18"/>
              <w:lang w:eastAsia="lt-LT"/>
            </w:rPr>
          </w:pPr>
          <w:r>
            <w:rPr>
              <w:rFonts w:eastAsia="Calibri"/>
              <w:color w:val="000000"/>
              <w:sz w:val="18"/>
              <w:szCs w:val="18"/>
              <w:lang w:eastAsia="lt-LT"/>
            </w:rPr>
            <w:t>Biudžetinė įstaiga</w:t>
          </w:r>
        </w:p>
        <w:p w14:paraId="1104658D" w14:textId="77777777">
          <w:pPr>
            <w:rPr>
              <w:rFonts w:eastAsia="Calibri"/>
              <w:color w:val="000000"/>
              <w:sz w:val="18"/>
              <w:szCs w:val="18"/>
              <w:lang w:eastAsia="lt-LT"/>
            </w:rPr>
          </w:pPr>
          <w:r>
            <w:rPr>
              <w:rFonts w:eastAsia="Calibri"/>
              <w:color w:val="000000"/>
              <w:sz w:val="18"/>
              <w:szCs w:val="18"/>
              <w:lang w:eastAsia="lt-LT"/>
            </w:rPr>
            <w:t>Vilniaus g. 33</w:t>
          </w:r>
        </w:p>
        <w:p w14:paraId="70B890C9" w14:textId="77777777">
          <w:pPr>
            <w:rPr>
              <w:rFonts w:eastAsia="Calibri"/>
              <w:color w:val="000000"/>
              <w:sz w:val="18"/>
              <w:szCs w:val="18"/>
              <w:lang w:eastAsia="lt-LT"/>
            </w:rPr>
          </w:pPr>
          <w:r>
            <w:rPr>
              <w:rFonts w:eastAsia="Calibri"/>
              <w:color w:val="000000"/>
              <w:sz w:val="18"/>
              <w:szCs w:val="18"/>
              <w:lang w:eastAsia="lt-LT"/>
            </w:rPr>
            <w:t>LT-01402 Vilnius</w:t>
          </w:r>
        </w:p>
      </w:tc>
      <w:tc>
        <w:tcPr>
          <w:tcW w:w="3686" w:type="dxa"/>
          <w:vAlign w:val="center"/>
        </w:tcPr>
        <w:p w14:paraId="7397628E" w14:textId="77777777">
          <w:pPr>
            <w:rPr>
              <w:rFonts w:eastAsia="Calibri"/>
              <w:color w:val="000000"/>
              <w:sz w:val="18"/>
              <w:szCs w:val="18"/>
              <w:lang w:eastAsia="lt-LT"/>
            </w:rPr>
          </w:pPr>
          <w:r>
            <w:rPr>
              <w:rFonts w:eastAsia="Calibri"/>
              <w:color w:val="000000"/>
              <w:sz w:val="18"/>
              <w:szCs w:val="18"/>
              <w:lang w:eastAsia="lt-LT"/>
            </w:rPr>
            <w:t>Tel. +370 800 66 004</w:t>
          </w:r>
        </w:p>
        <w:p w14:paraId="11ACE563" w14:textId="77777777">
          <w:pPr>
            <w:rPr>
              <w:rFonts w:eastAsia="Calibri"/>
              <w:color w:val="0563C1"/>
              <w:sz w:val="18"/>
              <w:szCs w:val="18"/>
              <w:u w:val="single"/>
              <w:lang w:eastAsia="lt-LT"/>
            </w:rPr>
          </w:pPr>
          <w:r>
            <w:rPr>
              <w:rFonts w:eastAsia="Calibri"/>
              <w:color w:val="000000"/>
              <w:sz w:val="18"/>
              <w:szCs w:val="18"/>
              <w:lang w:eastAsia="lt-LT"/>
            </w:rPr>
            <w:t xml:space="preserve">El. p. </w:t>
          </w:r>
          <w:r>
            <w:rPr>
              <w:rFonts w:eastAsia="Calibri"/>
              <w:color w:val="0563C1"/>
              <w:sz w:val="18"/>
              <w:szCs w:val="18"/>
              <w:u w:val="single"/>
              <w:lang w:eastAsia="lt-LT"/>
            </w:rPr>
            <w:t>ministerija@sam.lt</w:t>
          </w:r>
          <w:r>
            <w:rPr>
              <w:rFonts w:eastAsia="Calibri"/>
              <w:color w:val="000000"/>
              <w:sz w:val="18"/>
              <w:szCs w:val="18"/>
              <w:lang w:eastAsia="lt-LT"/>
            </w:rPr>
            <w:t xml:space="preserve">, </w:t>
          </w:r>
          <w:r>
            <w:rPr>
              <w:rFonts w:eastAsia="Calibri"/>
              <w:color w:val="0563C1"/>
              <w:sz w:val="18"/>
              <w:szCs w:val="18"/>
              <w:u w:val="single"/>
              <w:lang w:eastAsia="lt-LT"/>
            </w:rPr>
            <w:t>https://sam.lrv.lt</w:t>
          </w:r>
        </w:p>
        <w:p w14:paraId="30E8CDEC" w14:textId="77777777">
          <w:pPr>
            <w:rPr>
              <w:szCs w:val="24"/>
              <w:lang w:val="pt-BR"/>
            </w:rPr>
          </w:pPr>
          <w:r>
            <w:rPr>
              <w:rFonts w:eastAsia="Calibri"/>
              <w:color w:val="000000"/>
              <w:sz w:val="18"/>
              <w:szCs w:val="18"/>
              <w:lang w:eastAsia="lt-LT"/>
            </w:rPr>
            <w:t>E. pristatymo dėžutės adresas 18860347</w:t>
          </w:r>
          <w:r>
            <w:rPr>
              <w:rFonts w:eastAsia="Calibri"/>
              <w:color w:val="000000"/>
              <w:sz w:val="18"/>
              <w:szCs w:val="18"/>
              <w:lang w:val="pt-BR" w:eastAsia="lt-LT"/>
            </w:rPr>
            <w:t>2</w:t>
          </w:r>
        </w:p>
      </w:tc>
      <w:tc>
        <w:tcPr>
          <w:tcW w:w="2840" w:type="dxa"/>
          <w:vAlign w:val="center"/>
        </w:tcPr>
        <w:p w14:paraId="6E30B118" w14:textId="77777777">
          <w:pPr>
            <w:rPr>
              <w:rFonts w:eastAsia="Calibri"/>
              <w:color w:val="000000"/>
              <w:sz w:val="18"/>
              <w:szCs w:val="18"/>
              <w:lang w:eastAsia="lt-LT"/>
            </w:rPr>
          </w:pPr>
          <w:r>
            <w:rPr>
              <w:rFonts w:eastAsia="Calibri"/>
              <w:color w:val="000000"/>
              <w:sz w:val="18"/>
              <w:szCs w:val="18"/>
              <w:lang w:eastAsia="lt-LT"/>
            </w:rPr>
            <w:t>Duomenys kaupiami ir saugomi Juridinių asmenų registre</w:t>
          </w:r>
        </w:p>
        <w:p w14:paraId="5D06E82B" w14:textId="77777777">
          <w:pPr>
            <w:rPr>
              <w:szCs w:val="24"/>
            </w:rPr>
          </w:pPr>
          <w:r>
            <w:rPr>
              <w:rFonts w:eastAsia="Calibri"/>
              <w:color w:val="000000"/>
              <w:sz w:val="18"/>
              <w:szCs w:val="18"/>
              <w:lang w:eastAsia="lt-LT"/>
            </w:rPr>
            <w:t>Kodas 188603472</w:t>
          </w:r>
        </w:p>
      </w:tc>
    </w:tr>
  </w:tbl>
  <w:p w14:paraId="0B5597C4" w14:textId="77777777">
    <w:pPr>
      <w:tabs>
        <w:tab w:val="center" w:pos="4819"/>
        <w:tab w:val="right" w:pos="9638"/>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117719" w14:textId="77777777">
      <w:r>
        <w:separator/>
      </w:r>
    </w:p>
  </w:footnote>
  <w:footnote w:type="continuationSeparator" w:id="0">
    <w:p w14:paraId="40C9F66C" w14:textId="77777777">
      <w:r>
        <w:continuationSeparator/>
      </w:r>
    </w:p>
  </w:footnote>
  <w:footnote w:id="1">
    <w:p w14:paraId="1F7777F9" w14:textId="77777777">
      <w:pPr>
        <w:rPr>
          <w:sz w:val="20"/>
        </w:rPr>
      </w:pPr>
      <w:r>
        <w:rPr>
          <w:sz w:val="20"/>
          <w:vertAlign w:val="superscript"/>
          <w:lang w:val="en-US"/>
        </w:rPr>
        <w:footnoteRef/>
      </w:r>
      <w:r>
        <w:rPr>
          <w:sz w:val="20"/>
          <w:lang w:val="en-US"/>
        </w:rPr>
        <w:t xml:space="preserve"> </w:t>
      </w:r>
      <w:r>
        <w:rPr>
          <w:sz w:val="20"/>
        </w:rPr>
        <w:t>https://www.krs.lt/verslininkams/privatizavimas/vie%C5%A1ame-aukcione-planuojam%C5%B3-parduoti-objekt%C5%B3-s%C4%85ra%C5%A1as/</w:t>
      </w:r>
      <w:r>
        <w:rPr>
          <w:sz w:val="20"/>
        </w:rPr>
        <w:t xml:space="preserve"> </w:t>
      </w:r>
    </w:p>
    <w:p w14:paraId="1E82AE4D" w14:textId="510684C0">
      <w:pPr>
        <w:rPr>
          <w:sz w:val="20"/>
        </w:rPr>
      </w:pPr>
      <w:r>
        <w:rPr>
          <w:sz w:val="20"/>
        </w:rPr>
        <w:t>https://www.krs.lt/savivaldybe/administracine-informacija/savivaldyb%C4%97s-turtas/</w:t>
      </w:r>
      <w:r>
        <w:rPr>
          <w:sz w:val="20"/>
        </w:rPr>
        <w:t xml:space="preserve">) </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3824C1"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AD0EBC" w14:textId="77777777">
    <w:pPr>
      <w:tabs>
        <w:tab w:val="center" w:pos="4819"/>
        <w:tab w:val="right" w:pos="9638"/>
      </w:tabs>
      <w:jc w:val="center"/>
    </w:pPr>
    <w:r>
      <w:fldChar w:fldCharType="begin"/>
    </w:r>
    <w:r>
      <w:instrText>PAGE   \* MERGEFORMAT</w:instrText>
    </w:r>
    <w:r>
      <w:fldChar w:fldCharType="separate"/>
    </w:r>
    <w:r>
      <w:t>2</w:t>
    </w:r>
    <w:r>
      <w:fldChar w:fldCharType="end"/>
    </w:r>
  </w:p>
  <w:p w14:paraId="7F1B335C"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AC01D1"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104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7E904D"/>
  <w15:chartTrackingRefBased/>
  <w15:docId w15:val="{3292AD09-1963-4C3B-87BB-CAE3D23D8C9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s>

</file>

<file path=word/_rels/footer3.xml.rels><?xml version="1.0" encoding="UTF-8"?>

<Relationships xmlns="http://schemas.openxmlformats.org/package/2006/relationships">
  <Relationship Id="rId1" Type="http://schemas.openxmlformats.org/officeDocument/2006/relationships/image" Target="media/image2.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3e2af62a9fa14c01a7d1bdaf1e76366a" PartId="5ffcb70802cc4a518498b9c627942e68">
    <Part Type="skirsnis" Title="DĖL VYRIAUSYBĖS NUTARIMO PROJEKTO" DocPartId="13ee2ad1844b4a5783f35db0725e059a" PartId="c1131c55b219432baf26336d2c789762">
      <Part Type="strPapunktis" Nr="a" Abbr="a pp." DocPartId="e925396bcdb64054a0662424990935f3" PartId="fc571f91af6441b8ba0d4e0306f90ece"/>
      <Part Type="strPapunktis" Nr="b" Abbr="b pp." DocPartId="56fe82d4fdbc4caeb2aca55676705002" PartId="9d77fdec4de543d58d6bdef7469f6c18"/>
      <Part Type="punktas" Nr="1" Abbr="1 p." DocPartId="200621e901f4457aa0a3147d9a3f40a9" PartId="2aa6d3a231e74f94ba43a9a07497f64f"/>
      <Part Type="punktas" Nr="2" Abbr="2 p." DocPartId="8d650ea9df904c45a24f5d1f1b0ed5dc" PartId="29bb5d7ab0224a73bd8baef2e958ea8c"/>
      <Part Type="punktas" Nr="3" Abbr="3 p." DocPartId="cc33eae71a9944368e6b1d418cddc91f" PartId="4021dc6a90d34e6d939ef0832e8ffbf3"/>
      <Part Type="punktas" Nr="4" Abbr="4 p." DocPartId="fdca364abb4c44178b3d0346c9487b04" PartId="de42c9ae83c34f8da26441a0e03c6b51"/>
      <Part Type="punktas" Nr="5" Abbr="5 p." DocPartId="1c4f7f27fc3841e8b7477613f77d10c0" PartId="030ce3c7d31443eb97088f6ae96c3530"/>
      <Part Type="punktas" Nr="6" Abbr="6 p." DocPartId="b49fcc1a0b614c36a5f051a2685fa5ad" PartId="7824211b76314d5f84615dccee947352"/>
      <Part Type="punktas" Nr="7" Abbr="7 p." DocPartId="80668de8b30d4f96a47d4721ea46101f" PartId="e5694cf8e23041c087e2c0343b14f756"/>
      <Part Type="punktas" Nr="8" Abbr="8 p." DocPartId="68c69541815e47d8b2d7b0cb938e3c96" PartId="282ca4b56ea94742827612c0f2c7e024"/>
    </Part>
  </Part>
</Parts>
</file>

<file path=customXml/itemProps1.xml><?xml version="1.0" encoding="utf-8"?>
<ds:datastoreItem xmlns:ds="http://schemas.openxmlformats.org/officeDocument/2006/customXml" ds:itemID="{4121A21E-FF76-4054-B99E-9B8CF01993B1}">
  <ds:schemaRefs>
    <ds:schemaRef ds:uri="http://schemas.openxmlformats.org/officeDocument/2006/bibliography"/>
  </ds:schemaRefs>
</ds:datastoreItem>
</file>

<file path=customXml/itemProps2.xml><?xml version="1.0" encoding="utf-8"?>
<ds:datastoreItem xmlns:ds="http://schemas.openxmlformats.org/officeDocument/2006/customXml" ds:itemID="{2BC869D3-AA9C-4327-ABCE-199E8C571FC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1314</Words>
  <Characters>9712</Characters>
  <Application>Microsoft Office Word</Application>
  <DocSecurity>4</DocSecurity>
  <Lines>144</Lines>
  <Paragraphs>41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10985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2026-07-03T15:02:00Z</dcterms:created>
  <dc:creator>Aušra Motiejūnė</dc:creator>
  <lastModifiedBy>adlibuser</lastModifiedBy>
  <dcterms:modified xsi:type="dcterms:W3CDTF">2026-07-03T15:02:00Z</dcterms:modified>
  <revision>2</revision>
</coreProperties>
</file>