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340e746a15e41f592ca58e23631fe20"/>
        <w:lock w:val="sdtLocked"/>
        <w:richText/>
      </w:sdtPr>
      <w:sdtContent>
        <w:p>
          <w:pPr>
            <w:tabs>
              <w:tab w:val="center" w:pos="4819"/>
              <w:tab w:val="right" w:pos="9638"/>
            </w:tabs>
            <w:rPr>
              <w:szCs w:val="24"/>
              <w:lang w:eastAsia="lt-LT"/>
            </w:rPr>
          </w:pPr>
        </w:p>
        <w:p>
          <w:pPr>
            <w:ind w:firstLine="4320"/>
            <w:rPr>
              <w:b/>
              <w:bCs/>
            </w:rPr>
          </w:pPr>
          <w:r>
            <w:rPr>
              <w:b/>
              <w:bCs/>
            </w:rPr>
            <w:t>Projektas</w:t>
          </w:r>
        </w:p>
        <w:p>
          <w:pPr>
            <w:jc w:val="center"/>
            <w:rPr>
              <w:b/>
              <w:bCs/>
            </w:rPr>
          </w:pPr>
        </w:p>
        <w:p>
          <w:pPr>
            <w:jc w:val="center"/>
            <w:rPr>
              <w:b/>
              <w:bCs/>
            </w:rPr>
          </w:pPr>
        </w:p>
        <w:p>
          <w:pPr>
            <w:jc w:val="center"/>
            <w:rPr>
              <w:b/>
              <w:bCs/>
            </w:rPr>
          </w:pPr>
          <w:r>
            <w:rPr>
              <w:b/>
              <w:bCs/>
            </w:rPr>
            <w:t>LIETUVOS RESPUBLIKOS APLINKOS MINISTRAS</w:t>
          </w:r>
        </w:p>
        <w:p>
          <w:pPr>
            <w:jc w:val="center"/>
            <w:rPr>
              <w:b/>
              <w:bCs/>
            </w:rPr>
          </w:pPr>
        </w:p>
        <w:p>
          <w:pPr>
            <w:jc w:val="center"/>
            <w:textAlignment w:val="baseline"/>
            <w:rPr>
              <w:b/>
              <w:bCs/>
              <w:szCs w:val="24"/>
              <w:lang w:val="fi-FI" w:eastAsia="en-GB"/>
            </w:rPr>
          </w:pPr>
          <w:r>
            <w:rPr>
              <w:b/>
              <w:bCs/>
              <w:szCs w:val="24"/>
              <w:lang w:val="fi-FI" w:eastAsia="en-GB"/>
            </w:rPr>
            <w:t>ĮSAKYMAS</w:t>
          </w:r>
        </w:p>
        <w:p>
          <w:pPr>
            <w:jc w:val="center"/>
            <w:textAlignment w:val="baseline"/>
            <w:rPr>
              <w:b/>
              <w:bCs/>
              <w:szCs w:val="24"/>
              <w:lang w:eastAsia="en-GB"/>
            </w:rPr>
          </w:pPr>
          <w:r>
            <w:rPr>
              <w:b/>
              <w:bCs/>
              <w:szCs w:val="24"/>
              <w:lang w:eastAsia="en-GB"/>
            </w:rPr>
            <w:t>DĖL LIETUVOS RESPUBLIKOS APLINKOS MINISTRO 2013 M. LIEPOS 3 D.</w:t>
          </w:r>
        </w:p>
        <w:p>
          <w:pPr>
            <w:jc w:val="center"/>
            <w:textAlignment w:val="baseline"/>
            <w:rPr>
              <w:b/>
              <w:bCs/>
              <w:caps/>
              <w:szCs w:val="24"/>
              <w:lang w:val="en-GB" w:eastAsia="lt-LT"/>
            </w:rPr>
          </w:pPr>
          <w:r>
            <w:rPr>
              <w:b/>
              <w:bCs/>
              <w:szCs w:val="24"/>
              <w:lang w:eastAsia="en-GB"/>
            </w:rPr>
            <w:t>ĮSAKYMO NR. D1-495 „</w:t>
          </w:r>
          <w:r>
            <w:rPr>
              <w:b/>
              <w:bCs/>
              <w:caps/>
              <w:szCs w:val="24"/>
              <w:lang w:val="en-GB" w:eastAsia="lt-LT"/>
            </w:rPr>
            <w:t>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w:t>
          </w:r>
          <w:r>
            <w:rPr>
              <w:b/>
              <w:bCs/>
              <w:szCs w:val="24"/>
              <w:lang w:val="en-GB" w:eastAsia="en-GB"/>
            </w:rPr>
            <w:t>“</w:t>
          </w:r>
          <w:r>
            <w:rPr>
              <w:b/>
              <w:bCs/>
              <w:caps/>
              <w:szCs w:val="24"/>
              <w:lang w:val="en-GB" w:eastAsia="lt-LT"/>
            </w:rPr>
            <w:t xml:space="preserve"> </w:t>
          </w:r>
          <w:r>
            <w:rPr>
              <w:b/>
              <w:bCs/>
              <w:caps/>
              <w:color w:val="000000"/>
              <w:szCs w:val="24"/>
              <w:lang w:val="en-GB" w:eastAsia="lt-LT"/>
            </w:rPr>
            <w:t>PAKEITIMO</w:t>
          </w:r>
        </w:p>
        <w:p>
          <w:pPr>
            <w:widowControl w:val="0"/>
            <w:jc w:val="center"/>
            <w:rPr>
              <w:b/>
              <w:bCs/>
              <w:szCs w:val="24"/>
              <w:lang w:eastAsia="lt-LT"/>
            </w:rPr>
          </w:pPr>
        </w:p>
        <w:p>
          <w:pPr>
            <w:widowControl w:val="0"/>
            <w:jc w:val="center"/>
            <w:rPr>
              <w:lang w:eastAsia="lt-LT"/>
            </w:rPr>
          </w:pPr>
          <w:r>
            <w:rPr>
              <w:lang w:eastAsia="lt-LT"/>
            </w:rPr>
            <w:t xml:space="preserve">2024 m.                   d. Nr. D1-</w:t>
          </w:r>
        </w:p>
        <w:p>
          <w:pPr>
            <w:widowControl w:val="0"/>
            <w:jc w:val="center"/>
            <w:rPr>
              <w:szCs w:val="24"/>
              <w:lang w:eastAsia="lt-LT"/>
            </w:rPr>
          </w:pPr>
          <w:r>
            <w:rPr>
              <w:szCs w:val="24"/>
              <w:lang w:eastAsia="lt-LT"/>
            </w:rPr>
            <w:t>Vilnius</w:t>
          </w:r>
        </w:p>
        <w:p>
          <w:pPr>
            <w:widowControl w:val="0"/>
            <w:rPr>
              <w:color w:val="000000"/>
              <w:szCs w:val="24"/>
              <w:lang w:eastAsia="lt-LT"/>
            </w:rPr>
          </w:pPr>
        </w:p>
        <w:sdt>
          <w:sdtPr>
            <w:alias w:val="1 p."/>
            <w:tag w:val="part_6e9492d26266430a8d4e80453eb24fd8"/>
            <w:lock w:val="sdtLocked"/>
            <w:richText/>
          </w:sdtPr>
          <w:sdtContent>
            <w:p>
              <w:pPr>
                <w:widowControl w:val="0"/>
                <w:ind w:firstLine="567"/>
                <w:jc w:val="both"/>
                <w:rPr>
                  <w:color w:val="000000"/>
                  <w:spacing w:val="60"/>
                  <w:lang w:eastAsia="lt-LT"/>
                </w:rPr>
              </w:pPr>
              <w:sdt>
                <w:sdtPr>
                  <w:alias w:val="Numeris"/>
                  <w:tag w:val="nr_6e9492d26266430a8d4e80453eb24fd8"/>
                  <w:lock w:val="sdtLocked"/>
                  <w:richText/>
                </w:sdtPr>
                <w:sdtContent>
                  <w:r>
                    <w:rPr>
                      <w:color w:val="000000"/>
                      <w:spacing w:val="60"/>
                      <w:lang w:eastAsia="lt-LT"/>
                    </w:rPr>
                    <w:t>1</w:t>
                  </w:r>
                </w:sdtContent>
              </w:sdt>
              <w:r>
                <w:rPr>
                  <w:color w:val="000000"/>
                  <w:spacing w:val="60"/>
                  <w:lang w:eastAsia="lt-LT"/>
                </w:rPr>
                <w:t xml:space="preserve">. </w:t>
              </w:r>
              <w:r>
                <w:rPr>
                  <w:color w:val="000000"/>
                  <w:lang w:eastAsia="lt-LT"/>
                </w:rPr>
                <w:t>P a k e i č i u Lietuvos Respublikos aplinkos ministro 2013 m. liepos 3 d. įsakymą Nr. D1-495 „Dėl</w:t>
              </w:r>
              <w:r>
                <w:rPr>
                  <w:color w:val="000000"/>
                  <w:spacing w:val="60"/>
                  <w:lang w:eastAsia="lt-LT"/>
                </w:rPr>
                <w:t xml:space="preserve"> </w:t>
              </w:r>
              <w:r>
                <w:rPr>
                  <w:color w:val="000000"/>
                  <w:lang w:eastAsia="lt-LT"/>
                </w:rPr>
                <w:t>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ir jį išdėstau nauja redakcija</w:t>
              </w:r>
              <w:r>
                <w:rPr>
                  <w:color w:val="000000"/>
                  <w:spacing w:val="60"/>
                  <w:lang w:eastAsia="lt-LT"/>
                </w:rPr>
                <w:t>:</w:t>
              </w:r>
            </w:p>
            <w:sdt>
              <w:sdtPr>
                <w:alias w:val="citata"/>
                <w:tag w:val="part_abb8a9a07b634ffeaa9600099edafeac"/>
                <w:lock w:val="sdtLocked"/>
                <w:richText/>
              </w:sdtPr>
              <w:sdtContent>
                <w:sdt>
                  <w:sdtPr>
                    <w:alias w:val="pagrindine"/>
                    <w:tag w:val="part_ccd2bb962eba4a1db55550d21dc2ce10"/>
                    <w:lock w:val="sdtLocked"/>
                    <w:richText/>
                  </w:sdtPr>
                  <w:sdtContent>
                    <w:p>
                      <w:pPr>
                        <w:jc w:val="center"/>
                        <w:rPr>
                          <w:b/>
                          <w:bCs/>
                          <w:szCs w:val="24"/>
                          <w:shd w:val="clear" w:color="auto" w:fill="FFFFFF"/>
                          <w:lang w:eastAsia="lt-LT"/>
                        </w:rPr>
                      </w:pPr>
                      <w:r>
                        <w:rPr>
                          <w:szCs w:val="24"/>
                          <w:shd w:val="clear" w:color="auto" w:fill="FFFFFF"/>
                          <w:lang w:eastAsia="lt-LT"/>
                        </w:rPr>
                        <w:t>„</w:t>
                      </w:r>
                      <w:r>
                        <w:rPr>
                          <w:b/>
                          <w:bCs/>
                          <w:szCs w:val="24"/>
                          <w:shd w:val="clear" w:color="auto" w:fill="FFFFFF"/>
                          <w:lang w:eastAsia="lt-LT"/>
                        </w:rPr>
                        <w:t>LIETUVOS RESPUBLIKOS APLINKOS MINISTRAS</w:t>
                      </w:r>
                    </w:p>
                    <w:p>
                      <w:pPr>
                        <w:jc w:val="center"/>
                        <w:rPr>
                          <w:b/>
                          <w:bCs/>
                          <w:sz w:val="16"/>
                          <w:szCs w:val="16"/>
                          <w:shd w:val="clear" w:color="auto" w:fill="FFFFFF"/>
                          <w:lang w:eastAsia="lt-LT"/>
                        </w:rPr>
                      </w:pPr>
                    </w:p>
                    <w:p>
                      <w:pPr>
                        <w:jc w:val="center"/>
                        <w:rPr>
                          <w:b/>
                          <w:bCs/>
                          <w:color w:val="000000"/>
                          <w:szCs w:val="24"/>
                          <w:shd w:val="clear" w:color="auto" w:fill="FFFFFF"/>
                          <w:lang w:eastAsia="lt-LT"/>
                        </w:rPr>
                      </w:pPr>
                      <w:r>
                        <w:rPr>
                          <w:b/>
                          <w:bCs/>
                          <w:color w:val="000000"/>
                          <w:szCs w:val="24"/>
                          <w:shd w:val="clear" w:color="auto" w:fill="FFFFFF"/>
                          <w:lang w:eastAsia="lt-LT"/>
                        </w:rPr>
                        <w:t>ĮSAKYMAS</w:t>
                      </w:r>
                    </w:p>
                    <w:p>
                      <w:pPr>
                        <w:widowControl w:val="0"/>
                        <w:jc w:val="center"/>
                        <w:rPr>
                          <w:color w:val="C00000"/>
                          <w:spacing w:val="60"/>
                          <w:lang w:eastAsia="lt-LT"/>
                        </w:rPr>
                      </w:pPr>
                      <w:r>
                        <w:rPr>
                          <w:b/>
                          <w:bCs/>
                          <w:caps/>
                          <w:lang w:eastAsia="lt-LT"/>
                        </w:rPr>
                        <w:t>Dėl Butų ir kitų patalpų savininkų sprendimo dėl daugiabučio namo atnaujinimo (modernizavimo) protokolo ir Pavedimo organizuoti daugiabučio namo atnaujinimo (modernizavimo) projekto parengimą ir (ar) įgyvendinimą, ir (ar) finansavimą sutarties pavyzdinIŲ formŲ patvirtinimo</w:t>
                      </w:r>
                    </w:p>
                    <w:p>
                      <w:pPr>
                        <w:suppressAutoHyphens/>
                        <w:spacing w:line="276" w:lineRule="auto"/>
                        <w:ind w:firstLine="567"/>
                        <w:jc w:val="both"/>
                        <w:rPr>
                          <w:lang w:eastAsia="lt-LT"/>
                        </w:rPr>
                      </w:pPr>
                    </w:p>
                    <w:sdt>
                      <w:sdtPr>
                        <w:alias w:val="preambule"/>
                        <w:tag w:val="part_1ab56c53faea4fbc91b344d0539e4b3e"/>
                        <w:lock w:val="sdtLocked"/>
                        <w:richText/>
                      </w:sdtPr>
                      <w:sdtContent>
                        <w:p>
                          <w:pPr>
                            <w:suppressAutoHyphens/>
                            <w:spacing w:line="276" w:lineRule="auto"/>
                            <w:ind w:firstLine="567"/>
                            <w:jc w:val="both"/>
                            <w:rPr>
                              <w:lang w:eastAsia="lt-LT"/>
                            </w:rPr>
                          </w:pPr>
                          <w:r>
                            <w:rPr>
                              <w:lang w:eastAsia="lt-LT"/>
                            </w:rPr>
                            <w:t>Vadovaudamasis Lietuvos Respublikos valstybės paramos daugiabučiams namams atnaujinti (modernizuoti) įstatymo 5 straipsnio 1 ir 2 dalimis ir įgyvendindamas Lietuvos Respublikos Vyriausybės 2015 m sausio 7 d. nutarimo Nr. 19 „Dėl įgaliojimų suteikimo įgyvendinant Lietuvos Respublikos valstybės paramos daugiabučiams namams atnaujinti (modernizuoti) įstatymą“ 1.2 ir 1.3 papunkčius,</w:t>
                          </w:r>
                        </w:p>
                      </w:sdtContent>
                    </w:sdt>
                    <w:sdt>
                      <w:sdtPr>
                        <w:alias w:val="1 p."/>
                        <w:tag w:val="part_da5bfdb7701e46dba80d573cce340d18"/>
                        <w:lock w:val="sdtLocked"/>
                        <w:richText/>
                      </w:sdtPr>
                      <w:sdtContent>
                        <w:p>
                          <w:pPr>
                            <w:suppressAutoHyphens/>
                            <w:spacing w:line="276" w:lineRule="auto"/>
                            <w:ind w:firstLine="567"/>
                            <w:jc w:val="both"/>
                            <w:rPr>
                              <w:lang w:eastAsia="lt-LT"/>
                            </w:rPr>
                          </w:pPr>
                          <w:sdt>
                            <w:sdtPr>
                              <w:alias w:val="Numeris"/>
                              <w:tag w:val="nr_da5bfdb7701e46dba80d573cce340d18"/>
                              <w:lock w:val="sdtLocked"/>
                              <w:richText/>
                            </w:sdtPr>
                            <w:sdtContent>
                              <w:r>
                                <w:rPr>
                                  <w:lang w:eastAsia="lt-LT"/>
                                </w:rPr>
                                <w:t>1</w:t>
                              </w:r>
                            </w:sdtContent>
                          </w:sdt>
                          <w:r>
                            <w:rPr>
                              <w:lang w:eastAsia="lt-LT"/>
                            </w:rPr>
                            <w:t>. T v i r t i n u pridedamas:</w:t>
                          </w:r>
                          <w:r>
                            <w:t xml:space="preserve"> </w:t>
                          </w:r>
                        </w:p>
                        <w:sdt>
                          <w:sdtPr>
                            <w:alias w:val="1.1 pp."/>
                            <w:tag w:val="part_3e41ef9933f34fd78087180c5babe21e"/>
                            <w:lock w:val="sdtLocked"/>
                            <w:richText/>
                          </w:sdtPr>
                          <w:sdtContent>
                            <w:p>
                              <w:pPr>
                                <w:widowControl w:val="0"/>
                                <w:spacing w:line="276" w:lineRule="auto"/>
                                <w:ind w:firstLine="567"/>
                                <w:jc w:val="both"/>
                                <w:rPr>
                                  <w:lang w:eastAsia="lt-LT"/>
                                </w:rPr>
                              </w:pPr>
                              <w:sdt>
                                <w:sdtPr>
                                  <w:alias w:val="Numeris"/>
                                  <w:tag w:val="nr_3e41ef9933f34fd78087180c5babe21e"/>
                                  <w:lock w:val="sdtLocked"/>
                                  <w:richText/>
                                </w:sdtPr>
                                <w:sdtContent>
                                  <w:r>
                                    <w:rPr>
                                      <w:lang w:eastAsia="lt-LT"/>
                                    </w:rPr>
                                    <w:t>1.1</w:t>
                                  </w:r>
                                </w:sdtContent>
                              </w:sdt>
                              <w:r>
                                <w:rPr>
                                  <w:lang w:eastAsia="lt-LT"/>
                                </w:rPr>
                                <w:t xml:space="preserve">. Butų ir kitų patalpų savininkų sprendimo dėl daugiabučio namo atnaujinimo (modernizavimo) protokolo pavyzdinę formą. </w:t>
                              </w:r>
                            </w:p>
                          </w:sdtContent>
                        </w:sdt>
                        <w:sdt>
                          <w:sdtPr>
                            <w:alias w:val="1.2 pp."/>
                            <w:tag w:val="part_9cbcc715eb9f472081f3c1d2006aebfd"/>
                            <w:lock w:val="sdtLocked"/>
                            <w:richText/>
                          </w:sdtPr>
                          <w:sdtContent>
                            <w:p>
                              <w:pPr>
                                <w:widowControl w:val="0"/>
                                <w:spacing w:line="276" w:lineRule="auto"/>
                                <w:ind w:firstLine="567"/>
                                <w:jc w:val="both"/>
                                <w:rPr>
                                  <w:lang w:eastAsia="lt-LT"/>
                                </w:rPr>
                              </w:pPr>
                              <w:sdt>
                                <w:sdtPr>
                                  <w:alias w:val="Numeris"/>
                                  <w:tag w:val="nr_9cbcc715eb9f472081f3c1d2006aebfd"/>
                                  <w:lock w:val="sdtLocked"/>
                                  <w:richText/>
                                </w:sdtPr>
                                <w:sdtContent>
                                  <w:r>
                                    <w:rPr>
                                      <w:lang w:eastAsia="lt-LT"/>
                                    </w:rPr>
                                    <w:t>1.2</w:t>
                                  </w:r>
                                </w:sdtContent>
                              </w:sdt>
                              <w:r>
                                <w:rPr>
                                  <w:lang w:eastAsia="lt-LT"/>
                                </w:rPr>
                                <w:t>. Pavedimo organizuoti daugiabučio namo atnaujinimo (modernizavimo) projekto parengimą ir (ar) įgyvendinimą, ir (ar) finansavimą sutarties pavyzdinę formą.</w:t>
                              </w:r>
                            </w:p>
                          </w:sdtContent>
                        </w:sdt>
                      </w:sdtContent>
                    </w:sdt>
                    <w:sdt>
                      <w:sdtPr>
                        <w:alias w:val="2 p."/>
                        <w:tag w:val="part_4a9a7742381e46fab9ef55fde832f62e"/>
                        <w:lock w:val="sdtLocked"/>
                        <w:richText/>
                      </w:sdtPr>
                      <w:sdtContent>
                        <w:p>
                          <w:pPr>
                            <w:spacing w:line="276" w:lineRule="auto"/>
                            <w:ind w:firstLine="567"/>
                            <w:jc w:val="both"/>
                            <w:rPr>
                              <w:lang w:eastAsia="lt-LT"/>
                            </w:rPr>
                          </w:pPr>
                          <w:sdt>
                            <w:sdtPr>
                              <w:alias w:val="Numeris"/>
                              <w:tag w:val="nr_4a9a7742381e46fab9ef55fde832f62e"/>
                              <w:lock w:val="sdtLocked"/>
                              <w:richText/>
                            </w:sdtPr>
                            <w:sdtContent>
                              <w:r>
                                <w:rPr>
                                  <w:lang w:eastAsia="lt-LT"/>
                                </w:rPr>
                                <w:t>2</w:t>
                              </w:r>
                            </w:sdtContent>
                          </w:sdt>
                          <w:r>
                            <w:rPr>
                              <w:lang w:eastAsia="lt-LT"/>
                            </w:rPr>
                            <w:t>. N u s t a t a u, kad, siekiant įgyvendinti Lietuvos Respublikos piniginės socialinės paramos nepasiturintiems gyventojams įstatymo 21 straipsnio 12 dalies nuostatą, bendrojo naudojimo objektų valdytojas arba savivaldybės programos įgyvendinimo administratorius per 30 darbo dienų nuo butų ir kitų patalpų savininkų susirinkimo (balsavimo raštu) dėl daugiabučio namo atnaujinimo (modernizavimo) dienos privalo savivaldybės administracijai, kurios teritorijoje yra daugiabutis namas, pateikti sprendimo dėl daugiabučio namo atnaujinimo (modernizavimo) protokolo išrašą, kuriame nurodomi priimant sprendimą nedalyvavę daugiabučio namo butų savininkai ir (ar) butų savininkai (vardas ir pavardė,</w:t>
                          </w:r>
                          <w:r>
                            <w:t xml:space="preserve"> </w:t>
                          </w:r>
                          <w:r>
                            <w:rPr>
                              <w:lang w:eastAsia="lt-LT"/>
                            </w:rPr>
                            <w:t>asmens tapatybę patvirtinančio dokumento rūšis, jo numeris ir išdavimo data, patalpų savininkui priklausančio buto (butų) ar kitos paskirties patalpų numeris ar kitas identifikavimo požymis), kurie priimant sprendimą nepritarė daugiabučio namo atnaujinimo (modernizavimo) projekto įgyvendinimui ir dėl kurių veiksmų (neveikimo) daugiabučio namo atnaujinimo (modernizavimo) projektas nebuvo pradėtas įgyvendinti.“</w:t>
                          </w:r>
                        </w:p>
                      </w:sdtContent>
                    </w:sdt>
                  </w:sdtContent>
                </w:sdt>
              </w:sdtContent>
            </w:sdt>
          </w:sdtContent>
        </w:sdt>
        <w:sdt>
          <w:sdtPr>
            <w:alias w:val="2 p."/>
            <w:tag w:val="part_41ba7a7aa3d343a1a8abe576a82d8771"/>
            <w:lock w:val="sdtLocked"/>
            <w:richText/>
          </w:sdtPr>
          <w:sdtContent>
            <w:p>
              <w:pPr>
                <w:tabs>
                  <w:tab w:val="left" w:pos="851"/>
                  <w:tab w:val="left" w:pos="1134"/>
                  <w:tab w:val="left" w:pos="1276"/>
                  <w:tab w:val="left" w:pos="1418"/>
                </w:tabs>
                <w:spacing w:line="276" w:lineRule="auto"/>
                <w:ind w:firstLine="709"/>
                <w:jc w:val="both"/>
                <w:rPr>
                  <w:lang w:eastAsia="lt-LT"/>
                </w:rPr>
              </w:pPr>
              <w:sdt>
                <w:sdtPr>
                  <w:alias w:val="Numeris"/>
                  <w:tag w:val="nr_41ba7a7aa3d343a1a8abe576a82d8771"/>
                  <w:lock w:val="sdtLocked"/>
                  <w:richText/>
                </w:sdtPr>
                <w:sdtContent>
                  <w:r>
                    <w:t>2</w:t>
                  </w:r>
                </w:sdtContent>
              </w:sdt>
              <w:r>
                <w:t xml:space="preserve">. </w:t>
              </w:r>
              <w:r>
                <w:rPr>
                  <w:lang w:eastAsia="lt-LT"/>
                </w:rPr>
                <w:t>N u s t a t a u, kad:</w:t>
              </w:r>
            </w:p>
            <w:sdt>
              <w:sdtPr>
                <w:alias w:val="2.1 pp."/>
                <w:tag w:val="part_08857adb44714b9ca6b2f3c7041d5ca5"/>
                <w:lock w:val="sdtLocked"/>
                <w:richText/>
              </w:sdtPr>
              <w:sdtContent>
                <w:p>
                  <w:pPr>
                    <w:spacing w:line="276" w:lineRule="auto"/>
                    <w:ind w:firstLine="709"/>
                    <w:jc w:val="both"/>
                  </w:pPr>
                  <w:sdt>
                    <w:sdtPr>
                      <w:alias w:val="Numeris"/>
                      <w:tag w:val="nr_08857adb44714b9ca6b2f3c7041d5ca5"/>
                      <w:lock w:val="sdtLocked"/>
                      <w:richText/>
                    </w:sdtPr>
                    <w:sdtContent>
                      <w:r>
                        <w:rPr>
                          <w:lang w:eastAsia="lt-LT"/>
                        </w:rPr>
                        <w:t>2.1</w:t>
                      </w:r>
                    </w:sdtContent>
                  </w:sdt>
                  <w:r>
                    <w:rPr>
                      <w:lang w:eastAsia="lt-LT"/>
                    </w:rPr>
                    <w:t>.</w:t>
                  </w:r>
                  <w:r>
                    <w:t xml:space="preserve"> </w:t>
                  </w:r>
                  <w:r>
                    <w:rPr>
                      <w:szCs w:val="24"/>
                    </w:rPr>
                    <w:t xml:space="preserve">kituose teisės aktuose  </w:t>
                  </w:r>
                  <w:r>
                    <w:t xml:space="preserve">vartojamą </w:t>
                  </w:r>
                  <w:r>
                    <w:rPr>
                      <w:spacing w:val="-2"/>
                      <w:lang w:eastAsia="lt-LT"/>
                    </w:rPr>
                    <w:t xml:space="preserve">Lietuvos Respublikos aplinkos ministro </w:t>
                  </w:r>
                  <w:r>
                    <w:t>2013 m. liepos 3 d.</w:t>
                  </w:r>
                  <w:r>
                    <w:rPr>
                      <w:sz w:val="22"/>
                      <w:szCs w:val="22"/>
                    </w:rPr>
                    <w:t xml:space="preserve"> </w:t>
                  </w:r>
                  <w:r>
                    <w:rPr>
                      <w:szCs w:val="24"/>
                      <w:shd w:val="clear" w:color="auto" w:fill="FFFFFF"/>
                      <w:lang w:eastAsia="lt-LT"/>
                    </w:rPr>
                    <w:t xml:space="preserve">įsakymo </w:t>
                  </w:r>
                  <w:r>
                    <w:t>Nr.</w:t>
                  </w:r>
                  <w:r>
                    <w:rPr>
                      <w:sz w:val="22"/>
                      <w:szCs w:val="22"/>
                    </w:rPr>
                    <w:t> </w:t>
                  </w:r>
                  <w:r>
                    <w:t>D1-495</w:t>
                  </w:r>
                  <w:r>
                    <w:rPr>
                      <w:szCs w:val="24"/>
                      <w:shd w:val="clear" w:color="auto" w:fill="FFFFFF"/>
                      <w:lang w:eastAsia="lt-LT"/>
                    </w:rPr>
                    <w:t xml:space="preserve"> </w:t>
                  </w:r>
                  <w:r>
                    <w:rPr>
                      <w:bCs/>
                      <w:szCs w:val="24"/>
                      <w:shd w:val="clear" w:color="auto" w:fill="FFFFFF"/>
                      <w:lang w:eastAsia="lt-LT"/>
                    </w:rPr>
                    <w:t>pavadinimą „</w:t>
                  </w:r>
                  <w:r>
                    <w:t>Dėl</w:t>
                  </w:r>
                  <w:r>
                    <w:rPr>
                      <w:spacing w:val="60"/>
                    </w:rPr>
                    <w:t xml:space="preserve"> </w:t>
                  </w:r>
                  <w:r>
                    <w:t>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w:t>
                  </w:r>
                  <w:r>
                    <w:rPr>
                      <w:bCs/>
                    </w:rPr>
                    <w:t xml:space="preserve">“ </w:t>
                  </w:r>
                  <w:r>
                    <w:rPr>
                      <w:spacing w:val="-2"/>
                      <w:lang w:eastAsia="lt-LT"/>
                    </w:rPr>
                    <w:t xml:space="preserve">atitinka pavadinimas </w:t>
                  </w:r>
                  <w:r>
                    <w:rPr>
                      <w:szCs w:val="24"/>
                    </w:rPr>
                    <w:t>„</w:t>
                  </w:r>
                  <w:r>
                    <w:t xml:space="preserve">Dėl Butų ir kitų patalpų savininkų sprendimo dėl daugiabučio namo atnaujinimo (modernizavimo) protokolo ir Pavedimo organizuoti daugiabučio namo atnaujinimo (modernizavimo) projekto parengimą ir (ar) įgyvendinimą, ir (ar) finansavimą sutarties pavyzdinių formų patvirtinimo“, </w:t>
                  </w:r>
                  <w:r>
                    <w:rPr>
                      <w:lang w:eastAsia="lt-LT"/>
                    </w:rPr>
                    <w:t>o</w:t>
                  </w:r>
                  <w:r>
                    <w:rPr>
                      <w:spacing w:val="-2"/>
                      <w:lang w:eastAsia="lt-LT"/>
                    </w:rPr>
                    <w:t xml:space="preserve"> šiuo įsakymu patvirtintų pavyzdinių formų  pavadinimai „</w:t>
                  </w:r>
                  <w:r>
                    <w:t>Pavyzdinė butų ir kitų patalpų savininkų sprendimo dėl daugiabučio namo atnaujinimo (modernizavimo) protokolo forma“ ir „Pavyzdinė pavedimo organizuoti daugiabučio namo atnaujinimo (modernizavimo) projekto parengimą ir (ar) įgyvendinimą, ir (ar) finansavimą sutarties forma</w:t>
                  </w:r>
                  <w:r>
                    <w:rPr>
                      <w:spacing w:val="-2"/>
                      <w:lang w:eastAsia="lt-LT"/>
                    </w:rPr>
                    <w:t>“ atitinka pavadinimus „B</w:t>
                  </w:r>
                  <w:r>
                    <w:t>utų ir kitų patalpų savininkų sprendimo dėl daugiabučio namo atnaujinimo (modernizavimo) protokolo pavyzdinė forma“ ir „Pavedimo organizuoti daugiabučio namo atnaujinimo (modernizavimo) projekto parengimą ir (ar) įgyvendinimą, ir (ar) finansavimą sutarties pavyzdinė forma“;</w:t>
                  </w:r>
                </w:p>
              </w:sdtContent>
            </w:sdt>
            <w:sdt>
              <w:sdtPr>
                <w:alias w:val="2.2 pp."/>
                <w:tag w:val="part_5aa2d786d3e047c3b877839158dab8c0"/>
                <w:lock w:val="sdtLocked"/>
                <w:richText/>
              </w:sdtPr>
              <w:sdtContent>
                <w:p>
                  <w:pPr>
                    <w:spacing w:line="276" w:lineRule="auto"/>
                    <w:ind w:firstLine="567"/>
                    <w:jc w:val="both"/>
                    <w:rPr>
                      <w:rFonts w:eastAsia="Calibri"/>
                      <w:shd w:val="clear" w:color="auto" w:fill="FFFFFF"/>
                    </w:rPr>
                  </w:pPr>
                  <w:sdt>
                    <w:sdtPr>
                      <w:alias w:val="Numeris"/>
                      <w:tag w:val="nr_5aa2d786d3e047c3b877839158dab8c0"/>
                      <w:lock w:val="sdtLocked"/>
                      <w:richText/>
                    </w:sdtPr>
                    <w:sdtContent>
                      <w:r>
                        <w:t>2.2</w:t>
                      </w:r>
                    </w:sdtContent>
                  </w:sdt>
                  <w:r>
                    <w:t xml:space="preserve">. iki šio įsakymo įsigaliojimo dienos šio įsakymo 1.1 ir 1.2 papunkčiuose nurodytos formos pasirašomos </w:t>
                  </w:r>
                  <w:r>
                    <w:rPr>
                      <w:rFonts w:eastAsia="Calibri"/>
                      <w:shd w:val="clear" w:color="auto" w:fill="FFFFFF"/>
                    </w:rPr>
                    <w:t>pagal iki šio įsakymo įsigaliojimo dienos nustatytus reikalavimus;</w:t>
                  </w:r>
                </w:p>
              </w:sdtContent>
            </w:sdt>
            <w:sdt>
              <w:sdtPr>
                <w:alias w:val="2.3 pp."/>
                <w:tag w:val="part_dfbe66cbcf3048649eb1f700f39d50c5"/>
                <w:lock w:val="sdtLocked"/>
                <w:richText/>
              </w:sdtPr>
              <w:sdtContent>
                <w:p>
                  <w:pPr>
                    <w:spacing w:line="276" w:lineRule="auto"/>
                    <w:ind w:firstLine="567"/>
                    <w:jc w:val="both"/>
                  </w:pPr>
                  <w:sdt>
                    <w:sdtPr>
                      <w:alias w:val="Numeris"/>
                      <w:tag w:val="nr_dfbe66cbcf3048649eb1f700f39d50c5"/>
                      <w:lock w:val="sdtLocked"/>
                      <w:richText/>
                    </w:sdtPr>
                    <w:sdtContent>
                      <w:r>
                        <w:t>2.3</w:t>
                      </w:r>
                    </w:sdtContent>
                  </w:sdt>
                  <w:r>
                    <w:t xml:space="preserve">. daugiabučio namo atnaujinimo (modernizavimo) projektai, kurių paraiškos pateiktos pagal kvietimus teikti paraiškas atnaujinti (modernizuoti) daugiabučius namus, paskelbtus iki 2024 m. rugpjūčio 31 d., baigiami įgyvendinti pagal Valstybės paramos daugiabučiams namams atnaujinti (modernizuoti) teikimo ir daugiabučių namų atnaujinimo (modernizavimo) projektų įgyvendinimo priežiūros taisykles, patvirtintas Lietuvos Respublikos Vyriausybės 2009 m. gruodžio 16 d. nutarimu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p>
                <w:p>
                  <w:pPr>
                    <w:widowControl w:val="0"/>
                    <w:tabs>
                      <w:tab w:val="right" w:pos="9071"/>
                    </w:tabs>
                    <w:spacing w:line="276" w:lineRule="auto"/>
                  </w:pPr>
                </w:p>
                <w:p>
                  <w:pPr>
                    <w:tabs>
                      <w:tab w:val="left" w:pos="993"/>
                    </w:tabs>
                    <w:spacing w:line="276" w:lineRule="auto"/>
                    <w:jc w:val="both"/>
                    <w:textAlignment w:val="baseline"/>
                    <w:rPr>
                      <w:bCs/>
                      <w:szCs w:val="24"/>
                      <w:lang w:eastAsia="lt-LT"/>
                    </w:rPr>
                  </w:pPr>
                </w:p>
                <w:p>
                  <w:pPr>
                    <w:tabs>
                      <w:tab w:val="left" w:pos="993"/>
                    </w:tabs>
                    <w:spacing w:line="276" w:lineRule="auto"/>
                    <w:jc w:val="both"/>
                    <w:textAlignment w:val="baseline"/>
                    <w:rPr>
                      <w:bCs/>
                      <w:szCs w:val="24"/>
                      <w:lang w:eastAsia="lt-LT"/>
                    </w:rPr>
                  </w:pPr>
                </w:p>
              </w:sdtContent>
            </w:sdt>
          </w:sdtContent>
        </w:sdt>
        <w:sdt>
          <w:sdtPr>
            <w:alias w:val="signatura"/>
            <w:tag w:val="part_37245df109e2485fa01a7f35de24258c"/>
            <w:lock w:val="sdtLocked"/>
            <w:richText/>
          </w:sdtPr>
          <w:sdtContent>
            <w:p>
              <w:pPr>
                <w:tabs>
                  <w:tab w:val="left" w:pos="993"/>
                  <w:tab w:val="left" w:pos="6804"/>
                </w:tabs>
                <w:spacing w:line="276" w:lineRule="auto"/>
                <w:jc w:val="both"/>
                <w:textAlignment w:val="baseline"/>
              </w:pPr>
              <w:r>
                <w:rPr>
                  <w:bCs/>
                  <w:szCs w:val="24"/>
                  <w:lang w:eastAsia="lt-LT"/>
                </w:rPr>
                <w:t>Aplinkos ministras</w:t>
                <w:tab/>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5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2C4BB8-D1E3-4A4A-ADEA-05DD5A0024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299305">
      <w:bodyDiv w:val="1"/>
      <w:marLeft w:val="0"/>
      <w:marRight w:val="0"/>
      <w:marTop w:val="0"/>
      <w:marBottom w:val="0"/>
      <w:divBdr>
        <w:top w:val="none" w:sz="0" w:space="0" w:color="auto"/>
        <w:left w:val="none" w:sz="0" w:space="0" w:color="auto"/>
        <w:bottom w:val="none" w:sz="0" w:space="0" w:color="auto"/>
        <w:right w:val="none" w:sz="0" w:space="0" w:color="auto"/>
      </w:divBdr>
    </w:div>
    <w:div w:id="122113618">
      <w:bodyDiv w:val="1"/>
      <w:marLeft w:val="0"/>
      <w:marRight w:val="0"/>
      <w:marTop w:val="0"/>
      <w:marBottom w:val="0"/>
      <w:divBdr>
        <w:top w:val="none" w:sz="0" w:space="0" w:color="auto"/>
        <w:left w:val="none" w:sz="0" w:space="0" w:color="auto"/>
        <w:bottom w:val="none" w:sz="0" w:space="0" w:color="auto"/>
        <w:right w:val="none" w:sz="0" w:space="0" w:color="auto"/>
      </w:divBdr>
    </w:div>
    <w:div w:id="780690125">
      <w:bodyDiv w:val="1"/>
      <w:marLeft w:val="0"/>
      <w:marRight w:val="0"/>
      <w:marTop w:val="0"/>
      <w:marBottom w:val="0"/>
      <w:divBdr>
        <w:top w:val="none" w:sz="0" w:space="0" w:color="auto"/>
        <w:left w:val="none" w:sz="0" w:space="0" w:color="auto"/>
        <w:bottom w:val="none" w:sz="0" w:space="0" w:color="auto"/>
        <w:right w:val="none" w:sz="0" w:space="0" w:color="auto"/>
      </w:divBdr>
    </w:div>
    <w:div w:id="992223315">
      <w:bodyDiv w:val="1"/>
      <w:marLeft w:val="0"/>
      <w:marRight w:val="0"/>
      <w:marTop w:val="0"/>
      <w:marBottom w:val="0"/>
      <w:divBdr>
        <w:top w:val="none" w:sz="0" w:space="0" w:color="auto"/>
        <w:left w:val="none" w:sz="0" w:space="0" w:color="auto"/>
        <w:bottom w:val="none" w:sz="0" w:space="0" w:color="auto"/>
        <w:right w:val="none" w:sz="0" w:space="0" w:color="auto"/>
      </w:divBdr>
      <w:divsChild>
        <w:div w:id="275404684">
          <w:marLeft w:val="0"/>
          <w:marRight w:val="0"/>
          <w:marTop w:val="0"/>
          <w:marBottom w:val="0"/>
          <w:divBdr>
            <w:top w:val="none" w:sz="0" w:space="0" w:color="auto"/>
            <w:left w:val="none" w:sz="0" w:space="0" w:color="auto"/>
            <w:bottom w:val="none" w:sz="0" w:space="0" w:color="auto"/>
            <w:right w:val="none" w:sz="0" w:space="0" w:color="auto"/>
          </w:divBdr>
        </w:div>
        <w:div w:id="333996767">
          <w:marLeft w:val="0"/>
          <w:marRight w:val="0"/>
          <w:marTop w:val="0"/>
          <w:marBottom w:val="0"/>
          <w:divBdr>
            <w:top w:val="none" w:sz="0" w:space="0" w:color="auto"/>
            <w:left w:val="none" w:sz="0" w:space="0" w:color="auto"/>
            <w:bottom w:val="none" w:sz="0" w:space="0" w:color="auto"/>
            <w:right w:val="none" w:sz="0" w:space="0" w:color="auto"/>
          </w:divBdr>
        </w:div>
        <w:div w:id="619344097">
          <w:marLeft w:val="0"/>
          <w:marRight w:val="0"/>
          <w:marTop w:val="0"/>
          <w:marBottom w:val="0"/>
          <w:divBdr>
            <w:top w:val="none" w:sz="0" w:space="0" w:color="auto"/>
            <w:left w:val="none" w:sz="0" w:space="0" w:color="auto"/>
            <w:bottom w:val="none" w:sz="0" w:space="0" w:color="auto"/>
            <w:right w:val="none" w:sz="0" w:space="0" w:color="auto"/>
          </w:divBdr>
        </w:div>
      </w:divsChild>
    </w:div>
    <w:div w:id="177131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704e421d4ad465aba54effa4971bf24" PartId="1340e746a15e41f592ca58e23631fe20">
    <Part Type="punktas" Nr="1" Abbr="1 p." DocPartId="1b2801f50e6c48d78863f16959b49484" PartId="6e9492d26266430a8d4e80453eb24fd8">
      <Part Type="citata" DocPartId="2e7d342f5232425fb31849a4f7d0df24" PartId="abb8a9a07b634ffeaa9600099edafeac">
        <Part Type="pagrindine" DocPartId="762d6b07e65a4f4093b78098e9f6e0c9" PartId="ccd2bb962eba4a1db55550d21dc2ce10">
          <Part Type="preambule" DocPartId="65709be70d3c4967959457b18c774c96" PartId="1ab56c53faea4fbc91b344d0539e4b3e"/>
          <Part Type="punktas" Nr="1" Abbr="1 p." DocPartId="a249b17fcea44ce2bf818f65f4429de9" PartId="da5bfdb7701e46dba80d573cce340d18">
            <Part Type="papunktis" Nr="1.1" Abbr="1.1 pp." DocPartId="204756e9442a4048944d371ed6147514" PartId="3e41ef9933f34fd78087180c5babe21e"/>
            <Part Type="papunktis" Nr="1.2" Abbr="1.2 pp." DocPartId="47e9aa4cf38b4199bc91a16f6c1304d2" PartId="9cbcc715eb9f472081f3c1d2006aebfd"/>
          </Part>
          <Part Type="punktas" Nr="2" Abbr="2 p." DocPartId="ea603b8a3f9e4a6b9a956d6d32e0bf02" PartId="4a9a7742381e46fab9ef55fde832f62e"/>
        </Part>
      </Part>
    </Part>
    <Part Type="punktas" Nr="2" Abbr="2 p." DocPartId="ed81878605a947228b6cedf4a2ae7da6" PartId="41ba7a7aa3d343a1a8abe576a82d8771">
      <Part Type="papunktis" Nr="2.1" Abbr="2.1 pp." DocPartId="ba2c4826f2984c66b837510d1b374997" PartId="08857adb44714b9ca6b2f3c7041d5ca5"/>
      <Part Type="papunktis" Nr="2.2" Abbr="2.2 pp." DocPartId="e2a5439399d84ad8be297ea263f9f1c2" PartId="5aa2d786d3e047c3b877839158dab8c0"/>
      <Part Type="papunktis" Nr="2.3" Abbr="2.3 pp." DocPartId="7e7d7e581cdf4ab7a3062ac906e70bcf" PartId="dfbe66cbcf3048649eb1f700f39d50c5"/>
    </Part>
    <Part Type="signatura" DocPartId="a4ba5b91878a4c7fa42dd98d0c55a6b0" PartId="37245df109e2485fa01a7f35de24258c"/>
  </Part>
</Parts>
</file>

<file path=customXml/itemProps1.xml><?xml version="1.0" encoding="utf-8"?>
<ds:datastoreItem xmlns:ds="http://schemas.openxmlformats.org/officeDocument/2006/customXml" ds:itemID="{B46CF842-F566-4880-9771-849CCEEA2E9D}">
  <ds:schemaRefs>
    <ds:schemaRef ds:uri="http://purl.org/dc/dcmitype/"/>
    <ds:schemaRef ds:uri="http://schemas.microsoft.com/office/infopath/2007/PartnerControls"/>
    <ds:schemaRef ds:uri="http://purl.org/dc/elements/1.1/"/>
    <ds:schemaRef ds:uri="47c1ea38-b788-4873-88f4-3b1f34597b9a"/>
    <ds:schemaRef ds:uri="http://schemas.microsoft.com/office/2006/metadata/properties"/>
    <ds:schemaRef ds:uri="0379a545-9986-45d7-9e6d-3845025712a0"/>
    <ds:schemaRef ds:uri="http://purl.org/dc/terms/"/>
    <ds:schemaRef ds:uri="http://schemas.microsoft.com/office/2006/documentManagement/types"/>
    <ds:schemaRef ds:uri="http://schemas.openxmlformats.org/package/2006/metadata/core-properties"/>
    <ds:schemaRef ds:uri="http://www.w3.org/XML/1998/namespace"/>
    <ds:schemaRef ds:uri="http://schemas.microsoft.com/sharepoint/v3"/>
  </ds:schemaRefs>
</ds:datastoreItem>
</file>

<file path=customXml/itemProps2.xml><?xml version="1.0" encoding="utf-8"?>
<ds:datastoreItem xmlns:ds="http://schemas.openxmlformats.org/officeDocument/2006/customXml" ds:itemID="{E8C8C934-1D23-4A62-8445-9B5270785D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30ECBA-9FF4-4035-9047-9E882DD410D9}">
  <ds:schemaRefs>
    <ds:schemaRef ds:uri="http://schemas.microsoft.com/sharepoint/v3/contenttype/forms"/>
  </ds:schemaRefs>
</ds:datastoreItem>
</file>

<file path=customXml/itemProps4.xml><?xml version="1.0" encoding="utf-8"?>
<ds:datastoreItem xmlns:ds="http://schemas.openxmlformats.org/officeDocument/2006/customXml" ds:itemID="{644195CD-4D33-408A-8353-EF8DC62D3DF4}">
  <ds:schemaRefs>
    <ds:schemaRef ds:uri="http://schemas.openxmlformats.org/officeDocument/2006/bibliography"/>
  </ds:schemaRefs>
</ds:datastoreItem>
</file>

<file path=customXml/itemProps5.xml><?xml version="1.0" encoding="utf-8"?>
<ds:datastoreItem xmlns:ds="http://schemas.openxmlformats.org/officeDocument/2006/customXml" ds:itemID="{4D8D429E-89AF-4154-9190-63FCF46080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667</Words>
  <Characters>4779</Characters>
  <Application>Microsoft Office Word</Application>
  <DocSecurity>4</DocSecurity>
  <Lines>88</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5423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2024-11-27T15:08:00Z</dcterms:created>
  <dc:creator>Rima</dc:creator>
  <lastModifiedBy>adlibuser</lastModifiedBy>
  <dcterms:modified xsi:type="dcterms:W3CDTF">2024-11-27T15:08:00Z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