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459f177cdc24933ad41318ab60dfeaf"/>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keepNext/>
            <w:outlineLvl w:val="1"/>
            <w:rPr>
              <w:rFonts w:eastAsia="MS Mincho"/>
              <w:b/>
              <w:bCs/>
              <w:szCs w:val="24"/>
            </w:rPr>
          </w:pPr>
        </w:p>
        <w:p>
          <w:pPr>
            <w:keepNext/>
            <w:jc w:val="center"/>
            <w:outlineLvl w:val="1"/>
            <w:rPr>
              <w:rFonts w:eastAsia="MS Mincho"/>
              <w:b/>
              <w:bCs/>
              <w:szCs w:val="24"/>
            </w:rPr>
          </w:pPr>
          <w:r>
            <w:rPr>
              <w:rFonts w:eastAsia="MS Mincho"/>
              <w:b/>
              <w:bCs/>
              <w:szCs w:val="24"/>
            </w:rPr>
            <w:t>RADVILIŠKIO RAJONO SAVIVALDYBĖS TARYBA</w:t>
          </w:r>
        </w:p>
        <w:p>
          <w:pPr>
            <w:jc w:val="center"/>
            <w:rPr>
              <w:b/>
              <w:bCs/>
              <w:szCs w:val="24"/>
            </w:rPr>
          </w:pPr>
        </w:p>
        <w:p>
          <w:pPr>
            <w:jc w:val="center"/>
            <w:rPr>
              <w:b/>
              <w:bCs/>
              <w:szCs w:val="24"/>
            </w:rPr>
          </w:pPr>
          <w:r>
            <w:rPr>
              <w:b/>
              <w:bCs/>
              <w:szCs w:val="24"/>
            </w:rPr>
            <w:t>SPRENDIMAS</w:t>
          </w:r>
        </w:p>
        <w:tbl>
          <w:tblPr>
            <w:tblW w:w="0" w:type="auto"/>
            <w:tblLook w:val="04A0" w:firstRow="1" w:lastRow="0" w:firstColumn="1" w:lastColumn="0" w:noHBand="0" w:noVBand="1"/>
          </w:tblPr>
          <w:tblGrid>
            <w:gridCol w:w="9638"/>
          </w:tblGrid>
          <w:tr>
            <w:tc>
              <w:tcPr>
                <w:tcW w:w="9854" w:type="dxa"/>
                <w:hideMark/>
              </w:tcPr>
              <w:p>
                <w:pPr>
                  <w:keepNext/>
                  <w:jc w:val="center"/>
                  <w:outlineLvl w:val="1"/>
                  <w:rPr>
                    <w:rFonts w:eastAsia="MS Mincho"/>
                    <w:b/>
                    <w:bCs/>
                    <w:szCs w:val="24"/>
                  </w:rPr>
                </w:pPr>
                <w:r>
                  <w:rPr>
                    <w:b/>
                    <w:bCs/>
                    <w:szCs w:val="24"/>
                    <w:shd w:val="clear" w:color="auto" w:fill="FFFFFF"/>
                    <w:lang w:eastAsia="ar-SA"/>
                  </w:rPr>
                  <w:t>DĖL SUSISIEKIMO KOMUNIKACIJŲ IR JŲ INŽINERINIŲ TINKLŲ STATYBOS, REKONSTRAVIMO IR KAPITALINIO REMONTO, DALYVAUJANT FIZINIAMS IR JURIDINIAMS ASMENIMS, TVARKOS APRAŠO PATVIRTINIMO, PAKEITIMO</w:t>
                </w:r>
              </w:p>
            </w:tc>
          </w:tr>
        </w:tbl>
        <w:p>
          <w:pPr>
            <w:jc w:val="center"/>
            <w:rPr>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p>
          <w:pPr>
            <w:suppressAutoHyphens/>
            <w:ind w:firstLine="709"/>
            <w:jc w:val="both"/>
            <w:rPr>
              <w:szCs w:val="24"/>
            </w:rPr>
          </w:pPr>
          <w:r>
            <w:rPr>
              <w:szCs w:val="24"/>
            </w:rPr>
            <w:t xml:space="preserve">Radviliškio rajono savivaldybės taryba </w:t>
          </w:r>
          <w:r>
            <w:rPr>
              <w:spacing w:val="50"/>
              <w:szCs w:val="24"/>
            </w:rPr>
            <w:t>nusprendži</w:t>
          </w:r>
          <w:r>
            <w:rPr>
              <w:szCs w:val="24"/>
            </w:rPr>
            <w:t>a:</w:t>
          </w:r>
        </w:p>
        <w:p>
          <w:pPr>
            <w:tabs>
              <w:tab w:val="left" w:pos="851"/>
              <w:tab w:val="left" w:pos="993"/>
            </w:tabs>
            <w:suppressAutoHyphens/>
            <w:ind w:firstLine="709"/>
            <w:jc w:val="both"/>
            <w:rPr>
              <w:szCs w:val="24"/>
            </w:rPr>
          </w:pPr>
          <w:r>
            <w:rPr>
              <w:szCs w:val="24"/>
            </w:rPr>
            <w:t>Pakeisti Susisiekimo komunikacijų ir jų inžinerinių tinklų statybos, rekonstravimo ir kapitalinio remonto, dalyvaujant fiziniams ir juridiniams asmenims tvarkos aprašą, patvirtintą Radviliškio rajono savivaldybės tarybos 2021 m. spalio 14 d. sprendimo Nr. T-596 „Dėl Susisiekimo komunikacijų ir jų inžinerinių tinklų statybos, rekonstravimo ir kapitalinio remonto, dalyvaujant fiziniams ir juridiniams asmenims tvarkos aprašo patvirtinimo“ 1 punktu ir išdėstyti jį nauja redakcija (pridedama).</w:t>
          </w:r>
        </w:p>
        <w:p>
          <w:pPr>
            <w:tabs>
              <w:tab w:val="center" w:pos="4819"/>
              <w:tab w:val="right" w:pos="9638"/>
            </w:tabs>
            <w:suppressAutoHyphens/>
            <w:rPr>
              <w:szCs w:val="24"/>
            </w:rPr>
          </w:pPr>
        </w:p>
        <w:p>
          <w:pPr>
            <w:suppressAutoHyphens/>
            <w:jc w:val="both"/>
            <w:rPr>
              <w:szCs w:val="24"/>
            </w:rPr>
          </w:pPr>
        </w:p>
        <w:p>
          <w:pPr>
            <w:suppressAutoHyphens/>
            <w:jc w:val="both"/>
            <w:rPr>
              <w:szCs w:val="24"/>
            </w:rPr>
          </w:pPr>
        </w:p>
        <w:p>
          <w:pPr>
            <w:suppressAutoHyphens/>
            <w:ind w:left="60"/>
            <w:rPr>
              <w:szCs w:val="24"/>
            </w:rPr>
          </w:pPr>
          <w:r>
            <w:rPr>
              <w:szCs w:val="24"/>
            </w:rPr>
            <w:t xml:space="preserve">Savivaldybės meras </w:t>
            <w:tab/>
            <w:tab/>
            <w:tab/>
            <w:tab/>
            <w:t xml:space="preserve">               </w:t>
          </w: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rPr>
              <w:szCs w:val="24"/>
            </w:rPr>
          </w:pPr>
        </w:p>
        <w:sdt>
          <w:sdtPr>
            <w:alias w:val="skirsnis"/>
            <w:tag w:val="part_c33e6d17664d4885b9b85502ad914230"/>
            <w:lock w:val="sdtLocked"/>
            <w:richText/>
          </w:sdtPr>
          <w:sdtContent>
            <w:sdt>
              <w:sdtPr>
                <w:alias w:val="Pavadinimas"/>
                <w:tag w:val="title_c33e6d17664d4885b9b85502ad914230"/>
                <w:lock w:val="sdtLocked"/>
                <w:richText/>
              </w:sdtPr>
              <w:sdtContent>
                <w:p>
                  <w:pPr>
                    <w:jc w:val="center"/>
                    <w:rPr>
                      <w:b/>
                      <w:bCs/>
                      <w:szCs w:val="24"/>
                      <w:lang w:eastAsia="lt-LT"/>
                    </w:rPr>
                  </w:pPr>
                  <w:r>
                    <w:rPr>
                      <w:b/>
                      <w:bCs/>
                      <w:szCs w:val="24"/>
                      <w:lang w:eastAsia="lt-LT"/>
                    </w:rPr>
                    <w:t>RADVILIŠKIO RAJONO SAVIVALDYBĖS TARYBOS SPRENDIMO PROJEKTO</w:t>
                  </w:r>
                </w:p>
                <w:p>
                  <w:pPr>
                    <w:jc w:val="center"/>
                    <w:rPr>
                      <w:b/>
                      <w:bCs/>
                      <w:szCs w:val="24"/>
                      <w:lang w:eastAsia="lt-LT"/>
                    </w:rPr>
                  </w:pPr>
                  <w:r>
                    <w:rPr>
                      <w:b/>
                      <w:bCs/>
                      <w:szCs w:val="24"/>
                      <w:lang w:eastAsia="lt-LT"/>
                    </w:rPr>
                    <w:t>„</w:t>
                  </w:r>
                  <w:r>
                    <w:rPr>
                      <w:b/>
                      <w:bCs/>
                      <w:szCs w:val="24"/>
                      <w:shd w:val="clear" w:color="auto" w:fill="FFFFFF"/>
                      <w:lang w:eastAsia="ar-SA"/>
                    </w:rPr>
                    <w:t>DĖL SUSISIEKIMO KOMUNIKACIJŲ IR JŲ INŽINERINIŲ TINKLŲ STATYBOS, REKONSTRAVIMO IR KAPITALINIO REMONTO, DALYVAUJANT FIZINIAMS IR JURIDINIAMS ASMENIMS, TVARKOS APRAŠO PATVIRTINIMO,PAKEITIMO“</w:t>
                  </w:r>
                </w:p>
                <w:p>
                  <w:pPr>
                    <w:jc w:val="center"/>
                    <w:rPr>
                      <w:b/>
                      <w:bCs/>
                      <w:szCs w:val="24"/>
                      <w:lang w:eastAsia="lt-LT"/>
                    </w:rPr>
                  </w:pPr>
                  <w:r>
                    <w:rPr>
                      <w:b/>
                      <w:bCs/>
                      <w:szCs w:val="24"/>
                      <w:lang w:eastAsia="lt-LT"/>
                    </w:rPr>
                    <w:t>AIŠKINAMASIS RAŠTAS</w:t>
                  </w:r>
                </w:p>
              </w:sdtContent>
            </w:sdt>
            <w:p>
              <w:pPr>
                <w:ind w:firstLine="856"/>
                <w:jc w:val="center"/>
                <w:rPr>
                  <w:bCs/>
                  <w:szCs w:val="24"/>
                  <w:lang w:eastAsia="lt-LT"/>
                </w:rPr>
              </w:pPr>
            </w:p>
          </w:sdtContent>
        </w:sdt>
        <w:sdt>
          <w:sdtPr>
            <w:alias w:val="signatura"/>
            <w:tag w:val="part_ec74f6bd967d4f2f844f799eeb85c063"/>
            <w:lock w:val="sdtLocked"/>
            <w:richText/>
          </w:sdtPr>
          <w:sdtContent>
            <w:p>
              <w:pPr>
                <w:ind w:firstLine="856"/>
                <w:jc w:val="center"/>
                <w:rPr>
                  <w:bCs/>
                  <w:szCs w:val="24"/>
                  <w:lang w:eastAsia="lt-LT"/>
                </w:rPr>
              </w:pPr>
              <w:r>
                <w:rPr>
                  <w:bCs/>
                  <w:szCs w:val="24"/>
                  <w:lang w:eastAsia="lt-LT"/>
                </w:rPr>
                <w:t>2025 m. sausio 30 d.</w:t>
              </w:r>
            </w:p>
            <w:p>
              <w:pPr>
                <w:ind w:firstLine="856"/>
                <w:jc w:val="center"/>
                <w:rPr>
                  <w:bCs/>
                  <w:szCs w:val="24"/>
                  <w:lang w:eastAsia="lt-LT"/>
                </w:rPr>
              </w:pPr>
              <w:r>
                <w:rPr>
                  <w:bCs/>
                  <w:szCs w:val="24"/>
                  <w:lang w:eastAsia="lt-LT"/>
                </w:rPr>
                <w:t>Radviliškis</w:t>
              </w:r>
            </w:p>
            <w:p>
              <w:pPr>
                <w:ind w:firstLine="856"/>
                <w:jc w:val="center"/>
                <w:rPr>
                  <w:bCs/>
                  <w:szCs w:val="24"/>
                  <w:lang w:eastAsia="lt-LT"/>
                </w:rPr>
              </w:pPr>
            </w:p>
            <w:tbl>
              <w:tblPr>
                <w:tblW w:w="0" w:type="auto"/>
                <w:tblInd w:w="108" w:type="dxa"/>
                <w:tblLook w:val="04A0" w:firstRow="1" w:lastRow="0" w:firstColumn="1" w:lastColumn="0" w:noHBand="0" w:noVBand="1"/>
              </w:tblPr>
              <w:tblGrid>
                <w:gridCol w:w="9469"/>
              </w:tblGrid>
              <w:tr>
                <w:trPr>
                  <w:trHeight w:val="1770"/>
                </w:trPr>
                <w:tc>
                  <w:tcPr>
                    <w:tcW w:w="9469" w:type="dxa"/>
                  </w:tcPr>
                  <w:p>
                    <w:pPr>
                      <w:tabs>
                        <w:tab w:val="left" w:pos="1130"/>
                      </w:tabs>
                      <w:suppressAutoHyphens/>
                      <w:ind w:firstLine="743"/>
                      <w:jc w:val="both"/>
                      <w:rPr>
                        <w:szCs w:val="24"/>
                      </w:rPr>
                    </w:pPr>
                    <w:r>
                      <w:rPr>
                        <w:b/>
                        <w:bCs/>
                        <w:szCs w:val="24"/>
                      </w:rPr>
                      <w:t>1.</w:t>
                      <w:tab/>
                      <w:t>Projekto rengimą paskatinusios priežastys, parengto projekto tikslai ir uždaviniai.</w:t>
                    </w:r>
                  </w:p>
                  <w:p>
                    <w:pPr>
                      <w:tabs>
                        <w:tab w:val="left" w:pos="1130"/>
                      </w:tabs>
                      <w:suppressAutoHyphens/>
                      <w:ind w:firstLine="783"/>
                      <w:jc w:val="both"/>
                      <w:rPr>
                        <w:szCs w:val="24"/>
                      </w:rPr>
                    </w:pPr>
                    <w:r>
                      <w:rPr>
                        <w:szCs w:val="24"/>
                      </w:rPr>
                      <w:t xml:space="preserve">Projektas rengiamas  siekiant skatinti gyventojus prisidėti prie bendrojo naudojimo teritorijose esančios infrastruktūros gerinimo.</w:t>
                    </w:r>
                  </w:p>
                  <w:p>
                    <w:pPr>
                      <w:suppressAutoHyphens/>
                      <w:ind w:left="1103" w:hanging="360"/>
                      <w:jc w:val="both"/>
                      <w:rPr>
                        <w:b/>
                        <w:bCs/>
                        <w:szCs w:val="24"/>
                      </w:rPr>
                    </w:pPr>
                    <w:r>
                      <w:rPr>
                        <w:b/>
                        <w:bCs/>
                        <w:szCs w:val="24"/>
                      </w:rPr>
                      <w:t>2.</w:t>
                      <w:tab/>
                      <w:t>Projekto iniciatoriai (institucija, asmenys ar piliečių atstovai) ir rengėjai.</w:t>
                    </w:r>
                  </w:p>
                  <w:p>
                    <w:pPr>
                      <w:suppressAutoHyphens/>
                      <w:ind w:left="743"/>
                      <w:jc w:val="both"/>
                      <w:rPr>
                        <w:szCs w:val="24"/>
                      </w:rPr>
                    </w:pPr>
                    <w:r>
                      <w:rPr>
                        <w:szCs w:val="24"/>
                      </w:rPr>
                      <w:t>Radviliškio rajono savivaldybės administracijos Statybos ir viešosios tvarkos skyrius.</w:t>
                    </w:r>
                  </w:p>
                </w:tc>
              </w:tr>
              <w:tr>
                <w:trPr>
                  <w:trHeight w:val="182"/>
                </w:trPr>
                <w:tc>
                  <w:tcPr>
                    <w:tcW w:w="9469" w:type="dxa"/>
                  </w:tcPr>
                  <w:p>
                    <w:pPr>
                      <w:tabs>
                        <w:tab w:val="left" w:pos="0"/>
                      </w:tabs>
                      <w:ind w:left="1103" w:right="57" w:hanging="360"/>
                      <w:jc w:val="both"/>
                      <w:rPr>
                        <w:b/>
                        <w:bCs/>
                        <w:szCs w:val="24"/>
                      </w:rPr>
                    </w:pPr>
                    <w:r>
                      <w:rPr>
                        <w:b/>
                        <w:bCs/>
                        <w:szCs w:val="24"/>
                      </w:rPr>
                      <w:t>3.</w:t>
                      <w:tab/>
                      <w:t xml:space="preserve"> Kaip šiuo metu yra reguliuojami projekte aptarti teisiniai santykiai.</w:t>
                    </w:r>
                  </w:p>
                  <w:p>
                    <w:pPr>
                      <w:tabs>
                        <w:tab w:val="left" w:pos="0"/>
                      </w:tabs>
                      <w:ind w:right="57" w:firstLine="720"/>
                      <w:jc w:val="both"/>
                      <w:rPr>
                        <w:szCs w:val="24"/>
                      </w:rPr>
                    </w:pPr>
                    <w:r>
                      <w:rPr>
                        <w:bCs/>
                        <w:szCs w:val="24"/>
                      </w:rPr>
                      <w:t xml:space="preserve">Šiuo metu galioja 2021 m. spalio 14  d. sprendimas Nr. T-596 „Dėl Susisiekimo komunikacijų ir jų inžinerinių tinklų statybos, rekonstravimo ir kapitalinio remonto, dalyvaujant fiziniams ir juridiniams asmenims aprašo patvirtinimo“.</w:t>
                    </w:r>
                  </w:p>
                </w:tc>
              </w:tr>
              <w:tr>
                <w:tc>
                  <w:tcPr>
                    <w:tcW w:w="9469" w:type="dxa"/>
                  </w:tcPr>
                  <w:p>
                    <w:pPr>
                      <w:tabs>
                        <w:tab w:val="left" w:pos="0"/>
                      </w:tabs>
                      <w:ind w:right="57" w:firstLine="773"/>
                      <w:jc w:val="both"/>
                      <w:rPr>
                        <w:b/>
                        <w:bCs/>
                        <w:i/>
                        <w:iCs/>
                        <w:szCs w:val="24"/>
                      </w:rPr>
                    </w:pPr>
                    <w:r>
                      <w:rPr>
                        <w:b/>
                        <w:bCs/>
                        <w:szCs w:val="24"/>
                      </w:rPr>
                      <w:t>4.</w:t>
                    </w:r>
                    <w:r>
                      <w:rPr>
                        <w:b/>
                        <w:bCs/>
                        <w:i/>
                        <w:iCs/>
                        <w:szCs w:val="24"/>
                      </w:rPr>
                      <w:t xml:space="preserve"> </w:t>
                    </w:r>
                    <w:r>
                      <w:rPr>
                        <w:b/>
                        <w:bCs/>
                        <w:szCs w:val="24"/>
                      </w:rPr>
                      <w:t>Kokios siūlomos naujos teisinio reguliavimo nuostatos, kokių teigiamų rezultatų laukiama.</w:t>
                    </w:r>
                  </w:p>
                  <w:p>
                    <w:pPr>
                      <w:tabs>
                        <w:tab w:val="left" w:pos="0"/>
                      </w:tabs>
                      <w:ind w:right="57" w:firstLine="709"/>
                      <w:jc w:val="both"/>
                      <w:rPr>
                        <w:bCs/>
                        <w:iCs/>
                        <w:szCs w:val="24"/>
                      </w:rPr>
                    </w:pPr>
                    <w:r>
                      <w:rPr>
                        <w:bCs/>
                        <w:iCs/>
                        <w:szCs w:val="24"/>
                      </w:rPr>
                      <w:t xml:space="preserve">Tikimasi, kad priimtas sprendimo projektas gyventojus paskatins tvarkytis bendrojo naudojimo teritorijose esančią infrastruktūrą, renovuotis daugiabučius gyvenamuosius namus. </w:t>
                    </w:r>
                  </w:p>
                </w:tc>
              </w:tr>
              <w:tr>
                <w:tc>
                  <w:tcPr>
                    <w:tcW w:w="9469" w:type="dxa"/>
                  </w:tcPr>
                  <w:p>
                    <w:pPr>
                      <w:ind w:firstLine="773"/>
                      <w:jc w:val="both"/>
                      <w:rPr>
                        <w:color w:val="000000"/>
                        <w:szCs w:val="24"/>
                        <w:lang w:eastAsia="lt-LT"/>
                      </w:rPr>
                    </w:pPr>
                    <w:r>
                      <w:rPr>
                        <w:b/>
                        <w:bCs/>
                        <w:szCs w:val="24"/>
                      </w:rPr>
                      <w:t>5.</w:t>
                    </w:r>
                    <w:r>
                      <w:rPr>
                        <w:szCs w:val="24"/>
                      </w:rPr>
                      <w:t xml:space="preserve">  </w:t>
                    </w:r>
                    <w:r>
                      <w:rPr>
                        <w:b/>
                        <w:bCs/>
                        <w:color w:val="000000"/>
                        <w:szCs w:val="24"/>
                        <w:lang w:eastAsia="lt-LT"/>
                      </w:rPr>
                      <w:t>Galimos neigiamos priimto sprendimo projekto pasekmės ir kokių priemonių reikėtų imtis, kad tokių pasekmių būtų išvengta.</w:t>
                    </w:r>
                  </w:p>
                  <w:p>
                    <w:pPr>
                      <w:ind w:firstLine="783"/>
                      <w:jc w:val="both"/>
                      <w:rPr>
                        <w:szCs w:val="24"/>
                      </w:rPr>
                    </w:pPr>
                    <w:r>
                      <w:rPr>
                        <w:szCs w:val="24"/>
                      </w:rPr>
                      <w:t xml:space="preserve">Neigiamų pasekmių nenumatyta. </w:t>
                    </w:r>
                  </w:p>
                </w:tc>
              </w:tr>
              <w:tr>
                <w:tc>
                  <w:tcPr>
                    <w:tcW w:w="9469" w:type="dxa"/>
                  </w:tcPr>
                  <w:p>
                    <w:pPr>
                      <w:tabs>
                        <w:tab w:val="left" w:pos="0"/>
                      </w:tabs>
                      <w:ind w:right="57" w:firstLine="773"/>
                      <w:jc w:val="both"/>
                      <w:rPr>
                        <w:b/>
                        <w:bCs/>
                        <w:szCs w:val="24"/>
                      </w:rPr>
                    </w:pPr>
                    <w:r>
                      <w:rPr>
                        <w:b/>
                        <w:bCs/>
                        <w:szCs w:val="24"/>
                      </w:rPr>
                      <w:t>6. Kokius teisės aktus būtina priimti, kokius galiojančius teisės aktus būtina pakeisti ar pripažinti netekusiais galios priėmus sprendimo projektą.</w:t>
                    </w:r>
                  </w:p>
                  <w:p>
                    <w:pPr>
                      <w:tabs>
                        <w:tab w:val="left" w:pos="0"/>
                      </w:tabs>
                      <w:ind w:right="57" w:firstLine="773"/>
                      <w:jc w:val="both"/>
                      <w:rPr>
                        <w:bCs/>
                        <w:szCs w:val="24"/>
                      </w:rPr>
                    </w:pPr>
                    <w:r>
                      <w:rPr>
                        <w:bCs/>
                        <w:szCs w:val="24"/>
                      </w:rPr>
                      <w:t xml:space="preserve">2021 m. spalio 14  d. sprendimas Nr. T-596 „Dėl Susisiekimo komunikacijų ir jų inžinerinių tinklų statybos, rekonstravimo ir kapitalinio remonto, dalyvaujant fiziniams ir juridiniams asmenims aprašo patvirtinimo“.</w:t>
                    </w:r>
                  </w:p>
                </w:tc>
              </w:tr>
              <w:tr>
                <w:tc>
                  <w:tcPr>
                    <w:tcW w:w="9469" w:type="dxa"/>
                  </w:tcPr>
                  <w:p>
                    <w:pPr>
                      <w:tabs>
                        <w:tab w:val="left" w:pos="0"/>
                        <w:tab w:val="left" w:pos="1481"/>
                      </w:tabs>
                      <w:ind w:right="57" w:firstLine="783"/>
                      <w:jc w:val="both"/>
                      <w:rPr>
                        <w:b/>
                        <w:bCs/>
                        <w:szCs w:val="24"/>
                      </w:rPr>
                    </w:pPr>
                    <w:r>
                      <w:rPr>
                        <w:b/>
                        <w:bCs/>
                        <w:szCs w:val="24"/>
                      </w:rPr>
                      <w:t>7.</w:t>
                    </w:r>
                    <w:r>
                      <w:rPr>
                        <w:szCs w:val="24"/>
                      </w:rPr>
                      <w:t xml:space="preserve"> </w:t>
                    </w:r>
                    <w:r>
                      <w:rPr>
                        <w:b/>
                        <w:bCs/>
                        <w:szCs w:val="24"/>
                      </w:rPr>
                      <w:t>Sprendimo projektui įgyvendinti reikalingos lėšos, finansavimo šaltiniai.</w:t>
                    </w:r>
                  </w:p>
                  <w:p>
                    <w:pPr>
                      <w:tabs>
                        <w:tab w:val="left" w:pos="0"/>
                        <w:tab w:val="left" w:pos="1481"/>
                      </w:tabs>
                      <w:ind w:right="57" w:firstLine="783"/>
                      <w:jc w:val="both"/>
                      <w:rPr>
                        <w:b/>
                        <w:bCs/>
                        <w:szCs w:val="24"/>
                      </w:rPr>
                    </w:pPr>
                    <w:r>
                      <w:rPr>
                        <w:szCs w:val="24"/>
                      </w:rPr>
                      <w:t xml:space="preserve">Radviliškio rajono savivaldybės biudžeto lėšos.  </w:t>
                    </w:r>
                  </w:p>
                </w:tc>
              </w:tr>
              <w:tr>
                <w:tc>
                  <w:tcPr>
                    <w:tcW w:w="9469" w:type="dxa"/>
                  </w:tcPr>
                  <w:p>
                    <w:pPr>
                      <w:tabs>
                        <w:tab w:val="left" w:pos="0"/>
                        <w:tab w:val="left" w:pos="1340"/>
                      </w:tabs>
                      <w:ind w:right="57" w:firstLine="783"/>
                      <w:jc w:val="both"/>
                      <w:rPr>
                        <w:b/>
                        <w:bCs/>
                        <w:szCs w:val="24"/>
                      </w:rPr>
                    </w:pPr>
                    <w:r>
                      <w:rPr>
                        <w:b/>
                        <w:bCs/>
                        <w:szCs w:val="24"/>
                      </w:rPr>
                      <w:t>8. Sprendimo projekto rengimo metu gauti specialistų vertinimai ir išvados.</w:t>
                    </w:r>
                  </w:p>
                  <w:p>
                    <w:pPr>
                      <w:tabs>
                        <w:tab w:val="left" w:pos="0"/>
                        <w:tab w:val="left" w:pos="1340"/>
                      </w:tabs>
                      <w:ind w:right="57" w:firstLine="783"/>
                      <w:jc w:val="both"/>
                      <w:rPr>
                        <w:szCs w:val="24"/>
                      </w:rPr>
                    </w:pPr>
                    <w:r>
                      <w:rPr>
                        <w:szCs w:val="24"/>
                      </w:rPr>
                      <w:t>-</w:t>
                    </w:r>
                  </w:p>
                </w:tc>
              </w:tr>
              <w:tr>
                <w:tc>
                  <w:tcPr>
                    <w:tcW w:w="9469" w:type="dxa"/>
                  </w:tcPr>
                  <w:p>
                    <w:pPr>
                      <w:tabs>
                        <w:tab w:val="left" w:pos="0"/>
                        <w:tab w:val="left" w:pos="1340"/>
                      </w:tabs>
                      <w:ind w:right="57" w:firstLine="783"/>
                      <w:jc w:val="both"/>
                      <w:rPr>
                        <w:b/>
                        <w:bCs/>
                        <w:szCs w:val="24"/>
                      </w:rPr>
                    </w:pPr>
                    <w:r>
                      <w:rPr>
                        <w:b/>
                        <w:bCs/>
                        <w:szCs w:val="24"/>
                      </w:rPr>
                      <w:t>9. Numatomo teisinio reguliavimo poveikio vertinimo rezultatai.</w:t>
                    </w:r>
                  </w:p>
                  <w:p>
                    <w:pPr>
                      <w:tabs>
                        <w:tab w:val="left" w:pos="0"/>
                        <w:tab w:val="left" w:pos="1340"/>
                      </w:tabs>
                      <w:ind w:right="57" w:firstLine="783"/>
                      <w:jc w:val="both"/>
                      <w:rPr>
                        <w:szCs w:val="24"/>
                      </w:rPr>
                    </w:pPr>
                    <w:r>
                      <w:rPr>
                        <w:szCs w:val="24"/>
                      </w:rPr>
                      <w:t>Teisinio reguliavimo poveikio vertinimas neatliktas.</w:t>
                    </w:r>
                  </w:p>
                </w:tc>
              </w:tr>
              <w:tr>
                <w:tc>
                  <w:tcPr>
                    <w:tcW w:w="9469" w:type="dxa"/>
                  </w:tcPr>
                  <w:p>
                    <w:pPr>
                      <w:tabs>
                        <w:tab w:val="left" w:pos="0"/>
                        <w:tab w:val="left" w:pos="1340"/>
                      </w:tabs>
                      <w:ind w:right="57" w:firstLine="783"/>
                      <w:jc w:val="both"/>
                      <w:rPr>
                        <w:b/>
                        <w:bCs/>
                        <w:szCs w:val="24"/>
                      </w:rPr>
                    </w:pPr>
                    <w:r>
                      <w:rPr>
                        <w:b/>
                        <w:bCs/>
                        <w:szCs w:val="24"/>
                      </w:rPr>
                      <w:t>10. Sprendimo projekto antikorupcinis vertinimas.</w:t>
                    </w:r>
                  </w:p>
                  <w:p>
                    <w:pPr>
                      <w:tabs>
                        <w:tab w:val="left" w:pos="0"/>
                        <w:tab w:val="left" w:pos="1340"/>
                      </w:tabs>
                      <w:ind w:right="57" w:firstLine="783"/>
                      <w:jc w:val="both"/>
                      <w:rPr>
                        <w:szCs w:val="24"/>
                      </w:rPr>
                    </w:pPr>
                    <w:r>
                      <w:rPr>
                        <w:szCs w:val="24"/>
                      </w:rPr>
                      <w:t>Antikorupcinis vertinimas nebuvo atliekamas.</w:t>
                    </w:r>
                  </w:p>
                </w:tc>
              </w:tr>
              <w:tr>
                <w:tc>
                  <w:tcPr>
                    <w:tcW w:w="9469" w:type="dxa"/>
                  </w:tcPr>
                  <w:p>
                    <w:pPr>
                      <w:tabs>
                        <w:tab w:val="left" w:pos="0"/>
                        <w:tab w:val="left" w:pos="1340"/>
                      </w:tabs>
                      <w:ind w:right="57" w:firstLine="783"/>
                      <w:jc w:val="both"/>
                      <w:rPr>
                        <w:b/>
                        <w:bCs/>
                        <w:szCs w:val="24"/>
                      </w:rPr>
                    </w:pPr>
                    <w:r>
                      <w:rPr>
                        <w:b/>
                        <w:bCs/>
                        <w:szCs w:val="24"/>
                      </w:rPr>
                      <w:t xml:space="preserve">11. Kiti, iniciatoriaus nuomone, reikalingi pagrindimai ir paaiškinimai. </w:t>
                    </w:r>
                  </w:p>
                  <w:p>
                    <w:pPr>
                      <w:tabs>
                        <w:tab w:val="left" w:pos="0"/>
                        <w:tab w:val="left" w:pos="1340"/>
                      </w:tabs>
                      <w:ind w:right="57" w:firstLine="783"/>
                      <w:jc w:val="both"/>
                      <w:rPr>
                        <w:szCs w:val="24"/>
                      </w:rPr>
                    </w:pPr>
                    <w:r>
                      <w:rPr>
                        <w:szCs w:val="24"/>
                      </w:rPr>
                      <w:t xml:space="preserve">Nėra. </w:t>
                    </w:r>
                  </w:p>
                </w:tc>
              </w:tr>
              <w:tr>
                <w:tc>
                  <w:tcPr>
                    <w:tcW w:w="9469" w:type="dxa"/>
                  </w:tcPr>
                  <w:p>
                    <w:pPr>
                      <w:tabs>
                        <w:tab w:val="left" w:pos="0"/>
                        <w:tab w:val="left" w:pos="1340"/>
                      </w:tabs>
                      <w:ind w:right="57" w:firstLine="783"/>
                      <w:jc w:val="both"/>
                      <w:rPr>
                        <w:b/>
                        <w:bCs/>
                        <w:szCs w:val="24"/>
                      </w:rPr>
                    </w:pPr>
                    <w:r>
                      <w:rPr>
                        <w:b/>
                        <w:bCs/>
                        <w:szCs w:val="24"/>
                      </w:rPr>
                      <w:t xml:space="preserve">12. Pridedami dokumentai. </w:t>
                    </w:r>
                  </w:p>
                  <w:p>
                    <w:pPr>
                      <w:tabs>
                        <w:tab w:val="left" w:pos="0"/>
                        <w:tab w:val="left" w:pos="1340"/>
                      </w:tabs>
                      <w:ind w:right="57" w:firstLine="783"/>
                      <w:jc w:val="both"/>
                      <w:rPr>
                        <w:b/>
                        <w:bCs/>
                        <w:szCs w:val="24"/>
                      </w:rPr>
                    </w:pPr>
                    <w:r>
                      <w:rPr>
                        <w:szCs w:val="24"/>
                      </w:rPr>
                      <w:t>Nėra.</w:t>
                    </w:r>
                  </w:p>
                </w:tc>
              </w:tr>
              <w:tr>
                <w:trPr>
                  <w:trHeight w:val="80"/>
                </w:trPr>
                <w:tc>
                  <w:tcPr>
                    <w:tcW w:w="9469" w:type="dxa"/>
                  </w:tcPr>
                  <w:p>
                    <w:pPr>
                      <w:tabs>
                        <w:tab w:val="left" w:pos="0"/>
                      </w:tabs>
                      <w:ind w:right="57"/>
                      <w:jc w:val="both"/>
                      <w:rPr>
                        <w:szCs w:val="24"/>
                      </w:rPr>
                    </w:pPr>
                  </w:p>
                  <w:p>
                    <w:pPr>
                      <w:tabs>
                        <w:tab w:val="left" w:pos="0"/>
                      </w:tabs>
                      <w:ind w:right="57"/>
                      <w:jc w:val="both"/>
                      <w:rPr>
                        <w:szCs w:val="24"/>
                      </w:rPr>
                    </w:pPr>
                  </w:p>
                  <w:p>
                    <w:pPr>
                      <w:tabs>
                        <w:tab w:val="left" w:pos="0"/>
                      </w:tabs>
                      <w:ind w:right="57"/>
                      <w:jc w:val="both"/>
                      <w:rPr>
                        <w:szCs w:val="24"/>
                      </w:rPr>
                    </w:pPr>
                  </w:p>
                  <w:p>
                    <w:pPr>
                      <w:tabs>
                        <w:tab w:val="left" w:pos="0"/>
                      </w:tabs>
                      <w:ind w:right="57"/>
                      <w:jc w:val="both"/>
                      <w:rPr>
                        <w:b/>
                        <w:bCs/>
                        <w:i/>
                        <w:iCs/>
                        <w:szCs w:val="24"/>
                      </w:rPr>
                    </w:pPr>
                    <w:r>
                      <w:rPr>
                        <w:szCs w:val="24"/>
                      </w:rPr>
                      <w:t xml:space="preserve">Statybos ir viešosios tvarkos skyriaus vyriausiasis specialistas                   Klaudijus Maminskas</w:t>
                    </w:r>
                  </w:p>
                </w:tc>
              </w:tr>
            </w:tbl>
            <w:p>
              <w:pPr>
                <w:rPr>
                  <w:szCs w:val="24"/>
                </w:rPr>
              </w:pPr>
            </w:p>
            <w:p>
              <w:pPr>
                <w:rPr>
                  <w:szCs w:val="24"/>
                </w:rPr>
              </w:pPr>
            </w:p>
            <w:p>
              <w:pPr>
                <w:rPr>
                  <w:szCs w:val="24"/>
                </w:rPr>
              </w:pPr>
            </w:p>
          </w:sdtContent>
        </w:sdt>
      </w:sdtContent>
    </w:sdt>
    <w:sectPr>
      <w:head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pacing w:line="14" w:lineRule="auto"/>
      <w:rPr>
        <w:sz w:val="20"/>
        <w:szCs w:val="24"/>
      </w:rPr>
    </w:pPr>
    <w:r>
      <w:rPr>
        <w:szCs w:val="24"/>
        <w:lang w:val="en-US"/>
      </w:rPr>
      <mc:AlternateContent>
        <mc:Choice Requires="wps">
          <w:drawing>
            <wp:anchor distT="0" distB="0" distL="114300" distR="114300" simplePos="0" relativeHeight="251657728" behindDoc="1" locked="0" layoutInCell="1" allowOverlap="1" wp14:anchorId="64F2D768" wp14:editId="533E8F44">
              <wp:simplePos x="0" y="0"/>
              <wp:positionH relativeFrom="page">
                <wp:posOffset>4083685</wp:posOffset>
              </wp:positionH>
              <wp:positionV relativeFrom="page">
                <wp:posOffset>361315</wp:posOffset>
              </wp:positionV>
              <wp:extent cx="114300" cy="152400"/>
              <wp:effectExtent l="0" t="0" r="254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spacing w:line="224" w:lineRule="exact"/>
                            <w:ind w:left="40"/>
                            <w:rPr>
                              <w:sz w:val="20"/>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F2D768" id="_x0000_t202" coordsize="21600,21600" o:spt="202" path="m,l,21600r21600,l21600,xe">
              <v:stroke joinstyle="miter"/>
              <v:path gradientshapeok="t" o:connecttype="rect"/>
            </v:shapetype>
            <v:shape id="Text Box 1" o:spid="_x0000_s1026" type="#_x0000_t202" style="position:absolute;margin-left:321.55pt;margin-top:28.45pt;width:9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QjYgqAIAAKgFAAAOAAAAZHJzL2Uyb0RvYy54bWysVG1vmzAQ/j5p/8HydwqkJA2opEpCmCZ1 L1K7H+CACdaMzWwn0E377zubkCatJk3b+GCd7fNzz9093O1d33B0oEozKVIcXgUYUVHIkoldir88 5t4cI22IKAmXgqb4iWp8t3j75rZrEzqRteQlVQhAhE66NsW1MW3i+7qoaUP0lWypgMtKqoYY2Kqd XyrSAXrD/UkQzPxOqrJVsqBaw2k2XOKFw68qWphPVaWpQTzFwM24Vbl1a1d/cUuSnSJtzYojDfIX LBrCBAQ9QWXEELRX7BVUwwoltazMVSEbX1YVK6jLAbIJgxfZPNSkpS4XKI5uT2XS/w+2+Hj4rBAr oXcYCdJAix5pb9BK9ii01elanYDTQwtupodj62kz1e29LL5qJOS6JmJHl0rJrqakBHbupX/2dMDR FmTbfZAlhCF7Ix1QX6nGAkIxEKBDl55OnbFUChsyjK4DuCngKpxOIrCBm0+S8XGrtHlHZYOskWIF jXfg5HCvzeA6uthYQuaMc9d8Li4OAHM4gdDw1N5ZEq6XP+Ig3sw388iLJrONFwVZ5i3zdeTN8vBm ml1n63UW/rRxwyipWVlSYcOMugqjP+vbUeGDIk7K0pKz0sJZSlrttmuu0IGArnP3HQty5uZf0nD1 glxepBRCNVeT2Mtn8xsvyqOpF98Ecy8I41U8C6I4yvLLlO6ZoP+eEupSHE8n00FLv80tcN/r3EjS MAOTg7MmxfOTE0msAjeidK01hPHBPiuFpf9cCmj32GinVyvRQaym3/aAYkW8leUTKFdJUBaIEMYd GLVU3zHqYHSkWH/bE0Ux4u8FqN/OmdFQo7EdDSIKeJpig9Fgrs0wj/atYrsakIf/S8gl/CEVc+p9 ZgHU7QbGgUviOLrsvDnfO6/nAbv4BQAA//8DAFBLAwQUAAYACAAAACEAvfmLrt8AAAAJAQAADwAA AGRycy9kb3ducmV2LnhtbEyPy07DMBBF90j8gzVI7KgdHlYT4lQVghUSIg0Llk7sJlbjcYjdNvw9 wwqWM3N059xys/iRnewcXUAF2UoAs9gF47BX8NG83KyBxaTR6DGgVfBtI2yqy4tSFyacsbanXeoZ hWAstIIhpangPHaD9TquwmSRbvswe51onHtuZn2mcD/yWyEk99ohfRj0ZJ8G2x12R69g+4n1s/t6 a9/rfe2aJhf4Kg9KXV8t20dgyS7pD4ZffVKHipzacEQT2ahA3t9lhCp4kDkwAqTMaNEqWIsceFXy /w2qHwAAAP//AwBQSwECLQAUAAYACAAAACEAtoM4kv4AAADhAQAAEwAAAAAAAAAAAAAAAAAAAAAA W0NvbnRlbnRfVHlwZXNdLnhtbFBLAQItABQABgAIAAAAIQA4/SH/1gAAAJQBAAALAAAAAAAAAAAA AAAAAC8BAABfcmVscy8ucmVsc1BLAQItABQABgAIAAAAIQADQjYgqAIAAKgFAAAOAAAAAAAAAAAA AAAAAC4CAABkcnMvZTJvRG9jLnhtbFBLAQItABQABgAIAAAAIQC9+Yuu3wAAAAkBAAAPAAAAAAAA AAAAAAAAAAIFAABkcnMvZG93bnJldi54bWxQSwUGAAAAAAQABADzAAAADgYAAAAA " filled="f" stroked="f">
              <v:textbox inset="0,0,0,0">
                <w:txbxContent>
                  <w:p w14:paraId="220AFF6B" w14:textId="77777777">
                    <w:pPr>
                      <w:spacing w:line="224" w:lineRule="exact"/>
                      <w:ind w:left="40"/>
                      <w:rPr>
                        <w:rFonts w:ascii="Times New Roman" w:hAnsi="Times New Roman" w:eastAsia="Times New Roman" w:cs="Times New Roman"/>
                        <w:sz w:val="20"/>
                        <w:szCs w:val="24"/>
                      </w:rPr>
                    </w:pPr>
                  </w:p>
                </w:txbxContent>
              </v:textbox>
              <w10:wrap anchorx="page" anchory="page"/>
            </v:shape>
          </w:pict>
        </mc:Fallback>
      </mc:AlternateConten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4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47F16DC-570D-4BBA-8BA2-A0A9769CDD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695435">
      <w:bodyDiv w:val="1"/>
      <w:marLeft w:val="0"/>
      <w:marRight w:val="0"/>
      <w:marTop w:val="0"/>
      <w:marBottom w:val="0"/>
      <w:divBdr>
        <w:top w:val="none" w:sz="0" w:space="0" w:color="auto"/>
        <w:left w:val="none" w:sz="0" w:space="0" w:color="auto"/>
        <w:bottom w:val="none" w:sz="0" w:space="0" w:color="auto"/>
        <w:right w:val="none" w:sz="0" w:space="0" w:color="auto"/>
      </w:divBdr>
    </w:div>
    <w:div w:id="291054558">
      <w:bodyDiv w:val="1"/>
      <w:marLeft w:val="0"/>
      <w:marRight w:val="0"/>
      <w:marTop w:val="0"/>
      <w:marBottom w:val="0"/>
      <w:divBdr>
        <w:top w:val="none" w:sz="0" w:space="0" w:color="auto"/>
        <w:left w:val="none" w:sz="0" w:space="0" w:color="auto"/>
        <w:bottom w:val="none" w:sz="0" w:space="0" w:color="auto"/>
        <w:right w:val="none" w:sz="0" w:space="0" w:color="auto"/>
      </w:divBdr>
    </w:div>
    <w:div w:id="326177001">
      <w:bodyDiv w:val="1"/>
      <w:marLeft w:val="0"/>
      <w:marRight w:val="0"/>
      <w:marTop w:val="0"/>
      <w:marBottom w:val="0"/>
      <w:divBdr>
        <w:top w:val="none" w:sz="0" w:space="0" w:color="auto"/>
        <w:left w:val="none" w:sz="0" w:space="0" w:color="auto"/>
        <w:bottom w:val="none" w:sz="0" w:space="0" w:color="auto"/>
        <w:right w:val="none" w:sz="0" w:space="0" w:color="auto"/>
      </w:divBdr>
    </w:div>
    <w:div w:id="656501147">
      <w:bodyDiv w:val="1"/>
      <w:marLeft w:val="0"/>
      <w:marRight w:val="0"/>
      <w:marTop w:val="0"/>
      <w:marBottom w:val="0"/>
      <w:divBdr>
        <w:top w:val="none" w:sz="0" w:space="0" w:color="auto"/>
        <w:left w:val="none" w:sz="0" w:space="0" w:color="auto"/>
        <w:bottom w:val="none" w:sz="0" w:space="0" w:color="auto"/>
        <w:right w:val="none" w:sz="0" w:space="0" w:color="auto"/>
      </w:divBdr>
    </w:div>
    <w:div w:id="879509991">
      <w:bodyDiv w:val="1"/>
      <w:marLeft w:val="0"/>
      <w:marRight w:val="0"/>
      <w:marTop w:val="0"/>
      <w:marBottom w:val="0"/>
      <w:divBdr>
        <w:top w:val="none" w:sz="0" w:space="0" w:color="auto"/>
        <w:left w:val="none" w:sz="0" w:space="0" w:color="auto"/>
        <w:bottom w:val="none" w:sz="0" w:space="0" w:color="auto"/>
        <w:right w:val="none" w:sz="0" w:space="0" w:color="auto"/>
      </w:divBdr>
    </w:div>
    <w:div w:id="897592168">
      <w:bodyDiv w:val="1"/>
      <w:marLeft w:val="0"/>
      <w:marRight w:val="0"/>
      <w:marTop w:val="0"/>
      <w:marBottom w:val="0"/>
      <w:divBdr>
        <w:top w:val="none" w:sz="0" w:space="0" w:color="auto"/>
        <w:left w:val="none" w:sz="0" w:space="0" w:color="auto"/>
        <w:bottom w:val="none" w:sz="0" w:space="0" w:color="auto"/>
        <w:right w:val="none" w:sz="0" w:space="0" w:color="auto"/>
      </w:divBdr>
    </w:div>
    <w:div w:id="1150319927">
      <w:bodyDiv w:val="1"/>
      <w:marLeft w:val="0"/>
      <w:marRight w:val="0"/>
      <w:marTop w:val="0"/>
      <w:marBottom w:val="0"/>
      <w:divBdr>
        <w:top w:val="none" w:sz="0" w:space="0" w:color="auto"/>
        <w:left w:val="none" w:sz="0" w:space="0" w:color="auto"/>
        <w:bottom w:val="none" w:sz="0" w:space="0" w:color="auto"/>
        <w:right w:val="none" w:sz="0" w:space="0" w:color="auto"/>
      </w:divBdr>
    </w:div>
    <w:div w:id="1265841740">
      <w:bodyDiv w:val="1"/>
      <w:marLeft w:val="0"/>
      <w:marRight w:val="0"/>
      <w:marTop w:val="0"/>
      <w:marBottom w:val="0"/>
      <w:divBdr>
        <w:top w:val="none" w:sz="0" w:space="0" w:color="auto"/>
        <w:left w:val="none" w:sz="0" w:space="0" w:color="auto"/>
        <w:bottom w:val="none" w:sz="0" w:space="0" w:color="auto"/>
        <w:right w:val="none" w:sz="0" w:space="0" w:color="auto"/>
      </w:divBdr>
    </w:div>
    <w:div w:id="1462922780">
      <w:bodyDiv w:val="1"/>
      <w:marLeft w:val="0"/>
      <w:marRight w:val="0"/>
      <w:marTop w:val="0"/>
      <w:marBottom w:val="0"/>
      <w:divBdr>
        <w:top w:val="none" w:sz="0" w:space="0" w:color="auto"/>
        <w:left w:val="none" w:sz="0" w:space="0" w:color="auto"/>
        <w:bottom w:val="none" w:sz="0" w:space="0" w:color="auto"/>
        <w:right w:val="none" w:sz="0" w:space="0" w:color="auto"/>
      </w:divBdr>
    </w:div>
    <w:div w:id="1500778002">
      <w:bodyDiv w:val="1"/>
      <w:marLeft w:val="0"/>
      <w:marRight w:val="0"/>
      <w:marTop w:val="0"/>
      <w:marBottom w:val="0"/>
      <w:divBdr>
        <w:top w:val="none" w:sz="0" w:space="0" w:color="auto"/>
        <w:left w:val="none" w:sz="0" w:space="0" w:color="auto"/>
        <w:bottom w:val="none" w:sz="0" w:space="0" w:color="auto"/>
        <w:right w:val="none" w:sz="0" w:space="0" w:color="auto"/>
      </w:divBdr>
    </w:div>
    <w:div w:id="1562903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1e0c859980e4201bc3afd1a4e79a364" PartId="1459f177cdc24933ad41318ab60dfeaf">
    <Part Type="skirsnis" Title="RADVILIŠKIO RAJONO SAVIVALDYBĖS TARYBOS SPRENDIMO PROJEKTO „DĖL SUSISIEKIMO KOMUNIKACIJŲ IR JŲ INŽINERINIŲ TINKLŲ STATYBOS, REKONSTRAVIMO IR KAPITALINIO REMONTO, DALYVAUJANT FIZINIAMS IR JURIDINIAMS ASMENIMS, TVARKOS APRAŠO PATVIRTINIMO,PAKEITIMO“ AIŠKINAMASIS RAŠTAS" DocPartId="f2a6e6f886f04b2b871d9b1b7b053a06" PartId="c33e6d17664d4885b9b85502ad914230"/>
    <Part Type="signatura" DocPartId="4ce7170552ef414da530d4890b1de07c" PartId="ec74f6bd967d4f2f844f799eeb85c063"/>
  </Part>
</Parts>
</file>

<file path=customXml/itemProps1.xml><?xml version="1.0" encoding="utf-8"?>
<ds:datastoreItem xmlns:ds="http://schemas.openxmlformats.org/officeDocument/2006/customXml" ds:itemID="{CC1CD746-2758-4807-97CE-2394D134010F}">
  <ds:schemaRefs>
    <ds:schemaRef ds:uri="http://schemas.openxmlformats.org/officeDocument/2006/bibliography"/>
  </ds:schemaRefs>
</ds:datastoreItem>
</file>

<file path=customXml/itemProps2.xml><?xml version="1.0" encoding="utf-8"?>
<ds:datastoreItem xmlns:ds="http://schemas.openxmlformats.org/officeDocument/2006/customXml" ds:itemID="{86A995E1-F4C1-409B-A8F9-638C5AC10D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394</Words>
  <Characters>2975</Characters>
  <Application>Microsoft Office Word</Application>
  <DocSecurity>4</DocSecurity>
  <Lines>106</Lines>
  <Paragraphs>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2025-02-06T09:46:00Z</dcterms:created>
  <dc:creator>AMD</dc:creator>
  <lastModifiedBy>adlibuser</lastModifiedBy>
  <lastPrinted>2023-08-16T13:05:00Z</lastPrinted>
  <dcterms:modified xsi:type="dcterms:W3CDTF">2025-02-06T09:46:00Z</dcterms:modified>
  <revision>2</revision>
</coreProperties>
</file>