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db370a4dd564c88998d54687b9dbf7f"/>
        <w:lock w:val="sdtLocked"/>
        <w:richText/>
      </w:sdtPr>
      <w:sdtContent>
        <w:p w14:paraId="5D83941F" w14:textId="77777777">
          <w:pPr>
            <w:ind w:left="7776"/>
            <w:rPr>
              <w:rFonts w:eastAsia="Calibri"/>
              <w:b/>
              <w:bCs/>
              <w:szCs w:val="24"/>
            </w:rPr>
          </w:pPr>
          <w:r>
            <w:rPr>
              <w:rFonts w:eastAsia="Calibri"/>
              <w:b/>
              <w:bCs/>
              <w:szCs w:val="24"/>
            </w:rPr>
            <w:t>Projektas</w:t>
          </w:r>
        </w:p>
        <w:p w14:paraId="06AAE4AE" w14:textId="77777777">
          <w:pPr>
            <w:ind w:left="7776"/>
            <w:rPr>
              <w:rFonts w:eastAsia="Calibri"/>
              <w:szCs w:val="24"/>
            </w:rPr>
          </w:pPr>
          <w:r>
            <w:rPr>
              <w:rFonts w:eastAsia="Calibri"/>
              <w:szCs w:val="24"/>
            </w:rPr>
            <w:t>Nr. TSP-</w:t>
          </w:r>
        </w:p>
        <w:p w14:paraId="3CF9B9E9" w14:textId="77777777">
          <w:pPr>
            <w:rPr>
              <w:b/>
              <w:szCs w:val="24"/>
            </w:rPr>
          </w:pPr>
        </w:p>
        <w:p w14:paraId="535DF6DC" w14:textId="77777777">
          <w:pPr>
            <w:jc w:val="center"/>
            <w:rPr>
              <w:b/>
              <w:szCs w:val="24"/>
            </w:rPr>
          </w:pPr>
          <w:r>
            <w:rPr>
              <w:b/>
              <w:szCs w:val="24"/>
            </w:rPr>
            <w:t>RADVILIŠKIO RAJONO SAVIVALDYBĖS TARYBA</w:t>
          </w:r>
        </w:p>
        <w:p w14:paraId="56D4403E" w14:textId="77777777">
          <w:pPr>
            <w:jc w:val="center"/>
            <w:rPr>
              <w:b/>
              <w:szCs w:val="24"/>
            </w:rPr>
          </w:pPr>
        </w:p>
        <w:p w14:paraId="27B18110" w14:textId="77777777">
          <w:pPr>
            <w:jc w:val="center"/>
            <w:rPr>
              <w:b/>
              <w:szCs w:val="24"/>
            </w:rPr>
          </w:pPr>
          <w:r>
            <w:rPr>
              <w:b/>
              <w:szCs w:val="24"/>
            </w:rPr>
            <w:t>SPRENDIMAS</w:t>
          </w:r>
        </w:p>
        <w:p w14:paraId="5FB103EC" w14:textId="3DF55522">
          <w:pPr>
            <w:tabs>
              <w:tab w:val="left" w:pos="5040"/>
            </w:tabs>
            <w:jc w:val="center"/>
            <w:rPr>
              <w:szCs w:val="24"/>
            </w:rPr>
          </w:pPr>
          <w:r>
            <w:rPr>
              <w:b/>
              <w:szCs w:val="24"/>
            </w:rPr>
            <w:t>DĖL RADVILIŠKIO RAJONO SAVIVALDYBĖS 2025 METŲ UŽIMTUMO DIDINIMO PROGRAMOS PATVIRTINIMO</w:t>
          </w:r>
        </w:p>
        <w:p w14:paraId="24F06F05" w14:textId="77777777">
          <w:pPr>
            <w:jc w:val="center"/>
            <w:rPr>
              <w:b/>
              <w:szCs w:val="24"/>
            </w:rPr>
          </w:pPr>
        </w:p>
        <w:p w14:paraId="36DFD714" w14:textId="2AF2CCC0">
          <w:pPr>
            <w:jc w:val="center"/>
            <w:rPr>
              <w:szCs w:val="24"/>
            </w:rPr>
          </w:pPr>
          <w:r>
            <w:rPr>
              <w:szCs w:val="24"/>
            </w:rPr>
            <w:t xml:space="preserve">2025 m.                    d. Nr. T- </w:t>
          </w:r>
        </w:p>
        <w:p w14:paraId="444ADFF3" w14:textId="77777777">
          <w:pPr>
            <w:jc w:val="center"/>
            <w:rPr>
              <w:szCs w:val="24"/>
            </w:rPr>
          </w:pPr>
          <w:r>
            <w:rPr>
              <w:szCs w:val="24"/>
            </w:rPr>
            <w:t>Radviliškis</w:t>
          </w:r>
        </w:p>
        <w:p w14:paraId="120DE07D" w14:textId="77777777">
          <w:pPr>
            <w:jc w:val="both"/>
            <w:rPr>
              <w:szCs w:val="24"/>
            </w:rPr>
          </w:pPr>
        </w:p>
        <w:sdt>
          <w:sdtPr>
            <w:alias w:val="preambule"/>
            <w:tag w:val="part_f270e5ab3d5641078942ac89c40cbcf9"/>
            <w:lock w:val="sdtLocked"/>
            <w:richText/>
          </w:sdtPr>
          <w:sdtContent>
            <w:p w14:paraId="59735BF1" w14:textId="0E66CC80">
              <w:pPr>
                <w:spacing w:line="276" w:lineRule="auto"/>
                <w:ind w:firstLine="709"/>
                <w:jc w:val="both"/>
                <w:rPr>
                  <w:szCs w:val="24"/>
                </w:rPr>
              </w:pPr>
              <w:r>
                <w:rPr>
                  <w:szCs w:val="24"/>
                </w:rPr>
                <w:t>Vadovaudamasi Lietuvos Respublikos vietos savivaldos įstatymo 6 straipsnio 16 punktu, 7 straipsnio 16 punktu, 15 straipsnio 4 dalimi, Lietuvos Respublikos užimtumo įstatymo</w:t>
              </w:r>
              <w:r>
                <w:t xml:space="preserve"> </w:t>
              </w:r>
              <w:r>
                <w:rPr>
                  <w:szCs w:val="24"/>
                </w:rPr>
                <w:t xml:space="preserve">13 straipsnio 2 dalies 2 punktu, 17 punktu, Užimtumo didinimo programų rengimo ir jų finansavimo tvarkos aprašu, patvirtintu Lietuvos Respublikos socialinės apsaugos ir darbo ministro 2024 m. spalio 24 d. įsakymu Nr. A1-705 „Dėl Lietuvos Respublikos socialinės apsaugos ir darbo ministro 2017 m. gegužės 23 d. įsakymo Nr. A1-257 „Dėl Užimtumo didinimo programų rengimo ir jų finansavimo tvarkos aprašo patvirtinimo“ pakeitimo“,  Radviliškio rajono savivaldybės taryba </w:t>
              </w:r>
              <w:r>
                <w:rPr>
                  <w:spacing w:val="50"/>
                  <w:szCs w:val="24"/>
                </w:rPr>
                <w:t>nusprendži</w:t>
              </w:r>
              <w:r>
                <w:rPr>
                  <w:szCs w:val="24"/>
                </w:rPr>
                <w:t>a:</w:t>
              </w:r>
            </w:p>
          </w:sdtContent>
        </w:sdt>
        <w:sdt>
          <w:sdtPr>
            <w:alias w:val="pastraipa"/>
            <w:tag w:val="part_9f90bbd820fb410c9a3f936a1f2a301a"/>
            <w:lock w:val="sdtLocked"/>
            <w:richText/>
          </w:sdtPr>
          <w:sdtContent>
            <w:p w14:paraId="3EB3E555" w14:textId="64B67AE0">
              <w:pPr>
                <w:spacing w:line="276" w:lineRule="auto"/>
                <w:ind w:firstLine="709"/>
                <w:jc w:val="both"/>
                <w:rPr>
                  <w:szCs w:val="24"/>
                </w:rPr>
              </w:pPr>
              <w:r>
                <w:rPr>
                  <w:szCs w:val="24"/>
                </w:rPr>
                <w:t>Patvirtinti Radviliškio rajono savivaldybės 2025 metų užimtumo didinimo programą (pridedama).</w:t>
              </w:r>
            </w:p>
            <w:p w14:paraId="1671D44F" w14:textId="77777777">
              <w:pPr>
                <w:jc w:val="both"/>
                <w:rPr>
                  <w:szCs w:val="24"/>
                </w:rPr>
              </w:pPr>
            </w:p>
            <w:p w14:paraId="27EA99CA" w14:textId="77777777">
              <w:pPr>
                <w:jc w:val="both"/>
                <w:rPr>
                  <w:szCs w:val="24"/>
                </w:rPr>
              </w:pPr>
            </w:p>
            <w:p w14:paraId="112A8443" w14:textId="77777777">
              <w:pPr>
                <w:jc w:val="both"/>
                <w:rPr>
                  <w:szCs w:val="24"/>
                </w:rPr>
              </w:pPr>
            </w:p>
          </w:sdtContent>
        </w:sdt>
        <w:sdt>
          <w:sdtPr>
            <w:alias w:val="signatura"/>
            <w:tag w:val="part_cc2249e925c3414a968a0d62b7885da7"/>
            <w:lock w:val="sdtLocked"/>
            <w:richText/>
          </w:sdtPr>
          <w:sdtContent>
            <w:p w14:paraId="2720B9E9" w14:textId="57B9473B">
              <w:pPr>
                <w:jc w:val="both"/>
                <w:rPr>
                  <w:szCs w:val="24"/>
                </w:rPr>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sectPr>
              </w:pPr>
              <w:r>
                <w:rPr>
                  <w:szCs w:val="24"/>
                </w:rPr>
                <w:t>Savivaldybės meras</w:t>
                <w:tab/>
                <w:tab/>
                <w:t xml:space="preserve">                                                        </w:t>
              </w:r>
            </w:p>
            <w:p w14:paraId="5974695E" w14:textId="77777777">
              <w:pPr>
                <w:tabs>
                  <w:tab w:val="center" w:pos="4819"/>
                  <w:tab w:val="right" w:pos="9638"/>
                </w:tabs>
                <w:rPr>
                  <w:lang w:val="en-US"/>
                </w:rPr>
              </w:pPr>
            </w:p>
          </w:sdtContent>
        </w:sdt>
      </w:sdtContent>
    </w:sdt>
    <w:sdt>
      <w:sdtPr>
        <w:alias w:val="patvirtinta"/>
        <w:tag w:val="part_f37cd4dc56694e9f966b44c5a5dcdda4"/>
        <w:lock w:val="sdtLocked"/>
        <w:richText/>
      </w:sdtPr>
      <w:sdtContent>
        <w:p w14:paraId="2D88E2A2" w14:textId="77777777">
          <w:pPr>
            <w:ind w:left="5184" w:firstLine="1296"/>
            <w:rPr>
              <w:color w:val="000000"/>
              <w:szCs w:val="24"/>
            </w:rPr>
          </w:pPr>
          <w:r>
            <w:rPr>
              <w:color w:val="000000"/>
              <w:szCs w:val="24"/>
            </w:rPr>
            <w:t>PATVIRTINTA</w:t>
          </w:r>
        </w:p>
        <w:p w14:paraId="776B2329" w14:textId="77777777">
          <w:pPr>
            <w:ind w:left="6480"/>
            <w:jc w:val="both"/>
            <w:rPr>
              <w:color w:val="000000"/>
              <w:szCs w:val="24"/>
            </w:rPr>
          </w:pPr>
          <w:r>
            <w:rPr>
              <w:color w:val="000000"/>
              <w:szCs w:val="24"/>
            </w:rPr>
            <w:t>Radviliškio rajono savivaldybės</w:t>
          </w:r>
        </w:p>
        <w:p w14:paraId="6430D294" w14:textId="3DF3E079">
          <w:pPr>
            <w:ind w:left="6480"/>
            <w:jc w:val="both"/>
            <w:rPr>
              <w:color w:val="000000"/>
              <w:szCs w:val="24"/>
            </w:rPr>
          </w:pPr>
          <w:r>
            <w:rPr>
              <w:color w:val="000000"/>
              <w:szCs w:val="24"/>
            </w:rPr>
            <w:t xml:space="preserve">tarybos 2025 m. </w:t>
          </w:r>
        </w:p>
        <w:p w14:paraId="400B6D2E" w14:textId="77777777">
          <w:pPr>
            <w:ind w:left="6480"/>
            <w:jc w:val="both"/>
            <w:rPr>
              <w:color w:val="000000"/>
              <w:szCs w:val="24"/>
            </w:rPr>
          </w:pPr>
          <w:r>
            <w:rPr>
              <w:color w:val="000000"/>
              <w:szCs w:val="24"/>
            </w:rPr>
            <w:t>sprendimu Nr. T-</w:t>
          </w:r>
        </w:p>
        <w:p w14:paraId="4B952895" w14:textId="77777777">
          <w:pPr>
            <w:ind w:left="6480"/>
            <w:jc w:val="both"/>
            <w:rPr>
              <w:color w:val="000000"/>
              <w:szCs w:val="24"/>
            </w:rPr>
          </w:pPr>
        </w:p>
        <w:sdt>
          <w:sdtPr>
            <w:alias w:val="Pavadinimas"/>
            <w:tag w:val="title_f37cd4dc56694e9f966b44c5a5dcdda4"/>
            <w:lock w:val="sdtLocked"/>
            <w:richText/>
          </w:sdtPr>
          <w:sdtContent>
            <w:p w14:paraId="4C926D6D" w14:textId="77777777">
              <w:pPr>
                <w:jc w:val="center"/>
                <w:rPr>
                  <w:rFonts w:eastAsia="Calibri"/>
                  <w:b/>
                  <w:szCs w:val="24"/>
                </w:rPr>
              </w:pPr>
              <w:r>
                <w:rPr>
                  <w:rFonts w:eastAsia="Calibri"/>
                  <w:b/>
                  <w:szCs w:val="24"/>
                </w:rPr>
                <w:t>RADVILIŠKIO RAJONO SAVIVALDYBĖS 2025 METŲ</w:t>
              </w:r>
            </w:p>
            <w:p w14:paraId="287CCC8F" w14:textId="77777777">
              <w:pPr>
                <w:jc w:val="center"/>
                <w:rPr>
                  <w:rFonts w:eastAsia="Calibri"/>
                  <w:b/>
                  <w:szCs w:val="24"/>
                </w:rPr>
              </w:pPr>
              <w:r>
                <w:rPr>
                  <w:rFonts w:eastAsia="Calibri"/>
                  <w:b/>
                  <w:szCs w:val="24"/>
                </w:rPr>
                <w:t>UŽIMTUMO DIDINIMO PROGRAMA</w:t>
              </w:r>
            </w:p>
          </w:sdtContent>
        </w:sdt>
        <w:p w14:paraId="56C05B3F" w14:textId="77777777">
          <w:pPr>
            <w:jc w:val="center"/>
            <w:rPr>
              <w:b/>
              <w:szCs w:val="24"/>
            </w:rPr>
          </w:pPr>
        </w:p>
        <w:sdt>
          <w:sdtPr>
            <w:alias w:val="skyrius"/>
            <w:tag w:val="part_9408ccc2f57e48c38c6a90351c276626"/>
            <w:lock w:val="sdtLocked"/>
            <w:richText/>
          </w:sdtPr>
          <w:sdtContent>
            <w:p w14:paraId="2C795CCD" w14:textId="77777777">
              <w:pPr>
                <w:jc w:val="center"/>
                <w:rPr>
                  <w:b/>
                  <w:szCs w:val="24"/>
                </w:rPr>
              </w:pPr>
              <w:sdt>
                <w:sdtPr>
                  <w:alias w:val="Numeris"/>
                  <w:tag w:val="nr_9408ccc2f57e48c38c6a90351c276626"/>
                  <w:lock w:val="sdtLocked"/>
                  <w:richText/>
                </w:sdtPr>
                <w:sdtContent>
                  <w:r>
                    <w:rPr>
                      <w:b/>
                      <w:szCs w:val="24"/>
                    </w:rPr>
                    <w:t>I</w:t>
                  </w:r>
                </w:sdtContent>
              </w:sdt>
              <w:r>
                <w:rPr>
                  <w:b/>
                  <w:szCs w:val="24"/>
                </w:rPr>
                <w:t xml:space="preserve"> SKYRIUS</w:t>
              </w:r>
            </w:p>
          </w:sdtContent>
        </w:sdt>
        <w:sdt>
          <w:sdtPr>
            <w:alias w:val="dalis"/>
            <w:tag w:val="part_737025f7730d406288e4b31b0f2e9af3"/>
            <w:lock w:val="sdtLocked"/>
            <w:richText/>
          </w:sdtPr>
          <w:sdtContent>
            <w:p w14:paraId="46E9E0F1" w14:textId="77777777">
              <w:pPr>
                <w:jc w:val="center"/>
                <w:rPr>
                  <w:b/>
                  <w:szCs w:val="24"/>
                </w:rPr>
              </w:pPr>
              <w:r>
                <w:rPr>
                  <w:b/>
                  <w:szCs w:val="24"/>
                </w:rPr>
                <w:t>BENDROJI DALIS</w:t>
              </w:r>
            </w:p>
            <w:p w14:paraId="1567476F" w14:textId="77777777">
              <w:pPr>
                <w:jc w:val="center"/>
                <w:rPr>
                  <w:b/>
                  <w:szCs w:val="24"/>
                </w:rPr>
              </w:pPr>
            </w:p>
            <w:sdt>
              <w:sdtPr>
                <w:alias w:val="1 p."/>
                <w:tag w:val="part_13cf6fbc01904ba7a9bcdaa8d5d50a0c"/>
                <w:lock w:val="sdtLocked"/>
                <w:richText/>
              </w:sdtPr>
              <w:sdtContent>
                <w:p w14:paraId="4866733F" w14:textId="77777777">
                  <w:pPr>
                    <w:ind w:firstLine="709"/>
                    <w:jc w:val="both"/>
                    <w:rPr>
                      <w:rFonts w:eastAsia="Calibri"/>
                      <w:szCs w:val="24"/>
                    </w:rPr>
                  </w:pPr>
                  <w:sdt>
                    <w:sdtPr>
                      <w:alias w:val="Numeris"/>
                      <w:tag w:val="nr_13cf6fbc01904ba7a9bcdaa8d5d50a0c"/>
                      <w:lock w:val="sdtLocked"/>
                      <w:richText/>
                    </w:sdtPr>
                    <w:sdtContent>
                      <w:r>
                        <w:rPr>
                          <w:rFonts w:eastAsia="Calibri"/>
                          <w:szCs w:val="24"/>
                        </w:rPr>
                        <w:t>1</w:t>
                      </w:r>
                    </w:sdtContent>
                  </w:sdt>
                  <w:r>
                    <w:rPr>
                      <w:rFonts w:eastAsia="Calibri"/>
                      <w:szCs w:val="24"/>
                    </w:rPr>
                    <w:t>.</w:t>
                  </w:r>
                  <w:r>
                    <w:rPr>
                      <w:szCs w:val="24"/>
                      <w:lang w:eastAsia="lt-LT"/>
                    </w:rPr>
                    <w:t xml:space="preserve"> </w:t>
                  </w:r>
                  <w:r>
                    <w:rPr>
                      <w:rFonts w:eastAsia="Calibri"/>
                      <w:szCs w:val="24"/>
                    </w:rPr>
                    <w:t>Radviliškio rajono</w:t>
                  </w:r>
                  <w:r>
                    <w:rPr>
                      <w:szCs w:val="24"/>
                      <w:lang w:eastAsia="lt-LT"/>
                    </w:rPr>
                    <w:t xml:space="preserve"> savivaldybės (toliau – rajono Savivaldybė) </w:t>
                  </w:r>
                  <w:r>
                    <w:rPr>
                      <w:rFonts w:eastAsia="Calibri"/>
                      <w:szCs w:val="24"/>
                    </w:rPr>
                    <w:t>2025 metų užimtumo didinimo programa (toliau – Programa) parengta, siekiant kompleksiškai spręsti šiuo metu itin aktualias gyventojų užimtumo problemas, sutelkiant Savivaldybės įstaigas, Užimtumo tarnybos prie Lietuvos Respublikos socialinės apsaugos ir darbo ministerijos Šiaulių klientų aptarnavimo departamento Radviliškio skyrių (toliau – Užimtumo tarnyba), socialinius partnerius ir nevyriausybines organizacijas.</w:t>
                  </w:r>
                </w:p>
              </w:sdtContent>
            </w:sdt>
            <w:sdt>
              <w:sdtPr>
                <w:alias w:val="2 p."/>
                <w:tag w:val="part_7c58a6bb67a043548797304b835f3135"/>
                <w:lock w:val="sdtLocked"/>
                <w:richText/>
              </w:sdtPr>
              <w:sdtContent>
                <w:p w14:paraId="6CBB8615" w14:textId="77777777">
                  <w:pPr>
                    <w:tabs>
                      <w:tab w:val="left" w:pos="993"/>
                    </w:tabs>
                    <w:ind w:firstLine="709"/>
                    <w:jc w:val="both"/>
                    <w:rPr>
                      <w:rFonts w:eastAsia="Calibri"/>
                      <w:szCs w:val="24"/>
                    </w:rPr>
                  </w:pPr>
                  <w:sdt>
                    <w:sdtPr>
                      <w:alias w:val="Numeris"/>
                      <w:tag w:val="nr_7c58a6bb67a043548797304b835f3135"/>
                      <w:lock w:val="sdtLocked"/>
                      <w:richText/>
                    </w:sdtPr>
                    <w:sdtContent>
                      <w:r>
                        <w:rPr>
                          <w:rFonts w:eastAsia="Calibri"/>
                          <w:bCs/>
                          <w:szCs w:val="24"/>
                        </w:rPr>
                        <w:t>2</w:t>
                      </w:r>
                    </w:sdtContent>
                  </w:sdt>
                  <w:r>
                    <w:rPr>
                      <w:rFonts w:eastAsia="Calibri"/>
                      <w:bCs/>
                      <w:szCs w:val="24"/>
                    </w:rPr>
                    <w:t>.</w:t>
                    <w:tab/>
                  </w:r>
                  <w:r>
                    <w:rPr>
                      <w:rFonts w:eastAsia="Calibri"/>
                      <w:szCs w:val="24"/>
                    </w:rPr>
                    <w:t xml:space="preserve">Programa parengta vadovaujantis </w:t>
                  </w:r>
                  <w:r>
                    <w:rPr>
                      <w:szCs w:val="24"/>
                      <w:lang w:eastAsia="lt-LT"/>
                    </w:rPr>
                    <w:t xml:space="preserve">Lietuvos Respublikos užimtumo įstatymu (toliau – Užimtumo įstatymas), </w:t>
                  </w:r>
                  <w:r>
                    <w:rPr>
                      <w:szCs w:val="24"/>
                    </w:rPr>
                    <w:t>Užimtumo didinimo programų rengimo ir jų finansavimo tvarkos aprašu, patvirtintu Lietuvos Respublikos socialinės apsaugos ir darbo ministro 2017 m. gegužės 23 d. įsakymo Nr. A1-257 „Dėl Užimtumo didinimo programų rengimo ir jų finansavimo tvarkos aprašo patvirtinimo“ (su tolimesniais pakeitimais) 1 punktu</w:t>
                  </w:r>
                  <w:r>
                    <w:rPr>
                      <w:rFonts w:eastAsia="Calibri"/>
                      <w:szCs w:val="24"/>
                    </w:rPr>
                    <w:t xml:space="preserve"> (toliau – Aprašas) ir kitais teisės aktais.</w:t>
                  </w:r>
                </w:p>
              </w:sdtContent>
            </w:sdt>
            <w:sdt>
              <w:sdtPr>
                <w:alias w:val="3 p."/>
                <w:tag w:val="part_8b23b758c4d04d609516809a82338c76"/>
                <w:lock w:val="sdtLocked"/>
                <w:richText/>
              </w:sdtPr>
              <w:sdtContent>
                <w:p w14:paraId="793D5586" w14:textId="77777777">
                  <w:pPr>
                    <w:tabs>
                      <w:tab w:val="left" w:pos="993"/>
                    </w:tabs>
                    <w:ind w:firstLine="709"/>
                    <w:jc w:val="both"/>
                    <w:rPr>
                      <w:rFonts w:eastAsia="Calibri"/>
                      <w:szCs w:val="24"/>
                    </w:rPr>
                  </w:pPr>
                  <w:sdt>
                    <w:sdtPr>
                      <w:alias w:val="Numeris"/>
                      <w:tag w:val="nr_8b23b758c4d04d609516809a82338c76"/>
                      <w:lock w:val="sdtLocked"/>
                      <w:richText/>
                    </w:sdtPr>
                    <w:sdtContent>
                      <w:r>
                        <w:rPr>
                          <w:rFonts w:eastAsia="Calibri"/>
                          <w:szCs w:val="24"/>
                        </w:rPr>
                        <w:t>3</w:t>
                      </w:r>
                    </w:sdtContent>
                  </w:sdt>
                  <w:r>
                    <w:rPr>
                      <w:rFonts w:eastAsia="Calibri"/>
                      <w:szCs w:val="24"/>
                    </w:rPr>
                    <w:t xml:space="preserve">. </w:t>
                  </w:r>
                  <w:r>
                    <w:rPr>
                      <w:szCs w:val="24"/>
                      <w:lang w:eastAsia="lt-LT"/>
                    </w:rPr>
                    <w:t>Programa skirta Užimtumo įstatymo 48 straipsnio 2 dalyje nurodytoms asmenų grupėms (toliau – Tikslinės grupės).</w:t>
                  </w:r>
                </w:p>
              </w:sdtContent>
            </w:sdt>
            <w:sdt>
              <w:sdtPr>
                <w:alias w:val="4 p."/>
                <w:tag w:val="part_76d29b2be09e40f9a9df4394c4e95a21"/>
                <w:lock w:val="sdtLocked"/>
                <w:richText/>
              </w:sdtPr>
              <w:sdtContent>
                <w:p w14:paraId="012FB3EC" w14:textId="77777777">
                  <w:pPr>
                    <w:tabs>
                      <w:tab w:val="left" w:pos="993"/>
                    </w:tabs>
                    <w:ind w:firstLine="709"/>
                    <w:jc w:val="both"/>
                    <w:rPr>
                      <w:rFonts w:eastAsia="Calibri"/>
                      <w:szCs w:val="24"/>
                    </w:rPr>
                  </w:pPr>
                  <w:sdt>
                    <w:sdtPr>
                      <w:alias w:val="Numeris"/>
                      <w:tag w:val="nr_76d29b2be09e40f9a9df4394c4e95a21"/>
                      <w:lock w:val="sdtLocked"/>
                      <w:richText/>
                    </w:sdtPr>
                    <w:sdtContent>
                      <w:r>
                        <w:rPr>
                          <w:color w:val="000000"/>
                          <w:szCs w:val="24"/>
                        </w:rPr>
                        <w:t>4</w:t>
                      </w:r>
                    </w:sdtContent>
                  </w:sdt>
                  <w:r>
                    <w:rPr>
                      <w:color w:val="000000"/>
                      <w:szCs w:val="24"/>
                    </w:rPr>
                    <w:t>. Programos tikslai:</w:t>
                  </w:r>
                </w:p>
                <w:sdt>
                  <w:sdtPr>
                    <w:alias w:val="4.1 pp."/>
                    <w:tag w:val="part_5ce461565795415b9f7a05ef93ea8a91"/>
                    <w:lock w:val="sdtLocked"/>
                    <w:richText/>
                  </w:sdtPr>
                  <w:sdtContent>
                    <w:p w14:paraId="53E21E0C" w14:textId="77777777">
                      <w:pPr>
                        <w:tabs>
                          <w:tab w:val="left" w:pos="993"/>
                        </w:tabs>
                        <w:ind w:firstLine="709"/>
                        <w:jc w:val="both"/>
                        <w:rPr>
                          <w:rFonts w:eastAsia="Calibri"/>
                          <w:szCs w:val="24"/>
                        </w:rPr>
                      </w:pPr>
                      <w:sdt>
                        <w:sdtPr>
                          <w:alias w:val="Numeris"/>
                          <w:tag w:val="nr_5ce461565795415b9f7a05ef93ea8a91"/>
                          <w:lock w:val="sdtLocked"/>
                          <w:richText/>
                        </w:sdtPr>
                        <w:sdtContent>
                          <w:r>
                            <w:rPr>
                              <w:rFonts w:eastAsia="Calibri"/>
                              <w:szCs w:val="24"/>
                            </w:rPr>
                            <w:t>4.1</w:t>
                          </w:r>
                        </w:sdtContent>
                      </w:sdt>
                      <w:r>
                        <w:rPr>
                          <w:rFonts w:eastAsia="Calibri"/>
                          <w:szCs w:val="24"/>
                        </w:rPr>
                        <w:t xml:space="preserve">. </w:t>
                      </w:r>
                      <w:r>
                        <w:rPr>
                          <w:szCs w:val="24"/>
                          <w:lang w:eastAsia="lt-LT"/>
                        </w:rPr>
                        <w:t>padėti norintiems integruotis į darbo rinką bedarbiams laikinai įsidarbinti ir uždirbti pragyvenimui būtinų pajamų;</w:t>
                      </w:r>
                    </w:p>
                  </w:sdtContent>
                </w:sdt>
                <w:sdt>
                  <w:sdtPr>
                    <w:alias w:val="4.2 pp."/>
                    <w:tag w:val="part_79ecc5403a3842bfa8116a960cc56211"/>
                    <w:lock w:val="sdtLocked"/>
                    <w:richText/>
                  </w:sdtPr>
                  <w:sdtContent>
                    <w:p w14:paraId="5E9407D9" w14:textId="77777777">
                      <w:pPr>
                        <w:tabs>
                          <w:tab w:val="left" w:pos="993"/>
                        </w:tabs>
                        <w:ind w:firstLine="709"/>
                        <w:jc w:val="both"/>
                        <w:rPr>
                          <w:rFonts w:eastAsia="Calibri"/>
                          <w:szCs w:val="24"/>
                        </w:rPr>
                      </w:pPr>
                      <w:sdt>
                        <w:sdtPr>
                          <w:alias w:val="Numeris"/>
                          <w:tag w:val="nr_79ecc5403a3842bfa8116a960cc56211"/>
                          <w:lock w:val="sdtLocked"/>
                          <w:richText/>
                        </w:sdtPr>
                        <w:sdtContent>
                          <w:r>
                            <w:rPr>
                              <w:szCs w:val="24"/>
                              <w:lang w:eastAsia="lt-LT"/>
                            </w:rPr>
                            <w:t>4.2</w:t>
                          </w:r>
                        </w:sdtContent>
                      </w:sdt>
                      <w:r>
                        <w:rPr>
                          <w:szCs w:val="24"/>
                          <w:lang w:eastAsia="lt-LT"/>
                        </w:rPr>
                        <w:t>. mažinti socialinę įtampą ir atskirtį tarp bendruomenės narių;</w:t>
                      </w:r>
                    </w:p>
                  </w:sdtContent>
                </w:sdt>
                <w:sdt>
                  <w:sdtPr>
                    <w:alias w:val="4.3 pp."/>
                    <w:tag w:val="part_1f354c509def41a9a2788ef1ab21c864"/>
                    <w:lock w:val="sdtLocked"/>
                    <w:richText/>
                  </w:sdtPr>
                  <w:sdtContent>
                    <w:p w14:paraId="5AF213A4" w14:textId="77777777">
                      <w:pPr>
                        <w:tabs>
                          <w:tab w:val="left" w:pos="993"/>
                        </w:tabs>
                        <w:ind w:firstLine="709"/>
                        <w:jc w:val="both"/>
                        <w:rPr>
                          <w:rFonts w:eastAsia="Calibri"/>
                          <w:szCs w:val="24"/>
                        </w:rPr>
                      </w:pPr>
                      <w:sdt>
                        <w:sdtPr>
                          <w:alias w:val="Numeris"/>
                          <w:tag w:val="nr_1f354c509def41a9a2788ef1ab21c864"/>
                          <w:lock w:val="sdtLocked"/>
                          <w:richText/>
                        </w:sdtPr>
                        <w:sdtContent>
                          <w:r>
                            <w:rPr>
                              <w:szCs w:val="24"/>
                              <w:lang w:eastAsia="lt-LT"/>
                            </w:rPr>
                            <w:t>4</w:t>
                          </w:r>
                          <w:r>
                            <w:rPr>
                              <w:rFonts w:eastAsia="Calibri"/>
                              <w:szCs w:val="24"/>
                            </w:rPr>
                            <w:t>.</w:t>
                          </w:r>
                          <w:r>
                            <w:rPr>
                              <w:szCs w:val="24"/>
                              <w:lang w:eastAsia="lt-LT"/>
                            </w:rPr>
                            <w:t>3</w:t>
                          </w:r>
                        </w:sdtContent>
                      </w:sdt>
                      <w:r>
                        <w:rPr>
                          <w:szCs w:val="24"/>
                          <w:lang w:eastAsia="lt-LT"/>
                        </w:rPr>
                        <w:t>. atnaujinti bedarbių darbinius įgūdžius;</w:t>
                      </w:r>
                    </w:p>
                  </w:sdtContent>
                </w:sdt>
                <w:sdt>
                  <w:sdtPr>
                    <w:alias w:val="4.4 pp."/>
                    <w:tag w:val="part_6f5d3e4285224ba6b6f16fe21e918354"/>
                    <w:lock w:val="sdtLocked"/>
                    <w:richText/>
                  </w:sdtPr>
                  <w:sdtContent>
                    <w:p w14:paraId="6519DD32" w14:textId="77777777">
                      <w:pPr>
                        <w:tabs>
                          <w:tab w:val="left" w:pos="993"/>
                        </w:tabs>
                        <w:ind w:firstLine="709"/>
                        <w:jc w:val="both"/>
                        <w:rPr>
                          <w:rFonts w:eastAsia="Calibri"/>
                          <w:szCs w:val="24"/>
                        </w:rPr>
                      </w:pPr>
                      <w:sdt>
                        <w:sdtPr>
                          <w:alias w:val="Numeris"/>
                          <w:tag w:val="nr_6f5d3e4285224ba6b6f16fe21e918354"/>
                          <w:lock w:val="sdtLocked"/>
                          <w:richText/>
                        </w:sdtPr>
                        <w:sdtContent>
                          <w:r>
                            <w:rPr>
                              <w:szCs w:val="24"/>
                              <w:lang w:eastAsia="lt-LT"/>
                            </w:rPr>
                            <w:t>4.4</w:t>
                          </w:r>
                        </w:sdtContent>
                      </w:sdt>
                      <w:r>
                        <w:rPr>
                          <w:szCs w:val="24"/>
                          <w:lang w:eastAsia="lt-LT"/>
                        </w:rPr>
                        <w:t>. palengvinti ilgą laiką nedirbusių asmenų perėjimą nuo nedarbo prie užimtumo darbo rinkoje;</w:t>
                      </w:r>
                    </w:p>
                  </w:sdtContent>
                </w:sdt>
                <w:sdt>
                  <w:sdtPr>
                    <w:alias w:val="4.5 pp."/>
                    <w:tag w:val="part_0d790f524cb044149e229fff1312c312"/>
                    <w:lock w:val="sdtLocked"/>
                    <w:richText/>
                  </w:sdtPr>
                  <w:sdtContent>
                    <w:p w14:paraId="105F8D30" w14:textId="77777777">
                      <w:pPr>
                        <w:tabs>
                          <w:tab w:val="left" w:pos="993"/>
                        </w:tabs>
                        <w:ind w:firstLine="709"/>
                        <w:jc w:val="both"/>
                        <w:rPr>
                          <w:rFonts w:eastAsia="Calibri"/>
                          <w:szCs w:val="24"/>
                        </w:rPr>
                      </w:pPr>
                      <w:sdt>
                        <w:sdtPr>
                          <w:alias w:val="Numeris"/>
                          <w:tag w:val="nr_0d790f524cb044149e229fff1312c312"/>
                          <w:lock w:val="sdtLocked"/>
                          <w:richText/>
                        </w:sdtPr>
                        <w:sdtContent>
                          <w:r>
                            <w:rPr>
                              <w:szCs w:val="24"/>
                              <w:lang w:eastAsia="lt-LT"/>
                            </w:rPr>
                            <w:t>4</w:t>
                          </w:r>
                          <w:r>
                            <w:rPr>
                              <w:rFonts w:eastAsia="Calibri"/>
                              <w:szCs w:val="24"/>
                            </w:rPr>
                            <w:t>.</w:t>
                          </w:r>
                          <w:r>
                            <w:rPr>
                              <w:szCs w:val="24"/>
                              <w:lang w:eastAsia="lt-LT"/>
                            </w:rPr>
                            <w:t>5</w:t>
                          </w:r>
                        </w:sdtContent>
                      </w:sdt>
                      <w:r>
                        <w:rPr>
                          <w:szCs w:val="24"/>
                          <w:lang w:eastAsia="lt-LT"/>
                        </w:rPr>
                        <w:t>. suderinti užimtumo skatinimo ir motyvavimo paslaugų bei piniginės socialinės paramos teikimą, integruojant ilgą laiką nedirbusius asmenis į darbo rinką;</w:t>
                      </w:r>
                    </w:p>
                  </w:sdtContent>
                </w:sdt>
                <w:sdt>
                  <w:sdtPr>
                    <w:alias w:val="4.6 pp."/>
                    <w:tag w:val="part_c8a662e912e5407bb742d3aca7f13bda"/>
                    <w:lock w:val="sdtLocked"/>
                    <w:richText/>
                  </w:sdtPr>
                  <w:sdtContent>
                    <w:p w14:paraId="243A5E25" w14:textId="77777777">
                      <w:pPr>
                        <w:tabs>
                          <w:tab w:val="left" w:pos="993"/>
                        </w:tabs>
                        <w:ind w:firstLine="709"/>
                        <w:jc w:val="both"/>
                        <w:rPr>
                          <w:rFonts w:eastAsia="Calibri"/>
                          <w:szCs w:val="24"/>
                        </w:rPr>
                      </w:pPr>
                      <w:sdt>
                        <w:sdtPr>
                          <w:alias w:val="Numeris"/>
                          <w:tag w:val="nr_c8a662e912e5407bb742d3aca7f13bda"/>
                          <w:lock w:val="sdtLocked"/>
                          <w:richText/>
                        </w:sdtPr>
                        <w:sdtContent>
                          <w:r>
                            <w:rPr>
                              <w:szCs w:val="24"/>
                              <w:lang w:eastAsia="lt-LT"/>
                            </w:rPr>
                            <w:t>4.6</w:t>
                          </w:r>
                        </w:sdtContent>
                      </w:sdt>
                      <w:r>
                        <w:rPr>
                          <w:i/>
                          <w:iCs/>
                          <w:szCs w:val="24"/>
                          <w:lang w:eastAsia="lt-LT"/>
                        </w:rPr>
                        <w:t>.</w:t>
                      </w:r>
                      <w:r>
                        <w:rPr>
                          <w:szCs w:val="24"/>
                          <w:lang w:eastAsia="lt-LT"/>
                        </w:rPr>
                        <w:t xml:space="preserve"> užtikrinti valstybės ir rajono Savivaldybės institucijų, įstaigų ir (ar) organizacijų, teikiančių užimtumo skatinimo, motyvavimo paslaugas ir piniginę socialinę paramą nedirbantiems asmenims, veiklos koordinavimą ir skatinti jų bendradarbiavimą.</w:t>
                      </w:r>
                    </w:p>
                  </w:sdtContent>
                </w:sdt>
              </w:sdtContent>
            </w:sdt>
            <w:sdt>
              <w:sdtPr>
                <w:alias w:val="5 p."/>
                <w:tag w:val="part_d1e65e491cde4363a1609ef1e1dbf686"/>
                <w:lock w:val="sdtLocked"/>
                <w:richText/>
              </w:sdtPr>
              <w:sdtContent>
                <w:p w14:paraId="1681F04F" w14:textId="77777777">
                  <w:pPr>
                    <w:tabs>
                      <w:tab w:val="left" w:pos="993"/>
                    </w:tabs>
                    <w:ind w:firstLine="709"/>
                    <w:jc w:val="both"/>
                    <w:rPr>
                      <w:rFonts w:eastAsia="Calibri"/>
                      <w:szCs w:val="24"/>
                    </w:rPr>
                  </w:pPr>
                  <w:sdt>
                    <w:sdtPr>
                      <w:alias w:val="Numeris"/>
                      <w:tag w:val="nr_d1e65e491cde4363a1609ef1e1dbf686"/>
                      <w:lock w:val="sdtLocked"/>
                      <w:richText/>
                    </w:sdtPr>
                    <w:sdtContent>
                      <w:r>
                        <w:rPr>
                          <w:rFonts w:eastAsia="Calibri"/>
                          <w:szCs w:val="24"/>
                        </w:rPr>
                        <w:t>5</w:t>
                      </w:r>
                    </w:sdtContent>
                  </w:sdt>
                  <w:r>
                    <w:rPr>
                      <w:rFonts w:eastAsia="Calibri"/>
                      <w:szCs w:val="24"/>
                    </w:rPr>
                    <w:t>. Programos principai:</w:t>
                  </w:r>
                </w:p>
                <w:sdt>
                  <w:sdtPr>
                    <w:alias w:val="5.1 pp."/>
                    <w:tag w:val="part_f466549eb3d643e28cd4f737f2753bf8"/>
                    <w:lock w:val="sdtLocked"/>
                    <w:richText/>
                  </w:sdtPr>
                  <w:sdtContent>
                    <w:p w14:paraId="4559F901" w14:textId="77777777">
                      <w:pPr>
                        <w:tabs>
                          <w:tab w:val="left" w:pos="993"/>
                        </w:tabs>
                        <w:ind w:firstLine="709"/>
                        <w:jc w:val="both"/>
                        <w:rPr>
                          <w:rFonts w:eastAsia="Calibri"/>
                          <w:szCs w:val="24"/>
                        </w:rPr>
                      </w:pPr>
                      <w:sdt>
                        <w:sdtPr>
                          <w:alias w:val="Numeris"/>
                          <w:tag w:val="nr_f466549eb3d643e28cd4f737f2753bf8"/>
                          <w:lock w:val="sdtLocked"/>
                          <w:richText/>
                        </w:sdtPr>
                        <w:sdtContent>
                          <w:r>
                            <w:rPr>
                              <w:rFonts w:eastAsia="Calibri"/>
                              <w:szCs w:val="24"/>
                            </w:rPr>
                            <w:t>5.1</w:t>
                          </w:r>
                        </w:sdtContent>
                      </w:sdt>
                      <w:r>
                        <w:rPr>
                          <w:rFonts w:eastAsia="Calibri"/>
                          <w:szCs w:val="24"/>
                        </w:rPr>
                        <w:t xml:space="preserve">. </w:t>
                      </w:r>
                      <w:r>
                        <w:rPr>
                          <w:color w:val="000000"/>
                          <w:szCs w:val="24"/>
                        </w:rPr>
                        <w:t xml:space="preserve">bendradarbiavimo – aktyvus gyvenamosios vietovės bendruomenės įtraukimas į veiklą, skatinant jos iniciatyvą, bendradarbiavimas su visomis suinteresuotomis institucijomis, organizacijomis. Programa rengiama konsultuojantis, o įgyvendinama bendradarbiaujant su </w:t>
                      </w:r>
                      <w:r>
                        <w:rPr>
                          <w:color w:val="000000"/>
                          <w:szCs w:val="24"/>
                          <w:lang w:eastAsia="lt-LT"/>
                        </w:rPr>
                        <w:t>Užimtumo tarnyba</w:t>
                      </w:r>
                      <w:r>
                        <w:rPr>
                          <w:color w:val="000000"/>
                          <w:szCs w:val="24"/>
                        </w:rPr>
                        <w:t>, socialiniais partneriais, organizacijų ir vietos bendruomenių atstovais, atstovaujančiais darbo ieškančių asmenų grupių interesams;</w:t>
                      </w:r>
                    </w:p>
                  </w:sdtContent>
                </w:sdt>
                <w:sdt>
                  <w:sdtPr>
                    <w:alias w:val="5.2 pp."/>
                    <w:tag w:val="part_512df8544dd64e668778ba66721bf77c"/>
                    <w:lock w:val="sdtLocked"/>
                    <w:richText/>
                  </w:sdtPr>
                  <w:sdtContent>
                    <w:p w14:paraId="7BC8F6A5" w14:textId="77777777">
                      <w:pPr>
                        <w:tabs>
                          <w:tab w:val="left" w:pos="993"/>
                        </w:tabs>
                        <w:ind w:firstLine="709"/>
                        <w:jc w:val="both"/>
                        <w:rPr>
                          <w:rFonts w:eastAsia="Calibri"/>
                          <w:szCs w:val="24"/>
                        </w:rPr>
                      </w:pPr>
                      <w:sdt>
                        <w:sdtPr>
                          <w:alias w:val="Numeris"/>
                          <w:tag w:val="nr_512df8544dd64e668778ba66721bf77c"/>
                          <w:lock w:val="sdtLocked"/>
                          <w:richText/>
                        </w:sdtPr>
                        <w:sdtContent>
                          <w:r>
                            <w:rPr>
                              <w:szCs w:val="24"/>
                              <w:lang w:eastAsia="lt-LT"/>
                            </w:rPr>
                            <w:t>5.2</w:t>
                          </w:r>
                        </w:sdtContent>
                      </w:sdt>
                      <w:r>
                        <w:rPr>
                          <w:szCs w:val="24"/>
                          <w:lang w:eastAsia="lt-LT"/>
                        </w:rPr>
                        <w:t xml:space="preserve">. </w:t>
                      </w:r>
                      <w:r>
                        <w:rPr>
                          <w:color w:val="000000"/>
                          <w:szCs w:val="24"/>
                        </w:rPr>
                        <w:t xml:space="preserve">kompleksiškumo – įgyvendinant Programą, kompleksiškai sprendžiamos asmenų užimtumo problemos, įtraukiant </w:t>
                      </w:r>
                      <w:r>
                        <w:rPr>
                          <w:bCs/>
                          <w:szCs w:val="24"/>
                        </w:rPr>
                        <w:t>rajono Savivaldybės teritorijoje esančias įmones, įstaigas</w:t>
                      </w:r>
                      <w:r>
                        <w:rPr>
                          <w:color w:val="000000"/>
                          <w:szCs w:val="24"/>
                        </w:rPr>
                        <w:t>, Užimtumo tarnybą, socialinius partnerius ir organizacijas;</w:t>
                      </w:r>
                    </w:p>
                  </w:sdtContent>
                </w:sdt>
                <w:sdt>
                  <w:sdtPr>
                    <w:alias w:val="5.3 pp."/>
                    <w:tag w:val="part_f6bac77b9521481e962f0167a5c9696a"/>
                    <w:lock w:val="sdtLocked"/>
                    <w:richText/>
                  </w:sdtPr>
                  <w:sdtContent>
                    <w:p w14:paraId="40DE2590" w14:textId="77777777">
                      <w:pPr>
                        <w:tabs>
                          <w:tab w:val="left" w:pos="993"/>
                        </w:tabs>
                        <w:ind w:firstLine="709"/>
                        <w:jc w:val="both"/>
                        <w:rPr>
                          <w:rFonts w:eastAsia="Calibri"/>
                          <w:szCs w:val="24"/>
                        </w:rPr>
                      </w:pPr>
                      <w:sdt>
                        <w:sdtPr>
                          <w:alias w:val="Numeris"/>
                          <w:tag w:val="nr_f6bac77b9521481e962f0167a5c9696a"/>
                          <w:lock w:val="sdtLocked"/>
                          <w:richText/>
                        </w:sdtPr>
                        <w:sdtContent>
                          <w:r>
                            <w:rPr>
                              <w:szCs w:val="24"/>
                              <w:lang w:eastAsia="lt-LT"/>
                            </w:rPr>
                            <w:t>5</w:t>
                          </w:r>
                          <w:r>
                            <w:rPr>
                              <w:rFonts w:eastAsia="Calibri"/>
                              <w:szCs w:val="24"/>
                            </w:rPr>
                            <w:t>.</w:t>
                          </w:r>
                          <w:r>
                            <w:rPr>
                              <w:szCs w:val="24"/>
                              <w:lang w:eastAsia="lt-LT"/>
                            </w:rPr>
                            <w:t>3</w:t>
                          </w:r>
                        </w:sdtContent>
                      </w:sdt>
                      <w:r>
                        <w:rPr>
                          <w:szCs w:val="24"/>
                          <w:lang w:eastAsia="lt-LT"/>
                        </w:rPr>
                        <w:t xml:space="preserve">. </w:t>
                      </w:r>
                      <w:r>
                        <w:rPr>
                          <w:color w:val="000000"/>
                          <w:szCs w:val="24"/>
                        </w:rPr>
                        <w:t xml:space="preserve"> individualumo – </w:t>
                      </w:r>
                      <w:r>
                        <w:rPr>
                          <w:szCs w:val="24"/>
                        </w:rPr>
                        <w:t>Aprašo 6.5.1 papunktyje nurodytos paslaugos (toliau – Paslaugos)  turi būti teikiamos ir (ar) Aprašo 6.5.2 papunktyje nurodytos priemonės (toliau – Priemonės) įgyvendinamos atsižvelgiant į individualius Tikslinių grupių asmenų poreikius, jų motyvaciją, įsidarbinimą ribojančias aplinkybes ir galimybes integruotis į darbo rinką;</w:t>
                      </w:r>
                    </w:p>
                  </w:sdtContent>
                </w:sdt>
                <w:sdt>
                  <w:sdtPr>
                    <w:alias w:val="5.4 pp."/>
                    <w:tag w:val="part_caf42cceae5c4d69a95554a4a0404135"/>
                    <w:lock w:val="sdtLocked"/>
                    <w:richText/>
                  </w:sdtPr>
                  <w:sdtContent>
                    <w:p w14:paraId="7313D5A6" w14:textId="77777777">
                      <w:pPr>
                        <w:tabs>
                          <w:tab w:val="left" w:pos="993"/>
                        </w:tabs>
                        <w:ind w:firstLine="709"/>
                        <w:jc w:val="both"/>
                        <w:rPr>
                          <w:rFonts w:eastAsia="Calibri"/>
                          <w:szCs w:val="24"/>
                        </w:rPr>
                      </w:pPr>
                      <w:sdt>
                        <w:sdtPr>
                          <w:alias w:val="Numeris"/>
                          <w:tag w:val="nr_caf42cceae5c4d69a95554a4a0404135"/>
                          <w:lock w:val="sdtLocked"/>
                          <w:richText/>
                        </w:sdtPr>
                        <w:sdtContent>
                          <w:r>
                            <w:rPr>
                              <w:szCs w:val="24"/>
                              <w:lang w:eastAsia="lt-LT"/>
                            </w:rPr>
                            <w:t>5.4</w:t>
                          </w:r>
                        </w:sdtContent>
                      </w:sdt>
                      <w:r>
                        <w:rPr>
                          <w:szCs w:val="24"/>
                          <w:lang w:eastAsia="lt-LT"/>
                        </w:rPr>
                        <w:t xml:space="preserve">. </w:t>
                      </w:r>
                      <w:r>
                        <w:rPr>
                          <w:color w:val="000000"/>
                          <w:szCs w:val="24"/>
                        </w:rPr>
                        <w:t>tęstinumo – Paslaugų ir (ar) Priemonių tęstinumas, nuolatinė Programos įgyvendinimo priežiūra ir tikslinimas pagal kintančias aplinkybes;</w:t>
                      </w:r>
                    </w:p>
                  </w:sdtContent>
                </w:sdt>
                <w:sdt>
                  <w:sdtPr>
                    <w:alias w:val="5.5 pp."/>
                    <w:tag w:val="part_fa0aec234511460898b14f6ae9232647"/>
                    <w:lock w:val="sdtLocked"/>
                    <w:richText/>
                  </w:sdtPr>
                  <w:sdtContent>
                    <w:p w14:paraId="583C0168" w14:textId="77777777">
                      <w:pPr>
                        <w:tabs>
                          <w:tab w:val="left" w:pos="993"/>
                        </w:tabs>
                        <w:ind w:firstLine="709"/>
                        <w:jc w:val="both"/>
                        <w:rPr>
                          <w:rFonts w:eastAsia="Calibri"/>
                          <w:szCs w:val="24"/>
                        </w:rPr>
                      </w:pPr>
                      <w:sdt>
                        <w:sdtPr>
                          <w:alias w:val="Numeris"/>
                          <w:tag w:val="nr_fa0aec234511460898b14f6ae9232647"/>
                          <w:lock w:val="sdtLocked"/>
                          <w:richText/>
                        </w:sdtPr>
                        <w:sdtContent>
                          <w:r>
                            <w:rPr>
                              <w:szCs w:val="24"/>
                              <w:lang w:eastAsia="lt-LT"/>
                            </w:rPr>
                            <w:t>5</w:t>
                          </w:r>
                          <w:r>
                            <w:rPr>
                              <w:rFonts w:eastAsia="Calibri"/>
                              <w:szCs w:val="24"/>
                            </w:rPr>
                            <w:t>.</w:t>
                          </w:r>
                          <w:r>
                            <w:rPr>
                              <w:szCs w:val="24"/>
                              <w:lang w:eastAsia="lt-LT"/>
                            </w:rPr>
                            <w:t>5</w:t>
                          </w:r>
                        </w:sdtContent>
                      </w:sdt>
                      <w:r>
                        <w:rPr>
                          <w:szCs w:val="24"/>
                          <w:lang w:eastAsia="lt-LT"/>
                        </w:rPr>
                        <w:t xml:space="preserve">. </w:t>
                      </w:r>
                      <w:r>
                        <w:rPr>
                          <w:color w:val="000000"/>
                          <w:szCs w:val="24"/>
                        </w:rPr>
                        <w:t>efektyvumo – Programa rengiama nustatant vertinimo kriterijus, kuriais siekiama įvertinti, ar efektyviai teikiamos Paslaugos ir įgyvendinamos Priemonės;</w:t>
                      </w:r>
                    </w:p>
                  </w:sdtContent>
                </w:sdt>
                <w:sdt>
                  <w:sdtPr>
                    <w:alias w:val="5.6 pp."/>
                    <w:tag w:val="part_d6a56ee6bde7462fb0a86c597853bd06"/>
                    <w:lock w:val="sdtLocked"/>
                    <w:richText/>
                  </w:sdtPr>
                  <w:sdtContent>
                    <w:p w14:paraId="45A66A27" w14:textId="77777777">
                      <w:pPr>
                        <w:tabs>
                          <w:tab w:val="left" w:pos="993"/>
                        </w:tabs>
                        <w:ind w:firstLine="709"/>
                        <w:jc w:val="both"/>
                        <w:rPr>
                          <w:rFonts w:eastAsia="Calibri"/>
                          <w:szCs w:val="24"/>
                        </w:rPr>
                      </w:pPr>
                      <w:sdt>
                        <w:sdtPr>
                          <w:alias w:val="Numeris"/>
                          <w:tag w:val="nr_d6a56ee6bde7462fb0a86c597853bd06"/>
                          <w:lock w:val="sdtLocked"/>
                          <w:richText/>
                        </w:sdtPr>
                        <w:sdtContent>
                          <w:r>
                            <w:rPr>
                              <w:szCs w:val="24"/>
                              <w:lang w:eastAsia="lt-LT"/>
                            </w:rPr>
                            <w:t>5.6</w:t>
                          </w:r>
                        </w:sdtContent>
                      </w:sdt>
                      <w:r>
                        <w:rPr>
                          <w:i/>
                          <w:iCs/>
                          <w:szCs w:val="24"/>
                          <w:lang w:eastAsia="lt-LT"/>
                        </w:rPr>
                        <w:t>.</w:t>
                      </w:r>
                      <w:r>
                        <w:rPr>
                          <w:szCs w:val="24"/>
                          <w:lang w:eastAsia="lt-LT"/>
                        </w:rPr>
                        <w:t xml:space="preserve"> </w:t>
                      </w:r>
                      <w:r>
                        <w:rPr>
                          <w:color w:val="000000"/>
                          <w:szCs w:val="24"/>
                        </w:rPr>
                        <w:t>ekonomiškumo – maksimalus Programai įgyvendinti skirtų lėšų panaudojimas, vadovaujantis ekonominio naudingumo principu;</w:t>
                      </w:r>
                    </w:p>
                  </w:sdtContent>
                </w:sdt>
                <w:sdt>
                  <w:sdtPr>
                    <w:alias w:val="5.7 pp."/>
                    <w:tag w:val="part_cd881c7a0dce4cd7981c6b3c2d630d87"/>
                    <w:lock w:val="sdtLocked"/>
                    <w:richText/>
                  </w:sdtPr>
                  <w:sdtContent>
                    <w:p w14:paraId="77BD9C46" w14:textId="007939AE">
                      <w:pPr>
                        <w:tabs>
                          <w:tab w:val="left" w:pos="993"/>
                        </w:tabs>
                        <w:ind w:firstLine="709"/>
                        <w:jc w:val="both"/>
                        <w:rPr>
                          <w:rFonts w:eastAsia="Calibri"/>
                          <w:szCs w:val="24"/>
                        </w:rPr>
                      </w:pPr>
                      <w:sdt>
                        <w:sdtPr>
                          <w:alias w:val="Numeris"/>
                          <w:tag w:val="nr_cd881c7a0dce4cd7981c6b3c2d630d87"/>
                          <w:lock w:val="sdtLocked"/>
                          <w:richText/>
                        </w:sdtPr>
                        <w:sdtContent>
                          <w:r>
                            <w:rPr>
                              <w:color w:val="000000"/>
                              <w:szCs w:val="24"/>
                            </w:rPr>
                            <w:t>5.7</w:t>
                          </w:r>
                        </w:sdtContent>
                      </w:sdt>
                      <w:r>
                        <w:rPr>
                          <w:color w:val="000000"/>
                          <w:szCs w:val="24"/>
                        </w:rPr>
                        <w:t>. viešumo – Programos ir ją įgyvendinant pasiektų rezultatų, Programai skirtų lėšų panaudojimo viešinimas.</w:t>
                      </w:r>
                    </w:p>
                    <w:p w14:paraId="40212E6D" w14:textId="77777777">
                      <w:pPr>
                        <w:widowControl w:val="0"/>
                        <w:tabs>
                          <w:tab w:val="left" w:pos="1418"/>
                        </w:tabs>
                        <w:ind w:firstLine="851"/>
                        <w:jc w:val="both"/>
                        <w:rPr>
                          <w:szCs w:val="24"/>
                          <w:lang w:eastAsia="lt-LT"/>
                        </w:rPr>
                      </w:pPr>
                    </w:p>
                  </w:sdtContent>
                </w:sdt>
              </w:sdtContent>
            </w:sdt>
            <w:sdt>
              <w:sdtPr>
                <w:alias w:val="skyrius"/>
                <w:tag w:val="part_8d6d16e97ce64d38af272bfa0c4aa907"/>
                <w:lock w:val="sdtLocked"/>
                <w:richText/>
              </w:sdtPr>
              <w:sdtContent>
                <w:p w14:paraId="53FEF552" w14:textId="77777777">
                  <w:pPr>
                    <w:tabs>
                      <w:tab w:val="left" w:pos="567"/>
                    </w:tabs>
                    <w:ind w:firstLine="567"/>
                    <w:jc w:val="center"/>
                    <w:rPr>
                      <w:rFonts w:eastAsia="Calibri"/>
                      <w:b/>
                      <w:szCs w:val="24"/>
                    </w:rPr>
                  </w:pPr>
                  <w:sdt>
                    <w:sdtPr>
                      <w:alias w:val="Numeris"/>
                      <w:tag w:val="nr_8d6d16e97ce64d38af272bfa0c4aa907"/>
                      <w:lock w:val="sdtLocked"/>
                      <w:richText/>
                    </w:sdtPr>
                    <w:sdtContent>
                      <w:r>
                        <w:rPr>
                          <w:rFonts w:eastAsia="Calibri"/>
                          <w:b/>
                          <w:szCs w:val="24"/>
                        </w:rPr>
                        <w:t>II</w:t>
                      </w:r>
                    </w:sdtContent>
                  </w:sdt>
                  <w:r>
                    <w:rPr>
                      <w:rFonts w:eastAsia="Calibri"/>
                      <w:b/>
                      <w:szCs w:val="24"/>
                    </w:rPr>
                    <w:t xml:space="preserve"> SKYRIUS</w:t>
                  </w:r>
                </w:p>
                <w:p w14:paraId="77162FF0" w14:textId="77777777">
                  <w:pPr>
                    <w:tabs>
                      <w:tab w:val="left" w:pos="567"/>
                      <w:tab w:val="left" w:pos="3572"/>
                      <w:tab w:val="center" w:pos="4819"/>
                    </w:tabs>
                    <w:ind w:firstLine="567"/>
                    <w:jc w:val="center"/>
                    <w:rPr>
                      <w:rFonts w:eastAsia="Calibri"/>
                      <w:b/>
                      <w:szCs w:val="24"/>
                    </w:rPr>
                  </w:pPr>
                  <w:sdt>
                    <w:sdtPr>
                      <w:alias w:val="Pavadinimas"/>
                      <w:tag w:val="title_8d6d16e97ce64d38af272bfa0c4aa907"/>
                      <w:lock w:val="sdtLocked"/>
                      <w:richText/>
                    </w:sdtPr>
                    <w:sdtContent>
                      <w:r>
                        <w:rPr>
                          <w:rFonts w:eastAsia="Calibri"/>
                          <w:b/>
                          <w:szCs w:val="24"/>
                        </w:rPr>
                        <w:t>BŪKLĖS ANALIZĖ</w:t>
                      </w:r>
                    </w:sdtContent>
                  </w:sdt>
                </w:p>
                <w:p w14:paraId="293A12A2" w14:textId="77777777">
                  <w:pPr>
                    <w:tabs>
                      <w:tab w:val="left" w:pos="567"/>
                      <w:tab w:val="left" w:pos="3572"/>
                      <w:tab w:val="center" w:pos="4819"/>
                    </w:tabs>
                    <w:ind w:firstLine="567"/>
                    <w:jc w:val="center"/>
                    <w:rPr>
                      <w:rFonts w:eastAsia="Calibri"/>
                      <w:b/>
                      <w:szCs w:val="24"/>
                    </w:rPr>
                  </w:pPr>
                </w:p>
                <w:sdt>
                  <w:sdtPr>
                    <w:alias w:val="6 p."/>
                    <w:tag w:val="part_f967ccb966db46c29f1a36052cbfb20f"/>
                    <w:lock w:val="sdtLocked"/>
                    <w:richText/>
                  </w:sdtPr>
                  <w:sdtContent>
                    <w:p w14:paraId="503579BC" w14:textId="77777777">
                      <w:pPr>
                        <w:overflowPunct w:val="0"/>
                        <w:ind w:firstLine="709"/>
                        <w:jc w:val="both"/>
                        <w:rPr>
                          <w:szCs w:val="24"/>
                        </w:rPr>
                      </w:pPr>
                      <w:sdt>
                        <w:sdtPr>
                          <w:alias w:val="Numeris"/>
                          <w:tag w:val="nr_f967ccb966db46c29f1a36052cbfb20f"/>
                          <w:lock w:val="sdtLocked"/>
                          <w:richText/>
                        </w:sdtPr>
                        <w:sdtContent>
                          <w:r>
                            <w:rPr>
                              <w:szCs w:val="24"/>
                              <w:lang w:eastAsia="lt-LT"/>
                            </w:rPr>
                            <w:t>6</w:t>
                          </w:r>
                        </w:sdtContent>
                      </w:sdt>
                      <w:r>
                        <w:rPr>
                          <w:color w:val="000000"/>
                          <w:szCs w:val="24"/>
                          <w:lang w:eastAsia="lt-LT"/>
                        </w:rPr>
                        <w:t xml:space="preserve">. </w:t>
                      </w:r>
                      <w:r>
                        <w:rPr>
                          <w:szCs w:val="24"/>
                        </w:rPr>
                        <w:t>Statistikos departamento prie Lietuvos Respublikos Vyriausybės duomenimis, rajono Savivaldybėje gyvena 36 394 gyventojai, iš jų – 21 532 darbingo amžiaus gyventojai.</w:t>
                      </w:r>
                    </w:p>
                  </w:sdtContent>
                </w:sdt>
                <w:sdt>
                  <w:sdtPr>
                    <w:alias w:val="7 p."/>
                    <w:tag w:val="part_5c08207c598b4172ad16be17731ab143"/>
                    <w:lock w:val="sdtLocked"/>
                    <w:richText/>
                  </w:sdtPr>
                  <w:sdtContent>
                    <w:p w14:paraId="04AD8D9F" w14:textId="77777777">
                      <w:pPr>
                        <w:overflowPunct w:val="0"/>
                        <w:ind w:firstLine="709"/>
                        <w:jc w:val="both"/>
                        <w:rPr>
                          <w:szCs w:val="24"/>
                        </w:rPr>
                      </w:pPr>
                      <w:sdt>
                        <w:sdtPr>
                          <w:alias w:val="Numeris"/>
                          <w:tag w:val="nr_5c08207c598b4172ad16be17731ab143"/>
                          <w:lock w:val="sdtLocked"/>
                          <w:richText/>
                        </w:sdtPr>
                        <w:sdtContent>
                          <w:r>
                            <w:rPr>
                              <w:szCs w:val="24"/>
                              <w:lang w:eastAsia="lt-LT"/>
                            </w:rPr>
                            <w:t>7</w:t>
                          </w:r>
                        </w:sdtContent>
                      </w:sdt>
                      <w:r>
                        <w:rPr>
                          <w:szCs w:val="24"/>
                          <w:lang w:eastAsia="lt-LT"/>
                        </w:rPr>
                        <w:t>. Užimtumo tarnybos 2025 m. sausio 1 d. duomenimis, buvo įregistruoti 2245 bedarbiai (moterų – 1148, vyrų – 1097) iš jų:</w:t>
                      </w:r>
                    </w:p>
                    <w:sdt>
                      <w:sdtPr>
                        <w:alias w:val="7.1 pp."/>
                        <w:tag w:val="part_fade045a2c5d439c92d219fefa114168"/>
                        <w:lock w:val="sdtLocked"/>
                        <w:richText/>
                      </w:sdtPr>
                      <w:sdtContent>
                        <w:p w14:paraId="5C62F8F8" w14:textId="77777777">
                          <w:pPr>
                            <w:overflowPunct w:val="0"/>
                            <w:ind w:firstLine="709"/>
                            <w:jc w:val="both"/>
                            <w:rPr>
                              <w:szCs w:val="24"/>
                            </w:rPr>
                          </w:pPr>
                          <w:sdt>
                            <w:sdtPr>
                              <w:alias w:val="Numeris"/>
                              <w:tag w:val="nr_fade045a2c5d439c92d219fefa114168"/>
                              <w:lock w:val="sdtLocked"/>
                              <w:richText/>
                            </w:sdtPr>
                            <w:sdtContent>
                              <w:r>
                                <w:rPr>
                                  <w:szCs w:val="24"/>
                                  <w:lang w:eastAsia="lt-LT"/>
                                </w:rPr>
                                <w:t>7.1</w:t>
                              </w:r>
                            </w:sdtContent>
                          </w:sdt>
                          <w:r>
                            <w:rPr>
                              <w:szCs w:val="24"/>
                              <w:lang w:eastAsia="lt-LT"/>
                            </w:rPr>
                            <w:t>. ilgalaikiai bedarbiai – 556 (moterų – 296, vyrų – 260);</w:t>
                          </w:r>
                        </w:p>
                      </w:sdtContent>
                    </w:sdt>
                    <w:sdt>
                      <w:sdtPr>
                        <w:alias w:val="7.2 pp."/>
                        <w:tag w:val="part_2f1fb06faa8c4a5f96aec06cb196110e"/>
                        <w:lock w:val="sdtLocked"/>
                        <w:richText/>
                      </w:sdtPr>
                      <w:sdtContent>
                        <w:p w14:paraId="5611D981" w14:textId="77777777">
                          <w:pPr>
                            <w:overflowPunct w:val="0"/>
                            <w:ind w:firstLine="709"/>
                            <w:jc w:val="both"/>
                            <w:rPr>
                              <w:szCs w:val="24"/>
                            </w:rPr>
                          </w:pPr>
                          <w:sdt>
                            <w:sdtPr>
                              <w:alias w:val="Numeris"/>
                              <w:tag w:val="nr_2f1fb06faa8c4a5f96aec06cb196110e"/>
                              <w:lock w:val="sdtLocked"/>
                              <w:richText/>
                            </w:sdtPr>
                            <w:sdtContent>
                              <w:r>
                                <w:rPr>
                                  <w:szCs w:val="24"/>
                                  <w:lang w:eastAsia="lt-LT"/>
                                </w:rPr>
                                <w:t>7.2</w:t>
                              </w:r>
                            </w:sdtContent>
                          </w:sdt>
                          <w:r>
                            <w:rPr>
                              <w:szCs w:val="24"/>
                              <w:lang w:eastAsia="lt-LT"/>
                            </w:rPr>
                            <w:t>. darbo rinkai besirengiančių asmenų skaičius – 900 (moterų – 454, vyrų – 446);</w:t>
                          </w:r>
                        </w:p>
                      </w:sdtContent>
                    </w:sdt>
                    <w:sdt>
                      <w:sdtPr>
                        <w:alias w:val="7.3 pp."/>
                        <w:tag w:val="part_132e885070c4462eacf9d67ff7a78dff"/>
                        <w:lock w:val="sdtLocked"/>
                        <w:richText/>
                      </w:sdtPr>
                      <w:sdtContent>
                        <w:p w14:paraId="50CC4303" w14:textId="77777777">
                          <w:pPr>
                            <w:overflowPunct w:val="0"/>
                            <w:ind w:firstLine="709"/>
                            <w:jc w:val="both"/>
                            <w:rPr>
                              <w:szCs w:val="24"/>
                            </w:rPr>
                          </w:pPr>
                          <w:sdt>
                            <w:sdtPr>
                              <w:alias w:val="Numeris"/>
                              <w:tag w:val="nr_132e885070c4462eacf9d67ff7a78dff"/>
                              <w:lock w:val="sdtLocked"/>
                              <w:richText/>
                            </w:sdtPr>
                            <w:sdtContent>
                              <w:r>
                                <w:rPr>
                                  <w:szCs w:val="24"/>
                                </w:rPr>
                                <w:t>7.3</w:t>
                              </w:r>
                            </w:sdtContent>
                          </w:sdt>
                          <w:r>
                            <w:rPr>
                              <w:szCs w:val="24"/>
                            </w:rPr>
                            <w:t>. auginantys vaiką (įvaikį) iki 8 metų arba neįgalų vaiką (įvaikį) iki 18 metų – 19;</w:t>
                          </w:r>
                        </w:p>
                      </w:sdtContent>
                    </w:sdt>
                    <w:sdt>
                      <w:sdtPr>
                        <w:alias w:val="7.4 pp."/>
                        <w:tag w:val="part_497c24043e6e4f48b67a662e6ec1e69c"/>
                        <w:lock w:val="sdtLocked"/>
                        <w:richText/>
                      </w:sdtPr>
                      <w:sdtContent>
                        <w:p w14:paraId="501214AD" w14:textId="77777777">
                          <w:pPr>
                            <w:overflowPunct w:val="0"/>
                            <w:ind w:firstLine="709"/>
                            <w:jc w:val="both"/>
                            <w:rPr>
                              <w:szCs w:val="24"/>
                            </w:rPr>
                          </w:pPr>
                          <w:sdt>
                            <w:sdtPr>
                              <w:alias w:val="Numeris"/>
                              <w:tag w:val="nr_497c24043e6e4f48b67a662e6ec1e69c"/>
                              <w:lock w:val="sdtLocked"/>
                              <w:richText/>
                            </w:sdtPr>
                            <w:sdtContent>
                              <w:r>
                                <w:rPr>
                                  <w:szCs w:val="24"/>
                                </w:rPr>
                                <w:t>7.4</w:t>
                              </w:r>
                            </w:sdtContent>
                          </w:sdt>
                          <w:r>
                            <w:rPr>
                              <w:szCs w:val="24"/>
                            </w:rPr>
                            <w:t>. asmenys nuo 40 iki 50 metų amžiaus – 510 (moterų – 273, vyrų – 237);</w:t>
                          </w:r>
                        </w:p>
                      </w:sdtContent>
                    </w:sdt>
                    <w:sdt>
                      <w:sdtPr>
                        <w:alias w:val="7.5 pp."/>
                        <w:tag w:val="part_52ce0d7707134cfabaee6d0e33c62939"/>
                        <w:lock w:val="sdtLocked"/>
                        <w:richText/>
                      </w:sdtPr>
                      <w:sdtContent>
                        <w:p w14:paraId="5FF017B5" w14:textId="77777777">
                          <w:pPr>
                            <w:overflowPunct w:val="0"/>
                            <w:ind w:firstLine="709"/>
                            <w:jc w:val="both"/>
                            <w:rPr>
                              <w:szCs w:val="24"/>
                            </w:rPr>
                          </w:pPr>
                          <w:sdt>
                            <w:sdtPr>
                              <w:alias w:val="Numeris"/>
                              <w:tag w:val="nr_52ce0d7707134cfabaee6d0e33c62939"/>
                              <w:lock w:val="sdtLocked"/>
                              <w:richText/>
                            </w:sdtPr>
                            <w:sdtContent>
                              <w:r>
                                <w:rPr>
                                  <w:szCs w:val="24"/>
                                </w:rPr>
                                <w:t>7.5</w:t>
                              </w:r>
                            </w:sdtContent>
                          </w:sdt>
                          <w:r>
                            <w:rPr>
                              <w:szCs w:val="24"/>
                            </w:rPr>
                            <w:t>. vyresni nei 50 metų amžiaus asmenys – 955 (moterų – 494, vyrų – 461);</w:t>
                          </w:r>
                        </w:p>
                      </w:sdtContent>
                    </w:sdt>
                    <w:sdt>
                      <w:sdtPr>
                        <w:alias w:val="7.6 pp."/>
                        <w:tag w:val="part_2f754b6134804bec9b1135890b5ac8f6"/>
                        <w:lock w:val="sdtLocked"/>
                        <w:richText/>
                      </w:sdtPr>
                      <w:sdtContent>
                        <w:p w14:paraId="2530DF54" w14:textId="77777777">
                          <w:pPr>
                            <w:overflowPunct w:val="0"/>
                            <w:ind w:firstLine="709"/>
                            <w:jc w:val="both"/>
                            <w:rPr>
                              <w:szCs w:val="24"/>
                            </w:rPr>
                          </w:pPr>
                          <w:sdt>
                            <w:sdtPr>
                              <w:alias w:val="Numeris"/>
                              <w:tag w:val="nr_2f754b6134804bec9b1135890b5ac8f6"/>
                              <w:lock w:val="sdtLocked"/>
                              <w:richText/>
                            </w:sdtPr>
                            <w:sdtContent>
                              <w:r>
                                <w:rPr>
                                  <w:szCs w:val="24"/>
                                </w:rPr>
                                <w:t>7.6</w:t>
                              </w:r>
                            </w:sdtContent>
                          </w:sdt>
                          <w:r>
                            <w:rPr>
                              <w:szCs w:val="24"/>
                            </w:rPr>
                            <w:t>. nekvalifikuoti asmenys – 846 (moterų – 434, vyrų – 412).</w:t>
                          </w:r>
                        </w:p>
                      </w:sdtContent>
                    </w:sdt>
                  </w:sdtContent>
                </w:sdt>
                <w:sdt>
                  <w:sdtPr>
                    <w:alias w:val="8 p."/>
                    <w:tag w:val="part_80f68b2e68054975be74eb120c92f0da"/>
                    <w:lock w:val="sdtLocked"/>
                    <w:richText/>
                  </w:sdtPr>
                  <w:sdtContent>
                    <w:p w14:paraId="6A14947B" w14:textId="77777777">
                      <w:pPr>
                        <w:overflowPunct w:val="0"/>
                        <w:ind w:firstLine="709"/>
                        <w:jc w:val="both"/>
                        <w:rPr>
                          <w:szCs w:val="24"/>
                        </w:rPr>
                      </w:pPr>
                      <w:sdt>
                        <w:sdtPr>
                          <w:alias w:val="Numeris"/>
                          <w:tag w:val="nr_80f68b2e68054975be74eb120c92f0da"/>
                          <w:lock w:val="sdtLocked"/>
                          <w:richText/>
                        </w:sdtPr>
                        <w:sdtContent>
                          <w:r>
                            <w:rPr>
                              <w:szCs w:val="24"/>
                              <w:lang w:eastAsia="lt-LT"/>
                            </w:rPr>
                            <w:t>8</w:t>
                          </w:r>
                        </w:sdtContent>
                      </w:sdt>
                      <w:r>
                        <w:rPr>
                          <w:szCs w:val="24"/>
                          <w:lang w:eastAsia="lt-LT"/>
                        </w:rPr>
                        <w:t xml:space="preserve">. </w:t>
                      </w:r>
                      <w:r>
                        <w:rPr>
                          <w:lang w:eastAsia="lt-LT"/>
                        </w:rPr>
                        <w:t>Registruotas nedarbo lygis Radviliškio rajone 2025 m. sausio 1 d. buvo 10,4 proc., šalyje – 9,0 proc. Per 2024 metus vidutinis nedarbo lygis Radviliškio rajone sumažėjo 0,5 proc. (2024-01-01 buvo 10,9 proc.), šalyje sumažėjo – 0,1 proc. (2024-01-01 buvo 9,1 proc.).</w:t>
                      </w:r>
                    </w:p>
                  </w:sdtContent>
                </w:sdt>
                <w:sdt>
                  <w:sdtPr>
                    <w:alias w:val="9 p."/>
                    <w:tag w:val="part_0378c0f027ec48e8a785ae22254bed3e"/>
                    <w:lock w:val="sdtLocked"/>
                    <w:richText/>
                  </w:sdtPr>
                  <w:sdtContent>
                    <w:p w14:paraId="26D01A73" w14:textId="77777777">
                      <w:pPr>
                        <w:overflowPunct w:val="0"/>
                        <w:ind w:firstLine="709"/>
                        <w:jc w:val="both"/>
                        <w:rPr>
                          <w:szCs w:val="24"/>
                        </w:rPr>
                      </w:pPr>
                      <w:sdt>
                        <w:sdtPr>
                          <w:alias w:val="Numeris"/>
                          <w:tag w:val="nr_0378c0f027ec48e8a785ae22254bed3e"/>
                          <w:lock w:val="sdtLocked"/>
                          <w:richText/>
                        </w:sdtPr>
                        <w:sdtContent>
                          <w:r>
                            <w:rPr>
                              <w:szCs w:val="24"/>
                              <w:lang w:eastAsia="lt-LT"/>
                            </w:rPr>
                            <w:t>9</w:t>
                          </w:r>
                        </w:sdtContent>
                      </w:sdt>
                      <w:r>
                        <w:rPr>
                          <w:szCs w:val="24"/>
                          <w:lang w:eastAsia="lt-LT"/>
                        </w:rPr>
                        <w:t xml:space="preserve">. </w:t>
                      </w:r>
                      <w:r>
                        <w:rPr>
                          <w:szCs w:val="24"/>
                        </w:rPr>
                        <w:t xml:space="preserve">Didžioji dalis visų Radviliškio rajone registruotų bedarbių yra vyresni kaip 40 metų asmenys, ilgalaikiai bedarbiai, </w:t>
                      </w:r>
                      <w:r>
                        <w:rPr>
                          <w:bCs/>
                          <w:szCs w:val="24"/>
                        </w:rPr>
                        <w:t xml:space="preserve">žemos kvalifikacijos arba jos visai neturi. Kvalifikacijos nereikalaujančių darbų pasiūla rajone kasmet mažėja, šių asmenų galimybės įsidarbinti taip pat mažėja, todėl bedarbiams ir (ar) darbo rinkai besirengiantiems asmenims, tikslinga organizuoti </w:t>
                      </w:r>
                      <w:r>
                        <w:rPr>
                          <w:bCs/>
                          <w:color w:val="000000"/>
                          <w:szCs w:val="24"/>
                        </w:rPr>
                        <w:t xml:space="preserve">kvalifikacijos nereikalaujančius laikinuosius darbus, </w:t>
                      </w:r>
                      <w:r>
                        <w:rPr>
                          <w:szCs w:val="24"/>
                        </w:rPr>
                        <w:t>teikiančius socialinę naudą vietos bendruomenei, prisidedančius prie socialinės infrastruktūros palaikymo ir plėtojimo.</w:t>
                      </w:r>
                      <w:r>
                        <w:rPr>
                          <w:bCs/>
                          <w:color w:val="000000"/>
                          <w:szCs w:val="24"/>
                        </w:rPr>
                        <w:t xml:space="preserve">  </w:t>
                      </w:r>
                    </w:p>
                  </w:sdtContent>
                </w:sdt>
                <w:sdt>
                  <w:sdtPr>
                    <w:alias w:val="10 p."/>
                    <w:tag w:val="part_a020a81ba4ec41ee87080a35a9d7d8bd"/>
                    <w:lock w:val="sdtLocked"/>
                    <w:richText/>
                  </w:sdtPr>
                  <w:sdtContent>
                    <w:p w14:paraId="21459C96" w14:textId="77777777">
                      <w:pPr>
                        <w:overflowPunct w:val="0"/>
                        <w:ind w:firstLine="709"/>
                        <w:jc w:val="both"/>
                        <w:rPr>
                          <w:szCs w:val="24"/>
                        </w:rPr>
                      </w:pPr>
                      <w:sdt>
                        <w:sdtPr>
                          <w:alias w:val="Numeris"/>
                          <w:tag w:val="nr_a020a81ba4ec41ee87080a35a9d7d8bd"/>
                          <w:lock w:val="sdtLocked"/>
                          <w:richText/>
                        </w:sdtPr>
                        <w:sdtContent>
                          <w:r>
                            <w:rPr>
                              <w:rFonts w:eastAsia="Calibri"/>
                              <w:szCs w:val="24"/>
                            </w:rPr>
                            <w:t>10</w:t>
                          </w:r>
                        </w:sdtContent>
                      </w:sdt>
                      <w:r>
                        <w:rPr>
                          <w:rFonts w:eastAsia="Calibri"/>
                          <w:szCs w:val="24"/>
                        </w:rPr>
                        <w:t xml:space="preserve">. Sudėtinga į darbo rinką integruoti skurdo ir socialinės atskirties riziką patiriančius asmenis, nes paprastai jie ilgą laiką būna ekonomiškai neaktyvūs, praradę darbinius įgūdžius, kvalifikaciją ar socialinius gebėjimus arba jų neturintys. </w:t>
                      </w:r>
                    </w:p>
                  </w:sdtContent>
                </w:sdt>
                <w:sdt>
                  <w:sdtPr>
                    <w:alias w:val="11 p."/>
                    <w:tag w:val="part_4b05afadf1494c9f8d953a5d023dc92e"/>
                    <w:lock w:val="sdtLocked"/>
                    <w:richText/>
                  </w:sdtPr>
                  <w:sdtContent>
                    <w:p w14:paraId="672A3CE9" w14:textId="77777777">
                      <w:pPr>
                        <w:overflowPunct w:val="0"/>
                        <w:ind w:firstLine="709"/>
                        <w:jc w:val="both"/>
                        <w:rPr>
                          <w:szCs w:val="24"/>
                        </w:rPr>
                      </w:pPr>
                      <w:sdt>
                        <w:sdtPr>
                          <w:alias w:val="Numeris"/>
                          <w:tag w:val="nr_4b05afadf1494c9f8d953a5d023dc92e"/>
                          <w:lock w:val="sdtLocked"/>
                          <w:richText/>
                        </w:sdtPr>
                        <w:sdtContent>
                          <w:r>
                            <w:rPr>
                              <w:rFonts w:eastAsia="Calibri"/>
                              <w:szCs w:val="24"/>
                            </w:rPr>
                            <w:t>11</w:t>
                          </w:r>
                        </w:sdtContent>
                      </w:sdt>
                      <w:r>
                        <w:rPr>
                          <w:rFonts w:eastAsia="Calibri"/>
                          <w:szCs w:val="24"/>
                        </w:rPr>
                        <w:t xml:space="preserve">. Siekiant didinti motyvacijos, socialinių, bendrųjų ir darbo įgūdžių stokojančių asmenų užimtumą, be laikinųjų darbų organizavimo, numatomas </w:t>
                      </w:r>
                      <w:r>
                        <w:rPr>
                          <w:bCs/>
                          <w:color w:val="000000"/>
                          <w:szCs w:val="24"/>
                        </w:rPr>
                        <w:t>uži</w:t>
                      </w:r>
                      <w:r>
                        <w:rPr>
                          <w:bCs/>
                          <w:szCs w:val="24"/>
                        </w:rPr>
                        <w:t>mtumo skatinimo ir motyvavimo</w:t>
                      </w:r>
                      <w:r>
                        <w:rPr>
                          <w:rFonts w:eastAsia="Calibri"/>
                          <w:szCs w:val="24"/>
                        </w:rPr>
                        <w:t xml:space="preserve"> paslaugų nedirbantiems </w:t>
                      </w:r>
                      <w:r>
                        <w:rPr>
                          <w:bCs/>
                          <w:szCs w:val="24"/>
                        </w:rPr>
                        <w:t>ir socialinę paramą gaunantiems asmenims</w:t>
                      </w:r>
                      <w:r>
                        <w:rPr>
                          <w:rFonts w:eastAsia="Calibri"/>
                          <w:szCs w:val="24"/>
                        </w:rPr>
                        <w:t xml:space="preserve"> organizavimas. </w:t>
                      </w:r>
                    </w:p>
                  </w:sdtContent>
                </w:sdt>
                <w:sdt>
                  <w:sdtPr>
                    <w:alias w:val="12 p."/>
                    <w:tag w:val="part_cac6a4a3cbf4498b9f6ea6eec2b6a89f"/>
                    <w:lock w:val="sdtLocked"/>
                    <w:richText/>
                  </w:sdtPr>
                  <w:sdtContent>
                    <w:p w14:paraId="65C29BFE" w14:textId="541B16E7">
                      <w:pPr>
                        <w:overflowPunct w:val="0"/>
                        <w:ind w:firstLine="709"/>
                        <w:jc w:val="both"/>
                        <w:rPr>
                          <w:rFonts w:eastAsia="Calibri"/>
                          <w:bCs/>
                          <w:szCs w:val="24"/>
                        </w:rPr>
                      </w:pPr>
                      <w:sdt>
                        <w:sdtPr>
                          <w:alias w:val="Numeris"/>
                          <w:tag w:val="nr_cac6a4a3cbf4498b9f6ea6eec2b6a89f"/>
                          <w:lock w:val="sdtLocked"/>
                          <w:richText/>
                        </w:sdtPr>
                        <w:sdtContent>
                          <w:r>
                            <w:rPr>
                              <w:rFonts w:eastAsia="Calibri"/>
                              <w:szCs w:val="24"/>
                            </w:rPr>
                            <w:t>12</w:t>
                          </w:r>
                        </w:sdtContent>
                      </w:sdt>
                      <w:r>
                        <w:rPr>
                          <w:rFonts w:eastAsia="Calibri"/>
                          <w:szCs w:val="24"/>
                        </w:rPr>
                        <w:t xml:space="preserve">. </w:t>
                      </w:r>
                      <w:r>
                        <w:rPr>
                          <w:rFonts w:eastAsia="Calibri"/>
                          <w:bCs/>
                          <w:szCs w:val="24"/>
                        </w:rPr>
                        <w:t>Užimtumo didinimo programoje 2024 m. dalyvavo 60 (54 pradėję dalyvavimą 2024 m. ir 6 tęsė dalyvavimą nuo 2023 m.) darbo rinkai besirengiančių asmenų ir 36 bedarbiai.</w:t>
                      </w:r>
                      <w:r>
                        <w:rPr>
                          <w:rFonts w:eastAsia="Calibri"/>
                          <w:bCs/>
                          <w:color w:val="FF0000"/>
                          <w:szCs w:val="24"/>
                        </w:rPr>
                        <w:t xml:space="preserve"> </w:t>
                      </w:r>
                      <w:r>
                        <w:rPr>
                          <w:rFonts w:eastAsia="Calibri"/>
                          <w:bCs/>
                          <w:szCs w:val="24"/>
                        </w:rPr>
                        <w:t>Laikino užimtumo priemonėje dalyvavo 12 seniūnijų ir Daugyvenės kultūros istorijos muziejus-draustinis.</w:t>
                      </w:r>
                    </w:p>
                    <w:p w14:paraId="1D9C9BA6" w14:textId="77777777">
                      <w:pPr>
                        <w:overflowPunct w:val="0"/>
                        <w:ind w:firstLine="709"/>
                        <w:jc w:val="both"/>
                        <w:rPr>
                          <w:rFonts w:eastAsia="Calibri"/>
                          <w:bCs/>
                          <w:szCs w:val="24"/>
                        </w:rPr>
                      </w:pPr>
                      <w:r>
                        <w:rPr>
                          <w:rFonts w:eastAsia="Calibri"/>
                          <w:bCs/>
                          <w:szCs w:val="24"/>
                        </w:rPr>
                        <w:t xml:space="preserve">14 darbo rinkai besirengiančių asmenų buvo suteiktos priklausomybių konsultanto konsultacijos, 16 – teisininko konsultacijos, 2– individualios psichologo konsultacijos, 28 asmenims suteiktos tarpininkavimo paslaugos, 45 asmenys dalyvavo motyvaciniuose ir 18 finansinio raštingumo užsiėmimuose. </w:t>
                      </w:r>
                    </w:p>
                    <w:p w14:paraId="1717DC4E" w14:textId="2FEC0075">
                      <w:pPr>
                        <w:overflowPunct w:val="0"/>
                        <w:ind w:firstLine="709"/>
                        <w:jc w:val="both"/>
                        <w:rPr>
                          <w:rFonts w:eastAsia="Calibri"/>
                          <w:bCs/>
                          <w:szCs w:val="24"/>
                        </w:rPr>
                      </w:pPr>
                      <w:r>
                        <w:rPr>
                          <w:rFonts w:eastAsia="Calibri"/>
                          <w:bCs/>
                          <w:szCs w:val="24"/>
                        </w:rPr>
                        <w:t>Laikino užimtumo priemonėje dalyvavo 12 seniūnijų ir Daugyvenės kultūros istorijos muziejus-draustinis. Į Šaukoto, Grinkiškio,</w:t>
                      </w:r>
                      <w:r>
                        <w:rPr>
                          <w:rFonts w:eastAsia="Calibri"/>
                          <w:bCs/>
                          <w:color w:val="FF0000"/>
                          <w:szCs w:val="24"/>
                        </w:rPr>
                        <w:t xml:space="preserve"> </w:t>
                      </w:r>
                      <w:r>
                        <w:rPr>
                          <w:rFonts w:eastAsia="Calibri"/>
                          <w:bCs/>
                          <w:szCs w:val="24"/>
                        </w:rPr>
                        <w:t>Skėmių ir Aukštelkų seniūnijas laikiniesiems darbams buvo įdarbinta po 3 darbo rinkai besirengiančius asmenis;</w:t>
                      </w:r>
                      <w:r>
                        <w:rPr>
                          <w:rFonts w:eastAsia="Calibri"/>
                          <w:bCs/>
                          <w:color w:val="FF0000"/>
                          <w:szCs w:val="24"/>
                        </w:rPr>
                        <w:t xml:space="preserve"> </w:t>
                      </w:r>
                      <w:r>
                        <w:rPr>
                          <w:rFonts w:eastAsia="Calibri"/>
                          <w:bCs/>
                          <w:szCs w:val="24"/>
                        </w:rPr>
                        <w:t>į Sidabravo, Pakalniškių, Šiaulėnų, Tyrulių ir Radviliškio seniūnijas – po 2 asmenis;</w:t>
                      </w:r>
                      <w:r>
                        <w:rPr>
                          <w:rFonts w:eastAsia="Calibri"/>
                          <w:bCs/>
                          <w:color w:val="FF0000"/>
                          <w:szCs w:val="24"/>
                        </w:rPr>
                        <w:t xml:space="preserve"> </w:t>
                      </w:r>
                      <w:r>
                        <w:rPr>
                          <w:rFonts w:eastAsia="Calibri"/>
                          <w:bCs/>
                          <w:szCs w:val="24"/>
                        </w:rPr>
                        <w:t>Šeduvos, Baisogalos seniūnijose ir Daugyvenės kultūros istorijos muziejuje-draustinyje buvo įdarbinta po 4 asmenis;</w:t>
                      </w:r>
                      <w:r>
                        <w:rPr>
                          <w:rFonts w:eastAsia="Calibri"/>
                          <w:bCs/>
                          <w:color w:val="FF0000"/>
                          <w:szCs w:val="24"/>
                        </w:rPr>
                        <w:t xml:space="preserve"> </w:t>
                      </w:r>
                      <w:r>
                        <w:rPr>
                          <w:rFonts w:eastAsia="Calibri"/>
                          <w:bCs/>
                          <w:szCs w:val="24"/>
                        </w:rPr>
                        <w:t>5 asmenys buvo įdarbinti Radviliškio miesto seniūnijoje.</w:t>
                      </w:r>
                    </w:p>
                    <w:p w14:paraId="0327DC1A" w14:textId="502767BD">
                      <w:pPr>
                        <w:overflowPunct w:val="0"/>
                        <w:ind w:firstLine="709"/>
                        <w:jc w:val="both"/>
                        <w:rPr>
                          <w:rFonts w:eastAsia="Calibri"/>
                          <w:bCs/>
                          <w:szCs w:val="24"/>
                        </w:rPr>
                      </w:pPr>
                      <w:r>
                        <w:rPr>
                          <w:rFonts w:eastAsia="Calibri"/>
                          <w:bCs/>
                          <w:szCs w:val="24"/>
                        </w:rPr>
                        <w:t>Po paslaugų gavimo 23 darbo rinkai besirengiantys asmenys tapo bedarbiais ir pasirengusiais darbo rinkai. Pasibaigus užimtumo didinimo programai, per 6 mėnesius dirbo arba vykdė savarankišką veiklą 34,8 procentų dalyvavusių Programoje asmenų, po 6 mėnesių dirbo arba vykdė savarankišką veiklą 20,7 procentų (užduotis buvo 13 proc.) dalyvavusių Programoje asmenų.</w:t>
                      </w:r>
                    </w:p>
                  </w:sdtContent>
                </w:sdt>
                <w:sdt>
                  <w:sdtPr>
                    <w:alias w:val="13 p."/>
                    <w:tag w:val="part_5c52aa674e064069bbc85e3db58cb0c6"/>
                    <w:lock w:val="sdtLocked"/>
                    <w:richText/>
                  </w:sdtPr>
                  <w:sdtContent>
                    <w:p w14:paraId="3180AE86" w14:textId="766E5E62">
                      <w:pPr>
                        <w:overflowPunct w:val="0"/>
                        <w:ind w:firstLine="709"/>
                        <w:jc w:val="both"/>
                        <w:rPr>
                          <w:rFonts w:eastAsia="Calibri"/>
                          <w:bCs/>
                          <w:szCs w:val="24"/>
                        </w:rPr>
                      </w:pPr>
                      <w:sdt>
                        <w:sdtPr>
                          <w:alias w:val="Numeris"/>
                          <w:tag w:val="nr_5c52aa674e064069bbc85e3db58cb0c6"/>
                          <w:lock w:val="sdtLocked"/>
                          <w:richText/>
                        </w:sdtPr>
                        <w:sdtContent>
                          <w:r>
                            <w:rPr>
                              <w:rFonts w:eastAsia="Calibri"/>
                              <w:szCs w:val="24"/>
                            </w:rPr>
                            <w:t>13</w:t>
                          </w:r>
                        </w:sdtContent>
                      </w:sdt>
                      <w:r>
                        <w:rPr>
                          <w:rFonts w:eastAsia="Calibri"/>
                          <w:szCs w:val="24"/>
                        </w:rPr>
                        <w:t xml:space="preserve">. </w:t>
                      </w:r>
                      <w:r>
                        <w:rPr>
                          <w:szCs w:val="24"/>
                        </w:rPr>
                        <w:t>Užimtumo didinimo programai iš valstybės biudžeto 2024 m. buvo skirta 199,2 tūkst. Eur. Panaudota 191 583,96 Eur.</w:t>
                      </w:r>
                    </w:p>
                    <w:p w14:paraId="72C4204D" w14:textId="77777777">
                      <w:pPr>
                        <w:widowControl w:val="0"/>
                        <w:tabs>
                          <w:tab w:val="left" w:pos="0"/>
                        </w:tabs>
                        <w:suppressAutoHyphens/>
                        <w:jc w:val="center"/>
                        <w:rPr>
                          <w:b/>
                          <w:szCs w:val="24"/>
                        </w:rPr>
                      </w:pPr>
                    </w:p>
                  </w:sdtContent>
                </w:sdt>
              </w:sdtContent>
            </w:sdt>
            <w:sdt>
              <w:sdtPr>
                <w:alias w:val="skyrius"/>
                <w:tag w:val="part_3b4d4c877822405d8b17b15bfc562736"/>
                <w:lock w:val="sdtLocked"/>
                <w:richText/>
              </w:sdtPr>
              <w:sdtContent>
                <w:p w14:paraId="30B41E87" w14:textId="2B3386B9">
                  <w:pPr>
                    <w:widowControl w:val="0"/>
                    <w:tabs>
                      <w:tab w:val="left" w:pos="0"/>
                    </w:tabs>
                    <w:suppressAutoHyphens/>
                    <w:jc w:val="center"/>
                    <w:rPr>
                      <w:b/>
                      <w:szCs w:val="24"/>
                    </w:rPr>
                  </w:pPr>
                  <w:sdt>
                    <w:sdtPr>
                      <w:alias w:val="Numeris"/>
                      <w:tag w:val="nr_3b4d4c877822405d8b17b15bfc562736"/>
                      <w:lock w:val="sdtLocked"/>
                      <w:richText/>
                    </w:sdtPr>
                    <w:sdtContent>
                      <w:r>
                        <w:rPr>
                          <w:b/>
                          <w:szCs w:val="24"/>
                        </w:rPr>
                        <w:t>III</w:t>
                      </w:r>
                    </w:sdtContent>
                  </w:sdt>
                  <w:r>
                    <w:rPr>
                      <w:b/>
                      <w:szCs w:val="24"/>
                    </w:rPr>
                    <w:t xml:space="preserve"> SKYRIUS</w:t>
                  </w:r>
                </w:p>
                <w:p w14:paraId="0903DE57" w14:textId="77777777">
                  <w:pPr>
                    <w:jc w:val="center"/>
                    <w:rPr>
                      <w:rFonts w:eastAsia="HG Mincho Light J"/>
                      <w:b/>
                      <w:bCs/>
                      <w:color w:val="000000"/>
                      <w:szCs w:val="24"/>
                      <w:lang w:eastAsia="zh-CN" w:bidi="hi-IN"/>
                    </w:rPr>
                  </w:pPr>
                  <w:sdt>
                    <w:sdtPr>
                      <w:alias w:val="Pavadinimas"/>
                      <w:tag w:val="title_3b4d4c877822405d8b17b15bfc562736"/>
                      <w:lock w:val="sdtLocked"/>
                      <w:richText/>
                    </w:sdtPr>
                    <w:sdtContent>
                      <w:r>
                        <w:rPr>
                          <w:b/>
                          <w:szCs w:val="24"/>
                        </w:rPr>
                        <w:t xml:space="preserve">PASLAUGŲ, PRIEMONIŲ IR </w:t>
                      </w:r>
                      <w:r>
                        <w:rPr>
                          <w:rFonts w:eastAsia="HG Mincho Light J"/>
                          <w:b/>
                          <w:bCs/>
                          <w:color w:val="000000"/>
                          <w:szCs w:val="24"/>
                          <w:lang w:eastAsia="zh-CN" w:bidi="hi-IN"/>
                        </w:rPr>
                        <w:t>FINANSAVIMO PLANAS</w:t>
                      </w:r>
                    </w:sdtContent>
                  </w:sdt>
                </w:p>
                <w:p w14:paraId="7475530B" w14:textId="704F0C31">
                  <w:pPr>
                    <w:ind w:firstLine="124"/>
                    <w:jc w:val="both"/>
                    <w:rPr>
                      <w:rFonts w:eastAsia="HG Mincho Light J"/>
                      <w:b/>
                      <w:bCs/>
                      <w:color w:val="000000"/>
                      <w:szCs w:val="24"/>
                      <w:lang w:eastAsia="zh-CN" w:bidi="hi-IN"/>
                    </w:rPr>
                  </w:pPr>
                </w:p>
                <w:sdt>
                  <w:sdtPr>
                    <w:alias w:val="14 p."/>
                    <w:tag w:val="part_7a3bcc2941d244568a89665bdb9edacf"/>
                    <w:lock w:val="sdtLocked"/>
                    <w:richText/>
                  </w:sdtPr>
                  <w:sdtContent>
                    <w:p w14:paraId="4C0DE23C" w14:textId="77777777">
                      <w:pPr>
                        <w:ind w:firstLine="709"/>
                        <w:jc w:val="both"/>
                        <w:rPr>
                          <w:color w:val="FF0000"/>
                          <w:szCs w:val="24"/>
                        </w:rPr>
                      </w:pPr>
                      <w:sdt>
                        <w:sdtPr>
                          <w:alias w:val="Numeris"/>
                          <w:tag w:val="nr_7a3bcc2941d244568a89665bdb9edacf"/>
                          <w:lock w:val="sdtLocked"/>
                          <w:richText/>
                        </w:sdtPr>
                        <w:sdtContent>
                          <w:r>
                            <w:rPr>
                              <w:szCs w:val="24"/>
                            </w:rPr>
                            <w:t>14</w:t>
                          </w:r>
                        </w:sdtContent>
                      </w:sdt>
                      <w:r>
                        <w:rPr>
                          <w:szCs w:val="24"/>
                        </w:rPr>
                        <w:t xml:space="preserve">. Programa finansuojama iš Lietuvos Respublikos valstybės biudžeto </w:t>
                      </w:r>
                      <w:r>
                        <w:rPr>
                          <w:color w:val="000000"/>
                          <w:szCs w:val="24"/>
                        </w:rPr>
                        <w:t xml:space="preserve">specialių tikslinių dotacijų savivaldybių biudžetams lėšų. </w:t>
                      </w:r>
                      <w:r>
                        <w:rPr>
                          <w:szCs w:val="24"/>
                        </w:rPr>
                        <w:t>2025 m. Lietuvos Respublikos valstybės biudžeto specialioji tikslinė dotacija rajono Savivaldybės patvirtintai Užimtumo didinimo programai įgyvendinti yra 209,5 tūkst. Eur.</w:t>
                      </w:r>
                    </w:p>
                  </w:sdtContent>
                </w:sdt>
                <w:sdt>
                  <w:sdtPr>
                    <w:alias w:val="15 p."/>
                    <w:tag w:val="part_472ee87902dd4e259fc1ae54a02b1478"/>
                    <w:lock w:val="sdtLocked"/>
                    <w:richText/>
                  </w:sdtPr>
                  <w:sdtContent>
                    <w:p w14:paraId="0BFAAD24" w14:textId="77777777">
                      <w:pPr>
                        <w:ind w:firstLine="709"/>
                        <w:jc w:val="both"/>
                        <w:rPr>
                          <w:color w:val="FF0000"/>
                          <w:szCs w:val="24"/>
                        </w:rPr>
                      </w:pPr>
                      <w:sdt>
                        <w:sdtPr>
                          <w:alias w:val="Numeris"/>
                          <w:tag w:val="nr_472ee87902dd4e259fc1ae54a02b1478"/>
                          <w:lock w:val="sdtLocked"/>
                          <w:richText/>
                        </w:sdtPr>
                        <w:sdtContent>
                          <w:r>
                            <w:rPr>
                              <w:szCs w:val="24"/>
                            </w:rPr>
                            <w:t>15</w:t>
                          </w:r>
                        </w:sdtContent>
                      </w:sdt>
                      <w:r>
                        <w:rPr>
                          <w:szCs w:val="24"/>
                        </w:rPr>
                        <w:t xml:space="preserve">. 2025 m. planuojama Paslaugas teikti 60 darbo rinkai (su galimybe kisti) besirengiančių asmenų, o esant poreikiui, Paslaugos bus teikiamos ir kitiems Užimtumo įstatymo 48 straipsnio 2 dalies 1–10 ir 12 punktuose nurodytiems asmenims. Pagal poreikį bus teikiami </w:t>
                      </w:r>
                      <w:r>
                        <w:rPr>
                          <w:color w:val="000000"/>
                          <w:szCs w:val="24"/>
                        </w:rPr>
                        <w:t>motyvaciniai, finansinio raštingumo mokymai, psichologo, teisininko, priklausomybių konsultanto, priklausomų asmenų socialinio mentoriaus konsultacijos, bus teikiamos</w:t>
                      </w:r>
                      <w:r>
                        <w:rPr>
                          <w:szCs w:val="24"/>
                        </w:rPr>
                        <w:t xml:space="preserve"> </w:t>
                      </w:r>
                      <w:r>
                        <w:rPr>
                          <w:color w:val="000000"/>
                          <w:szCs w:val="24"/>
                        </w:rPr>
                        <w:t>socialinės, sveikatos, švietimo</w:t>
                      </w:r>
                      <w:r>
                        <w:rPr>
                          <w:szCs w:val="24"/>
                        </w:rPr>
                        <w:t xml:space="preserve">, </w:t>
                      </w:r>
                      <w:r>
                        <w:rPr>
                          <w:color w:val="000000"/>
                          <w:szCs w:val="24"/>
                        </w:rPr>
                        <w:t>palydėjimo, pavėžėjimo, palaikymo ir kitos</w:t>
                      </w:r>
                      <w:r>
                        <w:rPr>
                          <w:szCs w:val="24"/>
                        </w:rPr>
                        <w:t xml:space="preserve"> Aprašo 6.5.1 papunktyje nurodytos paslaugos. Paslaugoms planuojama skirti apie 65,5 tūkst. Eur (su galimybe kisti).</w:t>
                      </w:r>
                    </w:p>
                  </w:sdtContent>
                </w:sdt>
                <w:sdt>
                  <w:sdtPr>
                    <w:alias w:val="16 p."/>
                    <w:tag w:val="part_d1bd6315ef7248e3b94c15a7fa4cfab1"/>
                    <w:lock w:val="sdtLocked"/>
                    <w:richText/>
                  </w:sdtPr>
                  <w:sdtContent>
                    <w:p w14:paraId="2B4A3FBA" w14:textId="77777777">
                      <w:pPr>
                        <w:ind w:firstLine="709"/>
                        <w:jc w:val="both"/>
                        <w:rPr>
                          <w:color w:val="FF0000"/>
                          <w:szCs w:val="24"/>
                        </w:rPr>
                      </w:pPr>
                      <w:sdt>
                        <w:sdtPr>
                          <w:alias w:val="Numeris"/>
                          <w:tag w:val="nr_d1bd6315ef7248e3b94c15a7fa4cfab1"/>
                          <w:lock w:val="sdtLocked"/>
                          <w:richText/>
                        </w:sdtPr>
                        <w:sdtContent>
                          <w:r>
                            <w:rPr>
                              <w:szCs w:val="24"/>
                            </w:rPr>
                            <w:t>16</w:t>
                          </w:r>
                        </w:sdtContent>
                      </w:sdt>
                      <w:r>
                        <w:rPr>
                          <w:szCs w:val="24"/>
                        </w:rPr>
                        <w:t xml:space="preserve">. Programos Priemonių metu bus vykdomi šie laikino pobūdžio darbai: </w:t>
                      </w:r>
                    </w:p>
                    <w:sdt>
                      <w:sdtPr>
                        <w:alias w:val="16.1 pp."/>
                        <w:tag w:val="part_320f5cdf23994dee9235f4725b485b1b"/>
                        <w:lock w:val="sdtLocked"/>
                        <w:richText/>
                      </w:sdtPr>
                      <w:sdtContent>
                        <w:p w14:paraId="6CB1C90F" w14:textId="77777777">
                          <w:pPr>
                            <w:ind w:firstLine="709"/>
                            <w:jc w:val="both"/>
                            <w:rPr>
                              <w:color w:val="FF0000"/>
                              <w:szCs w:val="24"/>
                            </w:rPr>
                          </w:pPr>
                          <w:sdt>
                            <w:sdtPr>
                              <w:alias w:val="Numeris"/>
                              <w:tag w:val="nr_320f5cdf23994dee9235f4725b485b1b"/>
                              <w:lock w:val="sdtLocked"/>
                              <w:richText/>
                            </w:sdtPr>
                            <w:sdtContent>
                              <w:r>
                                <w:rPr>
                                  <w:szCs w:val="24"/>
                                </w:rPr>
                                <w:t>16.1</w:t>
                              </w:r>
                            </w:sdtContent>
                          </w:sdt>
                          <w:r>
                            <w:rPr>
                              <w:szCs w:val="24"/>
                            </w:rPr>
                            <w:t>. rajono Savivaldybei priskirtos valstybinės žemės ir kito valstybės turto bei šioje žemėje esančių vandens telkinių pakrančių, paplūdimių, takų, pakelių, želdinių tvarkymo ir priežiūros, infrastruktūros objektų smulkaus remonto, laikino pobūdžio pagalbiniai darbai;</w:t>
                          </w:r>
                          <w:r>
                            <w:rPr>
                              <w:rFonts w:eastAsia="Calibri"/>
                              <w:szCs w:val="24"/>
                            </w:rPr>
                            <w:t xml:space="preserve"> </w:t>
                          </w:r>
                        </w:p>
                      </w:sdtContent>
                    </w:sdt>
                    <w:sdt>
                      <w:sdtPr>
                        <w:alias w:val="16.2 pp."/>
                        <w:tag w:val="part_f19161ee6ae94e3e924017d8eabfdf90"/>
                        <w:lock w:val="sdtLocked"/>
                        <w:richText/>
                      </w:sdtPr>
                      <w:sdtContent>
                        <w:p w14:paraId="4111F5C6" w14:textId="77777777">
                          <w:pPr>
                            <w:ind w:firstLine="709"/>
                            <w:jc w:val="both"/>
                            <w:rPr>
                              <w:color w:val="FF0000"/>
                              <w:szCs w:val="24"/>
                            </w:rPr>
                          </w:pPr>
                          <w:sdt>
                            <w:sdtPr>
                              <w:alias w:val="Numeris"/>
                              <w:tag w:val="nr_f19161ee6ae94e3e924017d8eabfdf90"/>
                              <w:lock w:val="sdtLocked"/>
                              <w:richText/>
                            </w:sdtPr>
                            <w:sdtContent>
                              <w:r>
                                <w:rPr>
                                  <w:szCs w:val="24"/>
                                </w:rPr>
                                <w:t>16.2</w:t>
                              </w:r>
                            </w:sdtContent>
                          </w:sdt>
                          <w:r>
                            <w:rPr>
                              <w:szCs w:val="24"/>
                            </w:rPr>
                            <w:t>. istorijos ir kultūros paminklų, kultūros paveldo objektų, regioninių parkų, neveikiančių kapinių, kitų saugomų bei turinčių išliekamąją vertę objektų priežiūros pagalbiniai laikino pobūdžio darbai.</w:t>
                          </w:r>
                        </w:p>
                      </w:sdtContent>
                    </w:sdt>
                  </w:sdtContent>
                </w:sdt>
                <w:sdt>
                  <w:sdtPr>
                    <w:alias w:val="17 p."/>
                    <w:tag w:val="part_af84d32ac18048169048298abc9bf98d"/>
                    <w:lock w:val="sdtLocked"/>
                    <w:richText/>
                  </w:sdtPr>
                  <w:sdtContent>
                    <w:p w14:paraId="1F863AD7" w14:textId="77777777">
                      <w:pPr>
                        <w:ind w:firstLine="709"/>
                        <w:jc w:val="both"/>
                        <w:rPr>
                          <w:color w:val="FF0000"/>
                          <w:szCs w:val="24"/>
                        </w:rPr>
                      </w:pPr>
                      <w:sdt>
                        <w:sdtPr>
                          <w:alias w:val="Numeris"/>
                          <w:tag w:val="nr_af84d32ac18048169048298abc9bf98d"/>
                          <w:lock w:val="sdtLocked"/>
                          <w:richText/>
                        </w:sdtPr>
                        <w:sdtContent>
                          <w:r>
                            <w:rPr>
                              <w:szCs w:val="24"/>
                            </w:rPr>
                            <w:t>17</w:t>
                          </w:r>
                        </w:sdtContent>
                      </w:sdt>
                      <w:r>
                        <w:rPr>
                          <w:szCs w:val="24"/>
                        </w:rPr>
                        <w:t>. 2025 metais Priemonių įgyvendinimui planuojama įdarbinti 23 asmenis (su galimybe kisti).</w:t>
                      </w:r>
                      <w:r>
                        <w:rPr>
                          <w:szCs w:val="24"/>
                          <w:lang w:eastAsia="ar-SA"/>
                        </w:rPr>
                        <w:t xml:space="preserve"> </w:t>
                      </w:r>
                      <w:r>
                        <w:rPr>
                          <w:szCs w:val="24"/>
                        </w:rPr>
                        <w:t>Numatoma vidutinė laikinųjų darbų trukmė vienam asmeniui – iki 3 mėnesių (esant nenumatytoms sąlygoms, vidutinė trukmė gali keistis). Priemonių įgyvendinimui planuojama skirti 100 tūkst. Eur (su galimybe kisti).</w:t>
                      </w:r>
                    </w:p>
                  </w:sdtContent>
                </w:sdt>
                <w:sdt>
                  <w:sdtPr>
                    <w:alias w:val="18 p."/>
                    <w:tag w:val="part_f4ec85bd975a46c3a57d16bfd6fb1f65"/>
                    <w:lock w:val="sdtLocked"/>
                    <w:richText/>
                  </w:sdtPr>
                  <w:sdtContent>
                    <w:p w14:paraId="0E4E663D" w14:textId="77777777">
                      <w:pPr>
                        <w:ind w:firstLine="709"/>
                        <w:jc w:val="both"/>
                        <w:rPr>
                          <w:color w:val="FF0000"/>
                          <w:szCs w:val="24"/>
                        </w:rPr>
                      </w:pPr>
                      <w:sdt>
                        <w:sdtPr>
                          <w:alias w:val="Numeris"/>
                          <w:tag w:val="nr_f4ec85bd975a46c3a57d16bfd6fb1f65"/>
                          <w:lock w:val="sdtLocked"/>
                          <w:richText/>
                        </w:sdtPr>
                        <w:sdtContent>
                          <w:r>
                            <w:rPr>
                              <w:szCs w:val="24"/>
                              <w:lang w:eastAsia="lt-LT"/>
                            </w:rPr>
                            <w:t>18</w:t>
                          </w:r>
                        </w:sdtContent>
                      </w:sdt>
                      <w:r>
                        <w:rPr>
                          <w:szCs w:val="24"/>
                          <w:lang w:eastAsia="lt-LT"/>
                        </w:rPr>
                        <w:t>. Programos vidutinė trukmė 1 asmeniui – 3 mėn. su galimybe pratęsti įdarbinimo sutarties terminą. S</w:t>
                      </w:r>
                      <w:r>
                        <w:rPr>
                          <w:rFonts w:eastAsia="Calibri"/>
                          <w:szCs w:val="24"/>
                        </w:rPr>
                        <w:t xml:space="preserve">u reikalingais pratęsimais – iki 6 mėn. ir ne ilgiau kaip iki 2025 m. lapkričio 30 d. </w:t>
                      </w:r>
                    </w:p>
                  </w:sdtContent>
                </w:sdt>
                <w:sdt>
                  <w:sdtPr>
                    <w:alias w:val="19 p."/>
                    <w:tag w:val="part_2db31d858cb84f2ab744120c7958d524"/>
                    <w:lock w:val="sdtLocked"/>
                    <w:richText/>
                  </w:sdtPr>
                  <w:sdtContent>
                    <w:p w14:paraId="78848E11" w14:textId="77777777">
                      <w:pPr>
                        <w:ind w:firstLine="709"/>
                        <w:jc w:val="both"/>
                        <w:rPr>
                          <w:color w:val="FF0000"/>
                          <w:szCs w:val="24"/>
                        </w:rPr>
                      </w:pPr>
                      <w:sdt>
                        <w:sdtPr>
                          <w:alias w:val="Numeris"/>
                          <w:tag w:val="nr_2db31d858cb84f2ab744120c7958d524"/>
                          <w:lock w:val="sdtLocked"/>
                          <w:richText/>
                        </w:sdtPr>
                        <w:sdtContent>
                          <w:r>
                            <w:rPr>
                              <w:szCs w:val="24"/>
                              <w:lang w:eastAsia="lt-LT"/>
                            </w:rPr>
                            <w:t>19</w:t>
                          </w:r>
                        </w:sdtContent>
                      </w:sdt>
                      <w:r>
                        <w:rPr>
                          <w:szCs w:val="24"/>
                          <w:lang w:eastAsia="lt-LT"/>
                        </w:rPr>
                        <w:t xml:space="preserve">. </w:t>
                      </w:r>
                      <w:r>
                        <w:rPr>
                          <w:rFonts w:eastAsia="Calibri"/>
                          <w:szCs w:val="24"/>
                        </w:rPr>
                        <w:t>Darbdaviui, įdarbinusiam pagal darbo sutartį darbams atlikti Užimtumo tarnybos siųstus asmenis, už kiekvieną įdarbintą asmenį mokamos šios kompensacijos:</w:t>
                      </w:r>
                    </w:p>
                    <w:sdt>
                      <w:sdtPr>
                        <w:alias w:val="19.1 pp."/>
                        <w:tag w:val="part_b98b4ea02965409c8cdcef9752e958cb"/>
                        <w:lock w:val="sdtLocked"/>
                        <w:richText/>
                      </w:sdtPr>
                      <w:sdtContent>
                        <w:p w14:paraId="53D2C3B2" w14:textId="77777777">
                          <w:pPr>
                            <w:ind w:firstLine="709"/>
                            <w:jc w:val="both"/>
                            <w:rPr>
                              <w:color w:val="FF0000"/>
                              <w:szCs w:val="24"/>
                            </w:rPr>
                          </w:pPr>
                          <w:sdt>
                            <w:sdtPr>
                              <w:alias w:val="Numeris"/>
                              <w:tag w:val="nr_b98b4ea02965409c8cdcef9752e958cb"/>
                              <w:lock w:val="sdtLocked"/>
                              <w:richText/>
                            </w:sdtPr>
                            <w:sdtContent>
                              <w:r>
                                <w:rPr>
                                  <w:rFonts w:eastAsia="Calibri"/>
                                  <w:szCs w:val="24"/>
                                </w:rPr>
                                <w:t>19.1</w:t>
                              </w:r>
                            </w:sdtContent>
                          </w:sdt>
                          <w:r>
                            <w:rPr>
                              <w:rFonts w:eastAsia="Calibri"/>
                              <w:szCs w:val="24"/>
                            </w:rPr>
                            <w:t>. darbo užmokesčio kompensacija už įdarbinto asmens faktiškai dirbtą laiką pagal tą mėnesį galiojančią Vyriausybės patvirtintą minimaliąją mėnesinę algą bei dvi pirmąsias kalendorines nedarbingumo dienas;</w:t>
                          </w:r>
                        </w:p>
                      </w:sdtContent>
                    </w:sdt>
                    <w:sdt>
                      <w:sdtPr>
                        <w:alias w:val="19.2 pp."/>
                        <w:tag w:val="part_476c4f5d46f2401d86f440a12ab9d72c"/>
                        <w:lock w:val="sdtLocked"/>
                        <w:richText/>
                      </w:sdtPr>
                      <w:sdtContent>
                        <w:p w14:paraId="0BF0AAC5" w14:textId="77777777">
                          <w:pPr>
                            <w:ind w:firstLine="709"/>
                            <w:jc w:val="both"/>
                            <w:rPr>
                              <w:color w:val="FF0000"/>
                              <w:szCs w:val="24"/>
                            </w:rPr>
                          </w:pPr>
                          <w:sdt>
                            <w:sdtPr>
                              <w:alias w:val="Numeris"/>
                              <w:tag w:val="nr_476c4f5d46f2401d86f440a12ab9d72c"/>
                              <w:lock w:val="sdtLocked"/>
                              <w:richText/>
                            </w:sdtPr>
                            <w:sdtContent>
                              <w:r>
                                <w:rPr>
                                  <w:rFonts w:eastAsia="Calibri"/>
                                  <w:szCs w:val="24"/>
                                </w:rPr>
                                <w:t>19.2</w:t>
                              </w:r>
                            </w:sdtContent>
                          </w:sdt>
                          <w:r>
                            <w:rPr>
                              <w:rFonts w:eastAsia="Calibri"/>
                              <w:szCs w:val="24"/>
                            </w:rPr>
                            <w:t>. draudėjo privalomojo valstybinio socialinio draudimo įmokų kompensacija;</w:t>
                          </w:r>
                        </w:p>
                      </w:sdtContent>
                    </w:sdt>
                    <w:sdt>
                      <w:sdtPr>
                        <w:alias w:val="19.3 pp."/>
                        <w:tag w:val="part_6708062340f0415eb1e9b07ef4599227"/>
                        <w:lock w:val="sdtLocked"/>
                        <w:richText/>
                      </w:sdtPr>
                      <w:sdtContent>
                        <w:p w14:paraId="2A0AA36F" w14:textId="77777777">
                          <w:pPr>
                            <w:ind w:firstLine="709"/>
                            <w:jc w:val="both"/>
                            <w:rPr>
                              <w:color w:val="FF0000"/>
                              <w:szCs w:val="24"/>
                            </w:rPr>
                          </w:pPr>
                          <w:sdt>
                            <w:sdtPr>
                              <w:alias w:val="Numeris"/>
                              <w:tag w:val="nr_6708062340f0415eb1e9b07ef4599227"/>
                              <w:lock w:val="sdtLocked"/>
                              <w:richText/>
                            </w:sdtPr>
                            <w:sdtContent>
                              <w:r>
                                <w:rPr>
                                  <w:rFonts w:eastAsia="Calibri"/>
                                  <w:szCs w:val="24"/>
                                </w:rPr>
                                <w:t>19.3</w:t>
                              </w:r>
                            </w:sdtContent>
                          </w:sdt>
                          <w:r>
                            <w:rPr>
                              <w:rFonts w:eastAsia="Calibri"/>
                              <w:szCs w:val="24"/>
                            </w:rPr>
                            <w:t>. piniginė kompensacija už nepanaudotas atostogas (įskaitant draudėjo privalomojo valstybinio socialinio draudimo įmokų sumą).</w:t>
                          </w:r>
                        </w:p>
                      </w:sdtContent>
                    </w:sdt>
                  </w:sdtContent>
                </w:sdt>
                <w:sdt>
                  <w:sdtPr>
                    <w:alias w:val="20 p."/>
                    <w:tag w:val="part_e5cf3a05c33246358d3c277ffaf6043a"/>
                    <w:lock w:val="sdtLocked"/>
                    <w:richText/>
                  </w:sdtPr>
                  <w:sdtContent>
                    <w:p w14:paraId="7C08698F" w14:textId="77777777">
                      <w:pPr>
                        <w:ind w:firstLine="709"/>
                        <w:jc w:val="both"/>
                        <w:rPr>
                          <w:color w:val="FF0000"/>
                          <w:szCs w:val="24"/>
                        </w:rPr>
                      </w:pPr>
                      <w:sdt>
                        <w:sdtPr>
                          <w:alias w:val="Numeris"/>
                          <w:tag w:val="nr_e5cf3a05c33246358d3c277ffaf6043a"/>
                          <w:lock w:val="sdtLocked"/>
                          <w:richText/>
                        </w:sdtPr>
                        <w:sdtContent>
                          <w:r>
                            <w:rPr>
                              <w:rFonts w:eastAsia="HG Mincho Light J"/>
                              <w:bCs/>
                              <w:color w:val="000000"/>
                              <w:szCs w:val="24"/>
                              <w:lang w:eastAsia="zh-CN" w:bidi="hi-IN"/>
                            </w:rPr>
                            <w:t>20</w:t>
                          </w:r>
                        </w:sdtContent>
                      </w:sdt>
                      <w:r>
                        <w:rPr>
                          <w:rFonts w:eastAsia="HG Mincho Light J"/>
                          <w:bCs/>
                          <w:color w:val="000000"/>
                          <w:szCs w:val="24"/>
                          <w:lang w:eastAsia="zh-CN" w:bidi="hi-IN"/>
                        </w:rPr>
                        <w:t xml:space="preserve">. Užimtumo didinimo programą įgyvendina Radviliškio rajono savivaldybės administracija kartu su Užimtumo tarnybos prie LR SADM </w:t>
                      </w:r>
                      <w:r>
                        <w:rPr>
                          <w:szCs w:val="24"/>
                        </w:rPr>
                        <w:t xml:space="preserve">Šiaulių </w:t>
                      </w:r>
                      <w:r>
                        <w:rPr>
                          <w:rFonts w:eastAsia="HG Mincho Light J"/>
                          <w:bCs/>
                          <w:color w:val="000000"/>
                          <w:szCs w:val="24"/>
                          <w:lang w:eastAsia="zh-CN" w:bidi="hi-IN"/>
                        </w:rPr>
                        <w:t xml:space="preserve">klientų aptarnavimo departamento </w:t>
                      </w:r>
                      <w:r>
                        <w:rPr>
                          <w:szCs w:val="24"/>
                        </w:rPr>
                        <w:t>Radviliškio skyriumi. Programos Priemonių vykdytojai – Savivaldybės biudžeto asignavimų valdytojai: rajono Savivaldybės administracijos seniūnijos, Daugyvenės kultūros istorijos muziejus-draustinis, kurie užtikrina Savivaldybės viešųjų erdvių priežiūrą ir tvarkymą.</w:t>
                      </w:r>
                    </w:p>
                  </w:sdtContent>
                </w:sdt>
                <w:sdt>
                  <w:sdtPr>
                    <w:alias w:val="21 p."/>
                    <w:tag w:val="part_6d7adfb485c042b3a2050f965c415f94"/>
                    <w:lock w:val="sdtLocked"/>
                    <w:richText/>
                  </w:sdtPr>
                  <w:sdtContent>
                    <w:p w14:paraId="3C5DD844" w14:textId="4E35ABB0">
                      <w:pPr>
                        <w:ind w:firstLine="709"/>
                        <w:jc w:val="both"/>
                        <w:rPr>
                          <w:color w:val="FF0000"/>
                          <w:szCs w:val="24"/>
                        </w:rPr>
                      </w:pPr>
                      <w:sdt>
                        <w:sdtPr>
                          <w:alias w:val="Numeris"/>
                          <w:tag w:val="nr_6d7adfb485c042b3a2050f965c415f94"/>
                          <w:lock w:val="sdtLocked"/>
                          <w:richText/>
                        </w:sdtPr>
                        <w:sdtContent>
                          <w:r>
                            <w:rPr>
                              <w:szCs w:val="24"/>
                            </w:rPr>
                            <w:t>21</w:t>
                          </w:r>
                        </w:sdtContent>
                      </w:sdt>
                      <w:r>
                        <w:rPr>
                          <w:szCs w:val="24"/>
                        </w:rPr>
                        <w:t>. Įstaigų, kurios 2025 m. organizuos laikinojo pobūdžio darbus, sąrašas ir joms skirtos lėšos (su galimybe kisti):</w:t>
                      </w:r>
                    </w:p>
                    <w:p w14:paraId="773E8829" w14:textId="77777777">
                      <w:pPr>
                        <w:ind w:firstLine="851"/>
                        <w:jc w:val="both"/>
                        <w:rPr>
                          <w:szCs w:val="24"/>
                        </w:rPr>
                      </w:pPr>
                    </w:p>
                    <w:tbl>
                      <w:tblPr>
                        <w:tblW w:w="96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4"/>
                        <w:gridCol w:w="3996"/>
                        <w:gridCol w:w="1227"/>
                        <w:gridCol w:w="1161"/>
                        <w:gridCol w:w="6"/>
                        <w:gridCol w:w="2567"/>
                      </w:tblGrid>
                      <w:tr w14:paraId="46EADAC6" w14:textId="77777777">
                        <w:trPr>
                          <w:trHeight w:val="458"/>
                        </w:trPr>
                        <w:tc>
                          <w:tcPr>
                            <w:tcW w:w="704" w:type="dxa"/>
                            <w:vMerge w:val="restart"/>
                            <w:tcBorders>
                              <w:top w:val="single" w:sz="4" w:space="0" w:color="auto"/>
                              <w:left w:val="single" w:sz="4" w:space="0" w:color="auto"/>
                              <w:bottom w:val="single" w:sz="4" w:space="0" w:color="auto"/>
                              <w:right w:val="single" w:sz="4" w:space="0" w:color="auto"/>
                            </w:tcBorders>
                            <w:hideMark/>
                          </w:tcPr>
                          <w:p w14:paraId="34FA7678" w14:textId="77777777">
                            <w:pPr>
                              <w:tabs>
                                <w:tab w:val="left" w:pos="6946"/>
                              </w:tabs>
                              <w:spacing w:line="256" w:lineRule="auto"/>
                              <w:jc w:val="center"/>
                              <w:rPr>
                                <w:b/>
                                <w:kern w:val="2"/>
                                <w:sz w:val="22"/>
                                <w:szCs w:val="22"/>
                                <w14:ligatures w14:val="standardContextual"/>
                              </w:rPr>
                            </w:pPr>
                            <w:r>
                              <w:rPr>
                                <w:b/>
                                <w:kern w:val="2"/>
                                <w:sz w:val="22"/>
                                <w:szCs w:val="22"/>
                                <w14:ligatures w14:val="standardContextual"/>
                              </w:rPr>
                              <w:t>Eil. Nr.</w:t>
                            </w:r>
                          </w:p>
                        </w:tc>
                        <w:tc>
                          <w:tcPr>
                            <w:tcW w:w="3995" w:type="dxa"/>
                            <w:vMerge w:val="restart"/>
                            <w:tcBorders>
                              <w:top w:val="single" w:sz="4" w:space="0" w:color="auto"/>
                              <w:left w:val="single" w:sz="4" w:space="0" w:color="auto"/>
                              <w:bottom w:val="single" w:sz="4" w:space="0" w:color="auto"/>
                              <w:right w:val="single" w:sz="4" w:space="0" w:color="auto"/>
                            </w:tcBorders>
                            <w:hideMark/>
                          </w:tcPr>
                          <w:p w14:paraId="079FB0E4" w14:textId="77777777">
                            <w:pPr>
                              <w:tabs>
                                <w:tab w:val="left" w:pos="6946"/>
                              </w:tabs>
                              <w:spacing w:line="256" w:lineRule="auto"/>
                              <w:jc w:val="center"/>
                              <w:rPr>
                                <w:b/>
                                <w:kern w:val="2"/>
                                <w:sz w:val="22"/>
                                <w:szCs w:val="22"/>
                                <w14:ligatures w14:val="standardContextual"/>
                              </w:rPr>
                            </w:pPr>
                            <w:r>
                              <w:rPr>
                                <w:b/>
                                <w:kern w:val="2"/>
                                <w:sz w:val="22"/>
                                <w:szCs w:val="22"/>
                                <w14:ligatures w14:val="standardContextual"/>
                              </w:rPr>
                              <w:t>Įstaigos pavadinimas</w:t>
                            </w:r>
                          </w:p>
                        </w:tc>
                        <w:tc>
                          <w:tcPr>
                            <w:tcW w:w="1227" w:type="dxa"/>
                            <w:vMerge w:val="restart"/>
                            <w:tcBorders>
                              <w:top w:val="single" w:sz="4" w:space="0" w:color="auto"/>
                              <w:left w:val="single" w:sz="4" w:space="0" w:color="auto"/>
                              <w:bottom w:val="single" w:sz="4" w:space="0" w:color="auto"/>
                              <w:right w:val="single" w:sz="4" w:space="0" w:color="auto"/>
                            </w:tcBorders>
                            <w:hideMark/>
                          </w:tcPr>
                          <w:p w14:paraId="1451BF65" w14:textId="77777777">
                            <w:pPr>
                              <w:tabs>
                                <w:tab w:val="left" w:pos="6946"/>
                              </w:tabs>
                              <w:spacing w:line="256" w:lineRule="auto"/>
                              <w:jc w:val="center"/>
                              <w:rPr>
                                <w:b/>
                                <w:kern w:val="2"/>
                                <w:sz w:val="22"/>
                                <w:szCs w:val="22"/>
                                <w14:ligatures w14:val="standardContextual"/>
                              </w:rPr>
                            </w:pPr>
                            <w:r>
                              <w:rPr>
                                <w:b/>
                                <w:kern w:val="2"/>
                                <w:sz w:val="22"/>
                                <w:szCs w:val="22"/>
                                <w14:ligatures w14:val="standardContextual"/>
                              </w:rPr>
                              <w:t>Įdarbinamų asmenų skaičius</w:t>
                            </w:r>
                          </w:p>
                        </w:tc>
                        <w:tc>
                          <w:tcPr>
                            <w:tcW w:w="1161" w:type="dxa"/>
                            <w:vMerge w:val="restart"/>
                            <w:tcBorders>
                              <w:top w:val="single" w:sz="4" w:space="0" w:color="auto"/>
                              <w:left w:val="single" w:sz="4" w:space="0" w:color="auto"/>
                              <w:bottom w:val="single" w:sz="4" w:space="0" w:color="auto"/>
                              <w:right w:val="single" w:sz="4" w:space="0" w:color="auto"/>
                            </w:tcBorders>
                            <w:hideMark/>
                          </w:tcPr>
                          <w:p w14:paraId="1F2851BF" w14:textId="77777777">
                            <w:pPr>
                              <w:tabs>
                                <w:tab w:val="left" w:pos="6946"/>
                              </w:tabs>
                              <w:spacing w:line="256" w:lineRule="auto"/>
                              <w:jc w:val="center"/>
                              <w:rPr>
                                <w:b/>
                                <w:kern w:val="2"/>
                                <w:sz w:val="22"/>
                                <w:szCs w:val="22"/>
                                <w14:ligatures w14:val="standardContextual"/>
                              </w:rPr>
                            </w:pPr>
                            <w:r>
                              <w:rPr>
                                <w:b/>
                                <w:kern w:val="2"/>
                                <w:sz w:val="22"/>
                                <w:szCs w:val="22"/>
                                <w14:ligatures w14:val="standardContextual"/>
                              </w:rPr>
                              <w:t>Darbo trukmė mėn./d. d.</w:t>
                            </w:r>
                          </w:p>
                        </w:tc>
                        <w:tc>
                          <w:tcPr>
                            <w:tcW w:w="2573" w:type="dxa"/>
                            <w:gridSpan w:val="2"/>
                            <w:vMerge w:val="restart"/>
                            <w:tcBorders>
                              <w:top w:val="single" w:sz="4" w:space="0" w:color="auto"/>
                              <w:left w:val="single" w:sz="4" w:space="0" w:color="auto"/>
                              <w:bottom w:val="single" w:sz="4" w:space="0" w:color="auto"/>
                              <w:right w:val="single" w:sz="4" w:space="0" w:color="auto"/>
                            </w:tcBorders>
                            <w:hideMark/>
                          </w:tcPr>
                          <w:p w14:paraId="68D4CDDF" w14:textId="77777777">
                            <w:pPr>
                              <w:tabs>
                                <w:tab w:val="left" w:pos="6946"/>
                              </w:tabs>
                              <w:spacing w:line="256" w:lineRule="auto"/>
                              <w:jc w:val="center"/>
                              <w:rPr>
                                <w:b/>
                                <w:kern w:val="2"/>
                                <w:sz w:val="22"/>
                                <w:szCs w:val="22"/>
                                <w14:ligatures w14:val="standardContextual"/>
                              </w:rPr>
                            </w:pPr>
                            <w:r>
                              <w:rPr>
                                <w:b/>
                                <w:kern w:val="2"/>
                                <w:sz w:val="22"/>
                                <w:szCs w:val="22"/>
                                <w14:ligatures w14:val="standardContextual"/>
                              </w:rPr>
                              <w:t>Valstybės biudžeto specialioji tikslinė dotacija Savivaldybei, Eur</w:t>
                            </w:r>
                          </w:p>
                        </w:tc>
                      </w:tr>
                      <w:tr w14:paraId="44B45553" w14:textId="77777777">
                        <w:trPr>
                          <w:trHeight w:val="502"/>
                        </w:trPr>
                        <w:tc>
                          <w:tcPr>
                            <w:tcW w:w="704" w:type="dxa"/>
                            <w:vMerge/>
                            <w:tcBorders>
                              <w:top w:val="single" w:sz="4" w:space="0" w:color="auto"/>
                              <w:left w:val="single" w:sz="4" w:space="0" w:color="auto"/>
                              <w:bottom w:val="single" w:sz="4" w:space="0" w:color="auto"/>
                              <w:right w:val="single" w:sz="4" w:space="0" w:color="auto"/>
                            </w:tcBorders>
                            <w:vAlign w:val="center"/>
                            <w:hideMark/>
                          </w:tcPr>
                          <w:p w14:paraId="3AD7B3F3" w14:textId="77777777">
                            <w:pPr>
                              <w:spacing w:line="256" w:lineRule="auto"/>
                              <w:rPr>
                                <w:b/>
                                <w:kern w:val="2"/>
                                <w:sz w:val="22"/>
                                <w:szCs w:val="22"/>
                                <w14:ligatures w14:val="standardContextual"/>
                              </w:rPr>
                            </w:pPr>
                          </w:p>
                        </w:tc>
                        <w:tc>
                          <w:tcPr>
                            <w:tcW w:w="3995" w:type="dxa"/>
                            <w:vMerge/>
                            <w:tcBorders>
                              <w:top w:val="single" w:sz="4" w:space="0" w:color="auto"/>
                              <w:left w:val="single" w:sz="4" w:space="0" w:color="auto"/>
                              <w:bottom w:val="single" w:sz="4" w:space="0" w:color="auto"/>
                              <w:right w:val="single" w:sz="4" w:space="0" w:color="auto"/>
                            </w:tcBorders>
                            <w:vAlign w:val="center"/>
                            <w:hideMark/>
                          </w:tcPr>
                          <w:p w14:paraId="001F38D7" w14:textId="77777777">
                            <w:pPr>
                              <w:spacing w:line="256" w:lineRule="auto"/>
                              <w:rPr>
                                <w:b/>
                                <w:kern w:val="2"/>
                                <w:sz w:val="22"/>
                                <w:szCs w:val="22"/>
                                <w14:ligatures w14:val="standardContextual"/>
                              </w:rPr>
                            </w:pPr>
                          </w:p>
                        </w:tc>
                        <w:tc>
                          <w:tcPr>
                            <w:tcW w:w="1227" w:type="dxa"/>
                            <w:vMerge/>
                            <w:tcBorders>
                              <w:top w:val="single" w:sz="4" w:space="0" w:color="auto"/>
                              <w:left w:val="single" w:sz="4" w:space="0" w:color="auto"/>
                              <w:bottom w:val="single" w:sz="4" w:space="0" w:color="auto"/>
                              <w:right w:val="single" w:sz="4" w:space="0" w:color="auto"/>
                            </w:tcBorders>
                            <w:vAlign w:val="center"/>
                            <w:hideMark/>
                          </w:tcPr>
                          <w:p w14:paraId="48D42F20" w14:textId="77777777">
                            <w:pPr>
                              <w:spacing w:line="256" w:lineRule="auto"/>
                              <w:rPr>
                                <w:b/>
                                <w:kern w:val="2"/>
                                <w:sz w:val="22"/>
                                <w:szCs w:val="22"/>
                                <w14:ligatures w14:val="standardContextual"/>
                              </w:rPr>
                            </w:pPr>
                          </w:p>
                        </w:tc>
                        <w:tc>
                          <w:tcPr>
                            <w:tcW w:w="1161" w:type="dxa"/>
                            <w:vMerge/>
                            <w:tcBorders>
                              <w:top w:val="single" w:sz="4" w:space="0" w:color="auto"/>
                              <w:left w:val="single" w:sz="4" w:space="0" w:color="auto"/>
                              <w:bottom w:val="single" w:sz="4" w:space="0" w:color="auto"/>
                              <w:right w:val="single" w:sz="4" w:space="0" w:color="auto"/>
                            </w:tcBorders>
                            <w:vAlign w:val="center"/>
                            <w:hideMark/>
                          </w:tcPr>
                          <w:p w14:paraId="0F20C01D" w14:textId="77777777">
                            <w:pPr>
                              <w:spacing w:line="256" w:lineRule="auto"/>
                              <w:rPr>
                                <w:b/>
                                <w:kern w:val="2"/>
                                <w:sz w:val="22"/>
                                <w:szCs w:val="22"/>
                                <w14:ligatures w14:val="standardContextual"/>
                              </w:rPr>
                            </w:pPr>
                          </w:p>
                        </w:tc>
                        <w:tc>
                          <w:tcPr>
                            <w:tcW w:w="2573" w:type="dxa"/>
                            <w:gridSpan w:val="2"/>
                            <w:vMerge/>
                            <w:tcBorders>
                              <w:top w:val="single" w:sz="4" w:space="0" w:color="auto"/>
                              <w:left w:val="single" w:sz="4" w:space="0" w:color="auto"/>
                              <w:bottom w:val="single" w:sz="4" w:space="0" w:color="auto"/>
                              <w:right w:val="single" w:sz="4" w:space="0" w:color="auto"/>
                            </w:tcBorders>
                            <w:vAlign w:val="center"/>
                            <w:hideMark/>
                          </w:tcPr>
                          <w:p w14:paraId="7676C018" w14:textId="77777777">
                            <w:pPr>
                              <w:spacing w:line="256" w:lineRule="auto"/>
                              <w:rPr>
                                <w:b/>
                                <w:kern w:val="2"/>
                                <w:sz w:val="22"/>
                                <w:szCs w:val="22"/>
                                <w14:ligatures w14:val="standardContextual"/>
                              </w:rPr>
                            </w:pPr>
                          </w:p>
                        </w:tc>
                      </w:tr>
                      <w:tr w14:paraId="60CDB2C9" w14:textId="77777777">
                        <w:tc>
                          <w:tcPr>
                            <w:tcW w:w="704" w:type="dxa"/>
                            <w:tcBorders>
                              <w:top w:val="single" w:sz="4" w:space="0" w:color="auto"/>
                              <w:left w:val="single" w:sz="4" w:space="0" w:color="auto"/>
                              <w:bottom w:val="single" w:sz="4" w:space="0" w:color="auto"/>
                              <w:right w:val="single" w:sz="4" w:space="0" w:color="auto"/>
                            </w:tcBorders>
                            <w:hideMark/>
                          </w:tcPr>
                          <w:p w14:paraId="553A2DB0" w14:textId="77777777">
                            <w:pPr>
                              <w:tabs>
                                <w:tab w:val="left" w:pos="6946"/>
                              </w:tabs>
                              <w:spacing w:line="256" w:lineRule="auto"/>
                              <w:jc w:val="center"/>
                              <w:rPr>
                                <w:b/>
                                <w:kern w:val="2"/>
                                <w:szCs w:val="24"/>
                                <w14:ligatures w14:val="standardContextual"/>
                              </w:rPr>
                            </w:pPr>
                            <w:r>
                              <w:rPr>
                                <w:b/>
                                <w:kern w:val="2"/>
                                <w:szCs w:val="24"/>
                                <w14:ligatures w14:val="standardContextual"/>
                              </w:rPr>
                              <w:t>1</w:t>
                            </w:r>
                          </w:p>
                        </w:tc>
                        <w:tc>
                          <w:tcPr>
                            <w:tcW w:w="3995" w:type="dxa"/>
                            <w:tcBorders>
                              <w:top w:val="single" w:sz="4" w:space="0" w:color="auto"/>
                              <w:left w:val="single" w:sz="4" w:space="0" w:color="auto"/>
                              <w:bottom w:val="single" w:sz="4" w:space="0" w:color="auto"/>
                              <w:right w:val="single" w:sz="4" w:space="0" w:color="auto"/>
                            </w:tcBorders>
                            <w:hideMark/>
                          </w:tcPr>
                          <w:p w14:paraId="33F79F4A" w14:textId="77777777">
                            <w:pPr>
                              <w:tabs>
                                <w:tab w:val="left" w:pos="6946"/>
                              </w:tabs>
                              <w:spacing w:line="256" w:lineRule="auto"/>
                              <w:jc w:val="center"/>
                              <w:rPr>
                                <w:b/>
                                <w:kern w:val="2"/>
                                <w:szCs w:val="24"/>
                                <w14:ligatures w14:val="standardContextual"/>
                              </w:rPr>
                            </w:pPr>
                            <w:r>
                              <w:rPr>
                                <w:b/>
                                <w:kern w:val="2"/>
                                <w:szCs w:val="24"/>
                                <w14:ligatures w14:val="standardContextual"/>
                              </w:rPr>
                              <w:t>2</w:t>
                            </w:r>
                          </w:p>
                        </w:tc>
                        <w:tc>
                          <w:tcPr>
                            <w:tcW w:w="1227" w:type="dxa"/>
                            <w:tcBorders>
                              <w:top w:val="single" w:sz="4" w:space="0" w:color="auto"/>
                              <w:left w:val="single" w:sz="4" w:space="0" w:color="auto"/>
                              <w:bottom w:val="single" w:sz="4" w:space="0" w:color="auto"/>
                              <w:right w:val="single" w:sz="4" w:space="0" w:color="auto"/>
                            </w:tcBorders>
                            <w:hideMark/>
                          </w:tcPr>
                          <w:p w14:paraId="3DA6B85E" w14:textId="77777777">
                            <w:pPr>
                              <w:tabs>
                                <w:tab w:val="left" w:pos="6946"/>
                              </w:tabs>
                              <w:spacing w:line="256" w:lineRule="auto"/>
                              <w:jc w:val="center"/>
                              <w:rPr>
                                <w:b/>
                                <w:kern w:val="2"/>
                                <w:szCs w:val="24"/>
                                <w14:ligatures w14:val="standardContextual"/>
                              </w:rPr>
                            </w:pPr>
                            <w:r>
                              <w:rPr>
                                <w:b/>
                                <w:kern w:val="2"/>
                                <w:szCs w:val="24"/>
                                <w14:ligatures w14:val="standardContextual"/>
                              </w:rPr>
                              <w:t>3</w:t>
                            </w:r>
                          </w:p>
                        </w:tc>
                        <w:tc>
                          <w:tcPr>
                            <w:tcW w:w="1161" w:type="dxa"/>
                            <w:tcBorders>
                              <w:top w:val="single" w:sz="4" w:space="0" w:color="auto"/>
                              <w:left w:val="single" w:sz="4" w:space="0" w:color="auto"/>
                              <w:bottom w:val="single" w:sz="4" w:space="0" w:color="auto"/>
                              <w:right w:val="single" w:sz="4" w:space="0" w:color="auto"/>
                            </w:tcBorders>
                            <w:hideMark/>
                          </w:tcPr>
                          <w:p w14:paraId="3FFBC9DC" w14:textId="77777777">
                            <w:pPr>
                              <w:tabs>
                                <w:tab w:val="left" w:pos="6946"/>
                              </w:tabs>
                              <w:spacing w:line="256" w:lineRule="auto"/>
                              <w:jc w:val="center"/>
                              <w:rPr>
                                <w:b/>
                                <w:kern w:val="2"/>
                                <w:szCs w:val="24"/>
                                <w14:ligatures w14:val="standardContextual"/>
                              </w:rPr>
                            </w:pPr>
                            <w:r>
                              <w:rPr>
                                <w:b/>
                                <w:kern w:val="2"/>
                                <w:szCs w:val="24"/>
                                <w14:ligatures w14:val="standardContextual"/>
                              </w:rPr>
                              <w:t>4</w:t>
                            </w:r>
                          </w:p>
                        </w:tc>
                        <w:tc>
                          <w:tcPr>
                            <w:tcW w:w="2573" w:type="dxa"/>
                            <w:gridSpan w:val="2"/>
                            <w:tcBorders>
                              <w:top w:val="single" w:sz="4" w:space="0" w:color="auto"/>
                              <w:left w:val="single" w:sz="4" w:space="0" w:color="auto"/>
                              <w:bottom w:val="single" w:sz="4" w:space="0" w:color="auto"/>
                              <w:right w:val="single" w:sz="4" w:space="0" w:color="auto"/>
                            </w:tcBorders>
                            <w:hideMark/>
                          </w:tcPr>
                          <w:p w14:paraId="397BE359" w14:textId="77777777">
                            <w:pPr>
                              <w:tabs>
                                <w:tab w:val="left" w:pos="6946"/>
                              </w:tabs>
                              <w:spacing w:line="256" w:lineRule="auto"/>
                              <w:jc w:val="center"/>
                              <w:rPr>
                                <w:b/>
                                <w:kern w:val="2"/>
                                <w:szCs w:val="24"/>
                                <w14:ligatures w14:val="standardContextual"/>
                              </w:rPr>
                            </w:pPr>
                            <w:r>
                              <w:rPr>
                                <w:b/>
                                <w:kern w:val="2"/>
                                <w:szCs w:val="24"/>
                                <w14:ligatures w14:val="standardContextual"/>
                              </w:rPr>
                              <w:t>5</w:t>
                            </w:r>
                          </w:p>
                        </w:tc>
                      </w:tr>
                      <w:tr w14:paraId="055EE3D1" w14:textId="77777777">
                        <w:tc>
                          <w:tcPr>
                            <w:tcW w:w="704" w:type="dxa"/>
                            <w:tcBorders>
                              <w:top w:val="single" w:sz="4" w:space="0" w:color="auto"/>
                              <w:left w:val="single" w:sz="4" w:space="0" w:color="auto"/>
                              <w:bottom w:val="single" w:sz="4" w:space="0" w:color="auto"/>
                              <w:right w:val="single" w:sz="4" w:space="0" w:color="auto"/>
                            </w:tcBorders>
                            <w:hideMark/>
                          </w:tcPr>
                          <w:p w14:paraId="4E50A09C" w14:textId="77777777">
                            <w:pPr>
                              <w:tabs>
                                <w:tab w:val="left" w:pos="6946"/>
                              </w:tabs>
                              <w:spacing w:line="256" w:lineRule="auto"/>
                              <w:jc w:val="center"/>
                              <w:rPr>
                                <w:bCs/>
                                <w:kern w:val="2"/>
                                <w:szCs w:val="24"/>
                                <w14:ligatures w14:val="standardContextual"/>
                              </w:rPr>
                            </w:pPr>
                            <w:r>
                              <w:rPr>
                                <w:bCs/>
                                <w:kern w:val="2"/>
                                <w:szCs w:val="24"/>
                                <w14:ligatures w14:val="standardContextual"/>
                              </w:rPr>
                              <w:t>1.</w:t>
                            </w:r>
                          </w:p>
                        </w:tc>
                        <w:tc>
                          <w:tcPr>
                            <w:tcW w:w="6390" w:type="dxa"/>
                            <w:gridSpan w:val="4"/>
                            <w:tcBorders>
                              <w:top w:val="single" w:sz="4" w:space="0" w:color="auto"/>
                              <w:left w:val="single" w:sz="4" w:space="0" w:color="auto"/>
                              <w:bottom w:val="single" w:sz="4" w:space="0" w:color="auto"/>
                              <w:right w:val="single" w:sz="4" w:space="0" w:color="auto"/>
                            </w:tcBorders>
                            <w:hideMark/>
                          </w:tcPr>
                          <w:p w14:paraId="062E677A" w14:textId="77777777">
                            <w:pPr>
                              <w:tabs>
                                <w:tab w:val="left" w:pos="6946"/>
                              </w:tabs>
                              <w:spacing w:line="256" w:lineRule="auto"/>
                              <w:rPr>
                                <w:bCs/>
                                <w:kern w:val="2"/>
                                <w:szCs w:val="24"/>
                                <w14:ligatures w14:val="standardContextual"/>
                              </w:rPr>
                            </w:pPr>
                            <w:r>
                              <w:rPr>
                                <w:bCs/>
                                <w:kern w:val="2"/>
                                <w:szCs w:val="24"/>
                                <w14:ligatures w14:val="standardContextual"/>
                              </w:rPr>
                              <w:t>Radviliškio rajono savivaldybės administracija</w:t>
                            </w:r>
                          </w:p>
                        </w:tc>
                        <w:tc>
                          <w:tcPr>
                            <w:tcW w:w="2566" w:type="dxa"/>
                            <w:tcBorders>
                              <w:top w:val="single" w:sz="4" w:space="0" w:color="auto"/>
                              <w:left w:val="single" w:sz="4" w:space="0" w:color="auto"/>
                              <w:bottom w:val="single" w:sz="4" w:space="0" w:color="auto"/>
                              <w:right w:val="single" w:sz="4" w:space="0" w:color="auto"/>
                            </w:tcBorders>
                            <w:hideMark/>
                          </w:tcPr>
                          <w:p w14:paraId="3D446EE4" w14:textId="7932FB06">
                            <w:pPr>
                              <w:tabs>
                                <w:tab w:val="left" w:pos="6946"/>
                              </w:tabs>
                              <w:spacing w:line="256" w:lineRule="auto"/>
                              <w:jc w:val="center"/>
                              <w:rPr>
                                <w:bCs/>
                                <w:kern w:val="2"/>
                                <w:szCs w:val="24"/>
                                <w14:ligatures w14:val="standardContextual"/>
                              </w:rPr>
                            </w:pPr>
                            <w:r>
                              <w:rPr>
                                <w:bCs/>
                                <w:kern w:val="2"/>
                                <w:szCs w:val="24"/>
                                <w14:ligatures w14:val="standardContextual"/>
                              </w:rPr>
                              <w:t>91300,00</w:t>
                            </w:r>
                          </w:p>
                        </w:tc>
                      </w:tr>
                      <w:tr w14:paraId="38E283D6" w14:textId="77777777">
                        <w:tc>
                          <w:tcPr>
                            <w:tcW w:w="704" w:type="dxa"/>
                            <w:tcBorders>
                              <w:top w:val="single" w:sz="4" w:space="0" w:color="auto"/>
                              <w:left w:val="single" w:sz="4" w:space="0" w:color="auto"/>
                              <w:bottom w:val="single" w:sz="4" w:space="0" w:color="auto"/>
                              <w:right w:val="single" w:sz="4" w:space="0" w:color="auto"/>
                            </w:tcBorders>
                            <w:hideMark/>
                          </w:tcPr>
                          <w:p w14:paraId="24568B3D" w14:textId="77777777">
                            <w:pPr>
                              <w:tabs>
                                <w:tab w:val="left" w:pos="6946"/>
                              </w:tabs>
                              <w:spacing w:line="256" w:lineRule="auto"/>
                              <w:jc w:val="center"/>
                              <w:rPr>
                                <w:kern w:val="2"/>
                                <w:szCs w:val="24"/>
                                <w14:ligatures w14:val="standardContextual"/>
                              </w:rPr>
                            </w:pPr>
                            <w:r>
                              <w:rPr>
                                <w:kern w:val="2"/>
                                <w:szCs w:val="24"/>
                                <w14:ligatures w14:val="standardContextual"/>
                              </w:rPr>
                              <w:t>1.1.</w:t>
                            </w:r>
                          </w:p>
                        </w:tc>
                        <w:tc>
                          <w:tcPr>
                            <w:tcW w:w="3995" w:type="dxa"/>
                            <w:tcBorders>
                              <w:top w:val="single" w:sz="4" w:space="0" w:color="auto"/>
                              <w:left w:val="single" w:sz="4" w:space="0" w:color="auto"/>
                              <w:bottom w:val="single" w:sz="4" w:space="0" w:color="auto"/>
                              <w:right w:val="single" w:sz="4" w:space="0" w:color="auto"/>
                            </w:tcBorders>
                            <w:hideMark/>
                          </w:tcPr>
                          <w:p w14:paraId="2728737C" w14:textId="77777777">
                            <w:pPr>
                              <w:tabs>
                                <w:tab w:val="left" w:pos="6946"/>
                              </w:tabs>
                              <w:snapToGrid w:val="0"/>
                              <w:spacing w:line="256" w:lineRule="auto"/>
                              <w:rPr>
                                <w:kern w:val="2"/>
                                <w:szCs w:val="24"/>
                                <w14:ligatures w14:val="standardContextual"/>
                              </w:rPr>
                            </w:pPr>
                            <w:r>
                              <w:rPr>
                                <w:kern w:val="2"/>
                                <w:szCs w:val="24"/>
                                <w14:ligatures w14:val="standardContextual"/>
                              </w:rPr>
                              <w:t>Radviliškio miesto seniūnija</w:t>
                            </w:r>
                          </w:p>
                        </w:tc>
                        <w:tc>
                          <w:tcPr>
                            <w:tcW w:w="1227" w:type="dxa"/>
                            <w:tcBorders>
                              <w:top w:val="single" w:sz="4" w:space="0" w:color="auto"/>
                              <w:left w:val="single" w:sz="4" w:space="0" w:color="auto"/>
                              <w:bottom w:val="single" w:sz="4" w:space="0" w:color="auto"/>
                              <w:right w:val="single" w:sz="4" w:space="0" w:color="auto"/>
                            </w:tcBorders>
                            <w:hideMark/>
                          </w:tcPr>
                          <w:p w14:paraId="55E32B18" w14:textId="77777777">
                            <w:pPr>
                              <w:tabs>
                                <w:tab w:val="left" w:pos="6946"/>
                              </w:tabs>
                              <w:spacing w:line="256" w:lineRule="auto"/>
                              <w:jc w:val="center"/>
                              <w:rPr>
                                <w:kern w:val="2"/>
                                <w:szCs w:val="24"/>
                                <w14:ligatures w14:val="standardContextual"/>
                              </w:rPr>
                            </w:pPr>
                            <w:r>
                              <w:rPr>
                                <w:kern w:val="2"/>
                                <w:szCs w:val="24"/>
                                <w14:ligatures w14:val="standardContextual"/>
                              </w:rPr>
                              <w:t>3</w:t>
                            </w:r>
                          </w:p>
                        </w:tc>
                        <w:tc>
                          <w:tcPr>
                            <w:tcW w:w="1161" w:type="dxa"/>
                            <w:tcBorders>
                              <w:top w:val="single" w:sz="4" w:space="0" w:color="auto"/>
                              <w:left w:val="single" w:sz="4" w:space="0" w:color="auto"/>
                              <w:bottom w:val="single" w:sz="4" w:space="0" w:color="auto"/>
                              <w:right w:val="single" w:sz="4" w:space="0" w:color="auto"/>
                            </w:tcBorders>
                          </w:tcPr>
                          <w:p w14:paraId="06F929C3" w14:textId="77777777">
                            <w:pPr>
                              <w:spacing w:line="256" w:lineRule="auto"/>
                              <w:jc w:val="center"/>
                              <w:rPr>
                                <w:kern w:val="2"/>
                                <w:szCs w:val="24"/>
                                <w14:ligatures w14:val="standardContextual"/>
                              </w:rPr>
                            </w:pPr>
                            <w:r>
                              <w:rPr>
                                <w:kern w:val="2"/>
                                <w:szCs w:val="24"/>
                                <w14:ligatures w14:val="standardContextual"/>
                              </w:rPr>
                              <w:t>3/64</w:t>
                            </w:r>
                          </w:p>
                        </w:tc>
                        <w:tc>
                          <w:tcPr>
                            <w:tcW w:w="2573" w:type="dxa"/>
                            <w:gridSpan w:val="2"/>
                            <w:vMerge w:val="restart"/>
                            <w:tcBorders>
                              <w:top w:val="single" w:sz="4" w:space="0" w:color="auto"/>
                              <w:left w:val="single" w:sz="4" w:space="0" w:color="auto"/>
                              <w:bottom w:val="single" w:sz="4" w:space="0" w:color="auto"/>
                              <w:right w:val="single" w:sz="4" w:space="0" w:color="auto"/>
                            </w:tcBorders>
                            <w:vAlign w:val="center"/>
                            <w:hideMark/>
                          </w:tcPr>
                          <w:p w14:paraId="1FC3E2DA" w14:textId="77777777">
                            <w:pPr>
                              <w:spacing w:line="256" w:lineRule="auto"/>
                              <w:rPr>
                                <w:bCs/>
                                <w:kern w:val="2"/>
                                <w:szCs w:val="24"/>
                                <w14:ligatures w14:val="standardContextual"/>
                              </w:rPr>
                            </w:pPr>
                          </w:p>
                        </w:tc>
                      </w:tr>
                      <w:tr w14:paraId="206C680F" w14:textId="77777777">
                        <w:tc>
                          <w:tcPr>
                            <w:tcW w:w="704" w:type="dxa"/>
                            <w:tcBorders>
                              <w:top w:val="single" w:sz="4" w:space="0" w:color="auto"/>
                              <w:left w:val="single" w:sz="4" w:space="0" w:color="auto"/>
                              <w:bottom w:val="single" w:sz="4" w:space="0" w:color="auto"/>
                              <w:right w:val="single" w:sz="4" w:space="0" w:color="auto"/>
                            </w:tcBorders>
                            <w:hideMark/>
                          </w:tcPr>
                          <w:p w14:paraId="64E87CE2" w14:textId="77777777">
                            <w:pPr>
                              <w:tabs>
                                <w:tab w:val="left" w:pos="6946"/>
                              </w:tabs>
                              <w:spacing w:line="256" w:lineRule="auto"/>
                              <w:jc w:val="center"/>
                              <w:rPr>
                                <w:kern w:val="2"/>
                                <w:szCs w:val="24"/>
                                <w14:ligatures w14:val="standardContextual"/>
                              </w:rPr>
                            </w:pPr>
                            <w:r>
                              <w:rPr>
                                <w:kern w:val="2"/>
                                <w:szCs w:val="24"/>
                                <w14:ligatures w14:val="standardContextual"/>
                              </w:rPr>
                              <w:t>1.2.</w:t>
                            </w:r>
                          </w:p>
                        </w:tc>
                        <w:tc>
                          <w:tcPr>
                            <w:tcW w:w="3995" w:type="dxa"/>
                            <w:tcBorders>
                              <w:top w:val="single" w:sz="4" w:space="0" w:color="auto"/>
                              <w:left w:val="single" w:sz="4" w:space="0" w:color="auto"/>
                              <w:bottom w:val="single" w:sz="4" w:space="0" w:color="auto"/>
                              <w:right w:val="single" w:sz="4" w:space="0" w:color="auto"/>
                            </w:tcBorders>
                            <w:hideMark/>
                          </w:tcPr>
                          <w:p w14:paraId="460BE9A1" w14:textId="77777777">
                            <w:pPr>
                              <w:tabs>
                                <w:tab w:val="left" w:pos="6946"/>
                              </w:tabs>
                              <w:snapToGrid w:val="0"/>
                              <w:spacing w:line="256" w:lineRule="auto"/>
                              <w:rPr>
                                <w:kern w:val="2"/>
                                <w:szCs w:val="24"/>
                                <w14:ligatures w14:val="standardContextual"/>
                              </w:rPr>
                            </w:pPr>
                            <w:r>
                              <w:rPr>
                                <w:kern w:val="2"/>
                                <w:szCs w:val="24"/>
                                <w14:ligatures w14:val="standardContextual"/>
                              </w:rPr>
                              <w:t>Šeduvos miesto seniūnija</w:t>
                            </w:r>
                          </w:p>
                        </w:tc>
                        <w:tc>
                          <w:tcPr>
                            <w:tcW w:w="1227" w:type="dxa"/>
                            <w:tcBorders>
                              <w:top w:val="single" w:sz="4" w:space="0" w:color="auto"/>
                              <w:left w:val="single" w:sz="4" w:space="0" w:color="auto"/>
                              <w:bottom w:val="single" w:sz="4" w:space="0" w:color="auto"/>
                              <w:right w:val="single" w:sz="4" w:space="0" w:color="auto"/>
                            </w:tcBorders>
                            <w:hideMark/>
                          </w:tcPr>
                          <w:p w14:paraId="520EA52C" w14:textId="77777777">
                            <w:pPr>
                              <w:tabs>
                                <w:tab w:val="left" w:pos="6946"/>
                              </w:tabs>
                              <w:spacing w:line="256" w:lineRule="auto"/>
                              <w:jc w:val="center"/>
                              <w:rPr>
                                <w:kern w:val="2"/>
                                <w:szCs w:val="24"/>
                                <w14:ligatures w14:val="standardContextual"/>
                              </w:rPr>
                            </w:pPr>
                            <w:r>
                              <w:rPr>
                                <w:kern w:val="2"/>
                                <w:szCs w:val="24"/>
                                <w14:ligatures w14:val="standardContextual"/>
                              </w:rPr>
                              <w:t>2</w:t>
                            </w:r>
                          </w:p>
                        </w:tc>
                        <w:tc>
                          <w:tcPr>
                            <w:tcW w:w="1161" w:type="dxa"/>
                            <w:tcBorders>
                              <w:top w:val="single" w:sz="4" w:space="0" w:color="auto"/>
                              <w:left w:val="single" w:sz="4" w:space="0" w:color="auto"/>
                              <w:bottom w:val="single" w:sz="4" w:space="0" w:color="auto"/>
                              <w:right w:val="single" w:sz="4" w:space="0" w:color="auto"/>
                            </w:tcBorders>
                            <w:hideMark/>
                          </w:tcPr>
                          <w:p w14:paraId="16E3611A" w14:textId="77777777">
                            <w:pPr>
                              <w:tabs>
                                <w:tab w:val="left" w:pos="6946"/>
                              </w:tabs>
                              <w:spacing w:line="256" w:lineRule="auto"/>
                              <w:jc w:val="center"/>
                              <w:rPr>
                                <w:kern w:val="2"/>
                                <w:szCs w:val="24"/>
                                <w14:ligatures w14:val="standardContextual"/>
                              </w:rPr>
                            </w:pPr>
                            <w:r>
                              <w:rPr>
                                <w:kern w:val="2"/>
                                <w:szCs w:val="24"/>
                                <w14:ligatures w14:val="standardContextual"/>
                              </w:rPr>
                              <w:t>3/64</w:t>
                            </w:r>
                          </w:p>
                        </w:tc>
                        <w:tc>
                          <w:tcPr>
                            <w:tcW w:w="2573" w:type="dxa"/>
                            <w:gridSpan w:val="2"/>
                            <w:vMerge/>
                            <w:tcBorders>
                              <w:top w:val="single" w:sz="4" w:space="0" w:color="auto"/>
                              <w:left w:val="single" w:sz="4" w:space="0" w:color="auto"/>
                              <w:bottom w:val="single" w:sz="4" w:space="0" w:color="auto"/>
                              <w:right w:val="single" w:sz="4" w:space="0" w:color="auto"/>
                            </w:tcBorders>
                            <w:vAlign w:val="center"/>
                            <w:hideMark/>
                          </w:tcPr>
                          <w:p w14:paraId="2C10ED4D" w14:textId="77777777">
                            <w:pPr>
                              <w:spacing w:line="256" w:lineRule="auto"/>
                              <w:rPr>
                                <w:bCs/>
                                <w:kern w:val="2"/>
                                <w:szCs w:val="24"/>
                                <w14:ligatures w14:val="standardContextual"/>
                              </w:rPr>
                            </w:pPr>
                          </w:p>
                        </w:tc>
                      </w:tr>
                      <w:tr w14:paraId="66704DC5" w14:textId="77777777">
                        <w:tc>
                          <w:tcPr>
                            <w:tcW w:w="704" w:type="dxa"/>
                            <w:tcBorders>
                              <w:top w:val="single" w:sz="4" w:space="0" w:color="auto"/>
                              <w:left w:val="single" w:sz="4" w:space="0" w:color="auto"/>
                              <w:bottom w:val="single" w:sz="4" w:space="0" w:color="auto"/>
                              <w:right w:val="single" w:sz="4" w:space="0" w:color="auto"/>
                            </w:tcBorders>
                            <w:hideMark/>
                          </w:tcPr>
                          <w:p w14:paraId="79E0CD0E" w14:textId="77777777">
                            <w:pPr>
                              <w:tabs>
                                <w:tab w:val="left" w:pos="6946"/>
                              </w:tabs>
                              <w:spacing w:line="256" w:lineRule="auto"/>
                              <w:jc w:val="center"/>
                              <w:rPr>
                                <w:kern w:val="2"/>
                                <w:szCs w:val="24"/>
                                <w14:ligatures w14:val="standardContextual"/>
                              </w:rPr>
                            </w:pPr>
                            <w:r>
                              <w:rPr>
                                <w:kern w:val="2"/>
                                <w:szCs w:val="24"/>
                                <w14:ligatures w14:val="standardContextual"/>
                              </w:rPr>
                              <w:t>1.3.</w:t>
                            </w:r>
                          </w:p>
                        </w:tc>
                        <w:tc>
                          <w:tcPr>
                            <w:tcW w:w="3995" w:type="dxa"/>
                            <w:tcBorders>
                              <w:top w:val="single" w:sz="4" w:space="0" w:color="auto"/>
                              <w:left w:val="single" w:sz="4" w:space="0" w:color="auto"/>
                              <w:bottom w:val="single" w:sz="4" w:space="0" w:color="auto"/>
                              <w:right w:val="single" w:sz="4" w:space="0" w:color="auto"/>
                            </w:tcBorders>
                            <w:hideMark/>
                          </w:tcPr>
                          <w:p w14:paraId="40278879" w14:textId="77777777">
                            <w:pPr>
                              <w:tabs>
                                <w:tab w:val="left" w:pos="6946"/>
                              </w:tabs>
                              <w:snapToGrid w:val="0"/>
                              <w:spacing w:line="256" w:lineRule="auto"/>
                              <w:rPr>
                                <w:kern w:val="2"/>
                                <w:szCs w:val="24"/>
                                <w14:ligatures w14:val="standardContextual"/>
                              </w:rPr>
                            </w:pPr>
                            <w:r>
                              <w:rPr>
                                <w:kern w:val="2"/>
                                <w:szCs w:val="24"/>
                                <w14:ligatures w14:val="standardContextual"/>
                              </w:rPr>
                              <w:t>Aukštelkų seniūnija</w:t>
                            </w:r>
                          </w:p>
                        </w:tc>
                        <w:tc>
                          <w:tcPr>
                            <w:tcW w:w="1227" w:type="dxa"/>
                            <w:tcBorders>
                              <w:top w:val="single" w:sz="4" w:space="0" w:color="auto"/>
                              <w:left w:val="single" w:sz="4" w:space="0" w:color="auto"/>
                              <w:bottom w:val="single" w:sz="4" w:space="0" w:color="auto"/>
                              <w:right w:val="single" w:sz="4" w:space="0" w:color="auto"/>
                            </w:tcBorders>
                            <w:hideMark/>
                          </w:tcPr>
                          <w:p w14:paraId="47AB637F" w14:textId="77777777">
                            <w:pPr>
                              <w:tabs>
                                <w:tab w:val="left" w:pos="6946"/>
                              </w:tabs>
                              <w:spacing w:line="256" w:lineRule="auto"/>
                              <w:jc w:val="center"/>
                              <w:rPr>
                                <w:kern w:val="2"/>
                                <w:szCs w:val="24"/>
                                <w14:ligatures w14:val="standardContextual"/>
                              </w:rPr>
                            </w:pPr>
                            <w:r>
                              <w:rPr>
                                <w:kern w:val="2"/>
                                <w:szCs w:val="24"/>
                                <w14:ligatures w14:val="standardContextual"/>
                              </w:rPr>
                              <w:t>2</w:t>
                            </w:r>
                          </w:p>
                        </w:tc>
                        <w:tc>
                          <w:tcPr>
                            <w:tcW w:w="1161" w:type="dxa"/>
                            <w:tcBorders>
                              <w:top w:val="single" w:sz="4" w:space="0" w:color="auto"/>
                              <w:left w:val="single" w:sz="4" w:space="0" w:color="auto"/>
                              <w:bottom w:val="single" w:sz="4" w:space="0" w:color="auto"/>
                              <w:right w:val="single" w:sz="4" w:space="0" w:color="auto"/>
                            </w:tcBorders>
                            <w:hideMark/>
                          </w:tcPr>
                          <w:p w14:paraId="1514DB4D" w14:textId="77777777">
                            <w:pPr>
                              <w:tabs>
                                <w:tab w:val="left" w:pos="6946"/>
                              </w:tabs>
                              <w:spacing w:line="256" w:lineRule="auto"/>
                              <w:jc w:val="center"/>
                              <w:rPr>
                                <w:kern w:val="2"/>
                                <w:szCs w:val="24"/>
                                <w14:ligatures w14:val="standardContextual"/>
                              </w:rPr>
                            </w:pPr>
                            <w:r>
                              <w:rPr>
                                <w:kern w:val="2"/>
                                <w:szCs w:val="24"/>
                                <w14:ligatures w14:val="standardContextual"/>
                              </w:rPr>
                              <w:t>3/64</w:t>
                            </w:r>
                          </w:p>
                        </w:tc>
                        <w:tc>
                          <w:tcPr>
                            <w:tcW w:w="2573" w:type="dxa"/>
                            <w:gridSpan w:val="2"/>
                            <w:vMerge/>
                            <w:tcBorders>
                              <w:top w:val="single" w:sz="4" w:space="0" w:color="auto"/>
                              <w:left w:val="single" w:sz="4" w:space="0" w:color="auto"/>
                              <w:bottom w:val="single" w:sz="4" w:space="0" w:color="auto"/>
                              <w:right w:val="single" w:sz="4" w:space="0" w:color="auto"/>
                            </w:tcBorders>
                            <w:vAlign w:val="center"/>
                            <w:hideMark/>
                          </w:tcPr>
                          <w:p w14:paraId="5C2DDC7B" w14:textId="77777777">
                            <w:pPr>
                              <w:spacing w:line="256" w:lineRule="auto"/>
                              <w:rPr>
                                <w:bCs/>
                                <w:kern w:val="2"/>
                                <w:szCs w:val="24"/>
                                <w14:ligatures w14:val="standardContextual"/>
                              </w:rPr>
                            </w:pPr>
                          </w:p>
                        </w:tc>
                      </w:tr>
                      <w:tr w14:paraId="75FC9DC9" w14:textId="77777777">
                        <w:tc>
                          <w:tcPr>
                            <w:tcW w:w="704" w:type="dxa"/>
                            <w:tcBorders>
                              <w:top w:val="single" w:sz="4" w:space="0" w:color="auto"/>
                              <w:left w:val="single" w:sz="4" w:space="0" w:color="auto"/>
                              <w:bottom w:val="single" w:sz="4" w:space="0" w:color="auto"/>
                              <w:right w:val="single" w:sz="4" w:space="0" w:color="auto"/>
                            </w:tcBorders>
                            <w:hideMark/>
                          </w:tcPr>
                          <w:p w14:paraId="7D647EC4" w14:textId="77777777">
                            <w:pPr>
                              <w:tabs>
                                <w:tab w:val="left" w:pos="6946"/>
                              </w:tabs>
                              <w:spacing w:line="256" w:lineRule="auto"/>
                              <w:jc w:val="center"/>
                              <w:rPr>
                                <w:kern w:val="2"/>
                                <w:szCs w:val="24"/>
                                <w14:ligatures w14:val="standardContextual"/>
                              </w:rPr>
                            </w:pPr>
                            <w:r>
                              <w:rPr>
                                <w:kern w:val="2"/>
                                <w:szCs w:val="24"/>
                                <w14:ligatures w14:val="standardContextual"/>
                              </w:rPr>
                              <w:t>1.4.</w:t>
                            </w:r>
                          </w:p>
                        </w:tc>
                        <w:tc>
                          <w:tcPr>
                            <w:tcW w:w="3995" w:type="dxa"/>
                            <w:tcBorders>
                              <w:top w:val="single" w:sz="4" w:space="0" w:color="auto"/>
                              <w:left w:val="single" w:sz="4" w:space="0" w:color="auto"/>
                              <w:bottom w:val="single" w:sz="4" w:space="0" w:color="auto"/>
                              <w:right w:val="single" w:sz="4" w:space="0" w:color="auto"/>
                            </w:tcBorders>
                            <w:hideMark/>
                          </w:tcPr>
                          <w:p w14:paraId="13601D3E" w14:textId="77777777">
                            <w:pPr>
                              <w:tabs>
                                <w:tab w:val="left" w:pos="6946"/>
                              </w:tabs>
                              <w:snapToGrid w:val="0"/>
                              <w:spacing w:line="256" w:lineRule="auto"/>
                              <w:rPr>
                                <w:kern w:val="2"/>
                                <w:szCs w:val="24"/>
                                <w14:ligatures w14:val="standardContextual"/>
                              </w:rPr>
                            </w:pPr>
                            <w:r>
                              <w:rPr>
                                <w:kern w:val="2"/>
                                <w:szCs w:val="24"/>
                                <w14:ligatures w14:val="standardContextual"/>
                              </w:rPr>
                              <w:t>Baisogalos seniūnija</w:t>
                            </w:r>
                          </w:p>
                        </w:tc>
                        <w:tc>
                          <w:tcPr>
                            <w:tcW w:w="1227" w:type="dxa"/>
                            <w:tcBorders>
                              <w:top w:val="single" w:sz="4" w:space="0" w:color="auto"/>
                              <w:left w:val="single" w:sz="4" w:space="0" w:color="auto"/>
                              <w:bottom w:val="single" w:sz="4" w:space="0" w:color="auto"/>
                              <w:right w:val="single" w:sz="4" w:space="0" w:color="auto"/>
                            </w:tcBorders>
                            <w:hideMark/>
                          </w:tcPr>
                          <w:p w14:paraId="694E86B3" w14:textId="77777777">
                            <w:pPr>
                              <w:tabs>
                                <w:tab w:val="left" w:pos="6946"/>
                              </w:tabs>
                              <w:spacing w:line="256" w:lineRule="auto"/>
                              <w:jc w:val="center"/>
                              <w:rPr>
                                <w:kern w:val="2"/>
                                <w:szCs w:val="24"/>
                                <w14:ligatures w14:val="standardContextual"/>
                              </w:rPr>
                            </w:pPr>
                            <w:r>
                              <w:rPr>
                                <w:kern w:val="2"/>
                                <w:szCs w:val="24"/>
                                <w14:ligatures w14:val="standardContextual"/>
                              </w:rPr>
                              <w:t>2</w:t>
                            </w:r>
                          </w:p>
                        </w:tc>
                        <w:tc>
                          <w:tcPr>
                            <w:tcW w:w="1161" w:type="dxa"/>
                            <w:tcBorders>
                              <w:top w:val="single" w:sz="4" w:space="0" w:color="auto"/>
                              <w:left w:val="single" w:sz="4" w:space="0" w:color="auto"/>
                              <w:bottom w:val="single" w:sz="4" w:space="0" w:color="auto"/>
                              <w:right w:val="single" w:sz="4" w:space="0" w:color="auto"/>
                            </w:tcBorders>
                            <w:hideMark/>
                          </w:tcPr>
                          <w:p w14:paraId="04925D31" w14:textId="77777777">
                            <w:pPr>
                              <w:tabs>
                                <w:tab w:val="left" w:pos="6946"/>
                              </w:tabs>
                              <w:spacing w:line="256" w:lineRule="auto"/>
                              <w:jc w:val="center"/>
                              <w:rPr>
                                <w:kern w:val="2"/>
                                <w:szCs w:val="24"/>
                                <w14:ligatures w14:val="standardContextual"/>
                              </w:rPr>
                            </w:pPr>
                            <w:r>
                              <w:rPr>
                                <w:kern w:val="2"/>
                                <w:szCs w:val="24"/>
                                <w14:ligatures w14:val="standardContextual"/>
                              </w:rPr>
                              <w:t>3/64</w:t>
                            </w:r>
                          </w:p>
                        </w:tc>
                        <w:tc>
                          <w:tcPr>
                            <w:tcW w:w="2573" w:type="dxa"/>
                            <w:gridSpan w:val="2"/>
                            <w:vMerge/>
                            <w:tcBorders>
                              <w:top w:val="single" w:sz="4" w:space="0" w:color="auto"/>
                              <w:left w:val="single" w:sz="4" w:space="0" w:color="auto"/>
                              <w:bottom w:val="single" w:sz="4" w:space="0" w:color="auto"/>
                              <w:right w:val="single" w:sz="4" w:space="0" w:color="auto"/>
                            </w:tcBorders>
                            <w:vAlign w:val="center"/>
                            <w:hideMark/>
                          </w:tcPr>
                          <w:p w14:paraId="7E0DE44F" w14:textId="77777777">
                            <w:pPr>
                              <w:spacing w:line="256" w:lineRule="auto"/>
                              <w:rPr>
                                <w:bCs/>
                                <w:kern w:val="2"/>
                                <w:szCs w:val="24"/>
                                <w14:ligatures w14:val="standardContextual"/>
                              </w:rPr>
                            </w:pPr>
                          </w:p>
                        </w:tc>
                      </w:tr>
                      <w:tr w14:paraId="4121F52A" w14:textId="77777777">
                        <w:tc>
                          <w:tcPr>
                            <w:tcW w:w="704" w:type="dxa"/>
                            <w:tcBorders>
                              <w:top w:val="single" w:sz="4" w:space="0" w:color="auto"/>
                              <w:left w:val="single" w:sz="4" w:space="0" w:color="auto"/>
                              <w:bottom w:val="single" w:sz="4" w:space="0" w:color="auto"/>
                              <w:right w:val="single" w:sz="4" w:space="0" w:color="auto"/>
                            </w:tcBorders>
                            <w:hideMark/>
                          </w:tcPr>
                          <w:p w14:paraId="773E2838" w14:textId="77777777">
                            <w:pPr>
                              <w:tabs>
                                <w:tab w:val="left" w:pos="6946"/>
                              </w:tabs>
                              <w:spacing w:line="256" w:lineRule="auto"/>
                              <w:jc w:val="center"/>
                              <w:rPr>
                                <w:kern w:val="2"/>
                                <w:szCs w:val="24"/>
                                <w14:ligatures w14:val="standardContextual"/>
                              </w:rPr>
                            </w:pPr>
                            <w:r>
                              <w:rPr>
                                <w:kern w:val="2"/>
                                <w:szCs w:val="24"/>
                                <w14:ligatures w14:val="standardContextual"/>
                              </w:rPr>
                              <w:t>1.5.</w:t>
                            </w:r>
                          </w:p>
                        </w:tc>
                        <w:tc>
                          <w:tcPr>
                            <w:tcW w:w="3995" w:type="dxa"/>
                            <w:tcBorders>
                              <w:top w:val="single" w:sz="4" w:space="0" w:color="auto"/>
                              <w:left w:val="single" w:sz="4" w:space="0" w:color="auto"/>
                              <w:bottom w:val="single" w:sz="4" w:space="0" w:color="auto"/>
                              <w:right w:val="single" w:sz="4" w:space="0" w:color="auto"/>
                            </w:tcBorders>
                            <w:hideMark/>
                          </w:tcPr>
                          <w:p w14:paraId="2699E475" w14:textId="77777777">
                            <w:pPr>
                              <w:tabs>
                                <w:tab w:val="left" w:pos="6946"/>
                              </w:tabs>
                              <w:snapToGrid w:val="0"/>
                              <w:spacing w:line="256" w:lineRule="auto"/>
                              <w:rPr>
                                <w:kern w:val="2"/>
                                <w:szCs w:val="24"/>
                                <w14:ligatures w14:val="standardContextual"/>
                              </w:rPr>
                            </w:pPr>
                            <w:r>
                              <w:rPr>
                                <w:kern w:val="2"/>
                                <w:szCs w:val="24"/>
                                <w14:ligatures w14:val="standardContextual"/>
                              </w:rPr>
                              <w:t>Grinkiškio seniūnija</w:t>
                            </w:r>
                          </w:p>
                        </w:tc>
                        <w:tc>
                          <w:tcPr>
                            <w:tcW w:w="1227" w:type="dxa"/>
                            <w:tcBorders>
                              <w:top w:val="single" w:sz="4" w:space="0" w:color="auto"/>
                              <w:left w:val="single" w:sz="4" w:space="0" w:color="auto"/>
                              <w:bottom w:val="single" w:sz="4" w:space="0" w:color="auto"/>
                              <w:right w:val="single" w:sz="4" w:space="0" w:color="auto"/>
                            </w:tcBorders>
                            <w:hideMark/>
                          </w:tcPr>
                          <w:p w14:paraId="78DE1692" w14:textId="77777777">
                            <w:pPr>
                              <w:tabs>
                                <w:tab w:val="left" w:pos="6946"/>
                              </w:tabs>
                              <w:spacing w:line="256" w:lineRule="auto"/>
                              <w:jc w:val="center"/>
                              <w:rPr>
                                <w:kern w:val="2"/>
                                <w:szCs w:val="24"/>
                                <w14:ligatures w14:val="standardContextual"/>
                              </w:rPr>
                            </w:pPr>
                            <w:r>
                              <w:rPr>
                                <w:kern w:val="2"/>
                                <w:szCs w:val="24"/>
                                <w14:ligatures w14:val="standardContextual"/>
                              </w:rPr>
                              <w:t>2</w:t>
                            </w:r>
                          </w:p>
                        </w:tc>
                        <w:tc>
                          <w:tcPr>
                            <w:tcW w:w="1161" w:type="dxa"/>
                            <w:tcBorders>
                              <w:top w:val="single" w:sz="4" w:space="0" w:color="auto"/>
                              <w:left w:val="single" w:sz="4" w:space="0" w:color="auto"/>
                              <w:bottom w:val="single" w:sz="4" w:space="0" w:color="auto"/>
                              <w:right w:val="single" w:sz="4" w:space="0" w:color="auto"/>
                            </w:tcBorders>
                            <w:hideMark/>
                          </w:tcPr>
                          <w:p w14:paraId="7B14D679" w14:textId="77777777">
                            <w:pPr>
                              <w:tabs>
                                <w:tab w:val="left" w:pos="6946"/>
                              </w:tabs>
                              <w:spacing w:line="256" w:lineRule="auto"/>
                              <w:jc w:val="center"/>
                              <w:rPr>
                                <w:kern w:val="2"/>
                                <w:szCs w:val="24"/>
                                <w14:ligatures w14:val="standardContextual"/>
                              </w:rPr>
                            </w:pPr>
                            <w:r>
                              <w:rPr>
                                <w:kern w:val="2"/>
                                <w:szCs w:val="24"/>
                                <w14:ligatures w14:val="standardContextual"/>
                              </w:rPr>
                              <w:t>3/64</w:t>
                            </w:r>
                          </w:p>
                        </w:tc>
                        <w:tc>
                          <w:tcPr>
                            <w:tcW w:w="2573" w:type="dxa"/>
                            <w:gridSpan w:val="2"/>
                            <w:vMerge/>
                            <w:tcBorders>
                              <w:top w:val="single" w:sz="4" w:space="0" w:color="auto"/>
                              <w:left w:val="single" w:sz="4" w:space="0" w:color="auto"/>
                              <w:bottom w:val="single" w:sz="4" w:space="0" w:color="auto"/>
                              <w:right w:val="single" w:sz="4" w:space="0" w:color="auto"/>
                            </w:tcBorders>
                            <w:vAlign w:val="center"/>
                            <w:hideMark/>
                          </w:tcPr>
                          <w:p w14:paraId="6974CE79" w14:textId="77777777">
                            <w:pPr>
                              <w:spacing w:line="256" w:lineRule="auto"/>
                              <w:rPr>
                                <w:bCs/>
                                <w:kern w:val="2"/>
                                <w:szCs w:val="24"/>
                                <w14:ligatures w14:val="standardContextual"/>
                              </w:rPr>
                            </w:pPr>
                          </w:p>
                        </w:tc>
                      </w:tr>
                      <w:tr w14:paraId="7FD48E11" w14:textId="77777777">
                        <w:tc>
                          <w:tcPr>
                            <w:tcW w:w="704" w:type="dxa"/>
                            <w:tcBorders>
                              <w:top w:val="single" w:sz="4" w:space="0" w:color="auto"/>
                              <w:left w:val="single" w:sz="4" w:space="0" w:color="auto"/>
                              <w:bottom w:val="single" w:sz="4" w:space="0" w:color="auto"/>
                              <w:right w:val="single" w:sz="4" w:space="0" w:color="auto"/>
                            </w:tcBorders>
                            <w:hideMark/>
                          </w:tcPr>
                          <w:p w14:paraId="4EC713BD" w14:textId="77777777">
                            <w:pPr>
                              <w:tabs>
                                <w:tab w:val="left" w:pos="6946"/>
                              </w:tabs>
                              <w:spacing w:line="256" w:lineRule="auto"/>
                              <w:jc w:val="center"/>
                              <w:rPr>
                                <w:kern w:val="2"/>
                                <w:szCs w:val="24"/>
                                <w14:ligatures w14:val="standardContextual"/>
                              </w:rPr>
                            </w:pPr>
                            <w:r>
                              <w:rPr>
                                <w:kern w:val="2"/>
                                <w:szCs w:val="24"/>
                                <w14:ligatures w14:val="standardContextual"/>
                              </w:rPr>
                              <w:t>1.6.</w:t>
                            </w:r>
                          </w:p>
                        </w:tc>
                        <w:tc>
                          <w:tcPr>
                            <w:tcW w:w="3995" w:type="dxa"/>
                            <w:tcBorders>
                              <w:top w:val="single" w:sz="4" w:space="0" w:color="auto"/>
                              <w:left w:val="single" w:sz="4" w:space="0" w:color="auto"/>
                              <w:bottom w:val="single" w:sz="4" w:space="0" w:color="auto"/>
                              <w:right w:val="single" w:sz="4" w:space="0" w:color="auto"/>
                            </w:tcBorders>
                            <w:hideMark/>
                          </w:tcPr>
                          <w:p w14:paraId="464D1E70" w14:textId="77777777">
                            <w:pPr>
                              <w:tabs>
                                <w:tab w:val="left" w:pos="6946"/>
                              </w:tabs>
                              <w:snapToGrid w:val="0"/>
                              <w:spacing w:line="256" w:lineRule="auto"/>
                              <w:rPr>
                                <w:kern w:val="2"/>
                                <w:szCs w:val="24"/>
                                <w14:ligatures w14:val="standardContextual"/>
                              </w:rPr>
                            </w:pPr>
                            <w:r>
                              <w:rPr>
                                <w:kern w:val="2"/>
                                <w:szCs w:val="24"/>
                                <w14:ligatures w14:val="standardContextual"/>
                              </w:rPr>
                              <w:t>Pakalniškių seniūnija</w:t>
                            </w:r>
                          </w:p>
                        </w:tc>
                        <w:tc>
                          <w:tcPr>
                            <w:tcW w:w="1227" w:type="dxa"/>
                            <w:tcBorders>
                              <w:top w:val="single" w:sz="4" w:space="0" w:color="auto"/>
                              <w:left w:val="single" w:sz="4" w:space="0" w:color="auto"/>
                              <w:bottom w:val="single" w:sz="4" w:space="0" w:color="auto"/>
                              <w:right w:val="single" w:sz="4" w:space="0" w:color="auto"/>
                            </w:tcBorders>
                            <w:hideMark/>
                          </w:tcPr>
                          <w:p w14:paraId="1795944B" w14:textId="77777777">
                            <w:pPr>
                              <w:tabs>
                                <w:tab w:val="left" w:pos="6946"/>
                              </w:tabs>
                              <w:spacing w:line="256" w:lineRule="auto"/>
                              <w:jc w:val="center"/>
                              <w:rPr>
                                <w:kern w:val="2"/>
                                <w:szCs w:val="24"/>
                                <w14:ligatures w14:val="standardContextual"/>
                              </w:rPr>
                            </w:pPr>
                            <w:r>
                              <w:rPr>
                                <w:kern w:val="2"/>
                                <w:szCs w:val="24"/>
                                <w14:ligatures w14:val="standardContextual"/>
                              </w:rPr>
                              <w:t>2</w:t>
                            </w:r>
                          </w:p>
                        </w:tc>
                        <w:tc>
                          <w:tcPr>
                            <w:tcW w:w="1161" w:type="dxa"/>
                            <w:tcBorders>
                              <w:top w:val="single" w:sz="4" w:space="0" w:color="auto"/>
                              <w:left w:val="single" w:sz="4" w:space="0" w:color="auto"/>
                              <w:bottom w:val="single" w:sz="4" w:space="0" w:color="auto"/>
                              <w:right w:val="single" w:sz="4" w:space="0" w:color="auto"/>
                            </w:tcBorders>
                            <w:hideMark/>
                          </w:tcPr>
                          <w:p w14:paraId="6066C069" w14:textId="77777777">
                            <w:pPr>
                              <w:tabs>
                                <w:tab w:val="left" w:pos="6946"/>
                              </w:tabs>
                              <w:spacing w:line="256" w:lineRule="auto"/>
                              <w:jc w:val="center"/>
                              <w:rPr>
                                <w:kern w:val="2"/>
                                <w:szCs w:val="24"/>
                                <w14:ligatures w14:val="standardContextual"/>
                              </w:rPr>
                            </w:pPr>
                            <w:r>
                              <w:rPr>
                                <w:kern w:val="2"/>
                                <w:szCs w:val="24"/>
                                <w14:ligatures w14:val="standardContextual"/>
                              </w:rPr>
                              <w:t>3/64</w:t>
                            </w:r>
                          </w:p>
                        </w:tc>
                        <w:tc>
                          <w:tcPr>
                            <w:tcW w:w="2573" w:type="dxa"/>
                            <w:gridSpan w:val="2"/>
                            <w:vMerge/>
                            <w:tcBorders>
                              <w:top w:val="single" w:sz="4" w:space="0" w:color="auto"/>
                              <w:left w:val="single" w:sz="4" w:space="0" w:color="auto"/>
                              <w:bottom w:val="single" w:sz="4" w:space="0" w:color="auto"/>
                              <w:right w:val="single" w:sz="4" w:space="0" w:color="auto"/>
                            </w:tcBorders>
                            <w:vAlign w:val="center"/>
                            <w:hideMark/>
                          </w:tcPr>
                          <w:p w14:paraId="60F05AB4" w14:textId="77777777">
                            <w:pPr>
                              <w:spacing w:line="256" w:lineRule="auto"/>
                              <w:rPr>
                                <w:bCs/>
                                <w:kern w:val="2"/>
                                <w:szCs w:val="24"/>
                                <w14:ligatures w14:val="standardContextual"/>
                              </w:rPr>
                            </w:pPr>
                          </w:p>
                        </w:tc>
                      </w:tr>
                      <w:tr w14:paraId="279B40E3" w14:textId="77777777">
                        <w:tc>
                          <w:tcPr>
                            <w:tcW w:w="704" w:type="dxa"/>
                            <w:tcBorders>
                              <w:top w:val="single" w:sz="4" w:space="0" w:color="auto"/>
                              <w:left w:val="single" w:sz="4" w:space="0" w:color="auto"/>
                              <w:bottom w:val="single" w:sz="4" w:space="0" w:color="auto"/>
                              <w:right w:val="single" w:sz="4" w:space="0" w:color="auto"/>
                            </w:tcBorders>
                            <w:hideMark/>
                          </w:tcPr>
                          <w:p w14:paraId="185B2AD9" w14:textId="77777777">
                            <w:pPr>
                              <w:tabs>
                                <w:tab w:val="left" w:pos="6946"/>
                              </w:tabs>
                              <w:spacing w:line="256" w:lineRule="auto"/>
                              <w:jc w:val="center"/>
                              <w:rPr>
                                <w:kern w:val="2"/>
                                <w:szCs w:val="24"/>
                                <w14:ligatures w14:val="standardContextual"/>
                              </w:rPr>
                            </w:pPr>
                            <w:r>
                              <w:rPr>
                                <w:kern w:val="2"/>
                                <w:szCs w:val="24"/>
                                <w14:ligatures w14:val="standardContextual"/>
                              </w:rPr>
                              <w:t>1.7.</w:t>
                            </w:r>
                          </w:p>
                        </w:tc>
                        <w:tc>
                          <w:tcPr>
                            <w:tcW w:w="3995" w:type="dxa"/>
                            <w:tcBorders>
                              <w:top w:val="single" w:sz="4" w:space="0" w:color="auto"/>
                              <w:left w:val="single" w:sz="4" w:space="0" w:color="auto"/>
                              <w:bottom w:val="single" w:sz="4" w:space="0" w:color="auto"/>
                              <w:right w:val="single" w:sz="4" w:space="0" w:color="auto"/>
                            </w:tcBorders>
                            <w:hideMark/>
                          </w:tcPr>
                          <w:p w14:paraId="7C87864B" w14:textId="77777777">
                            <w:pPr>
                              <w:tabs>
                                <w:tab w:val="left" w:pos="6946"/>
                              </w:tabs>
                              <w:snapToGrid w:val="0"/>
                              <w:spacing w:line="256" w:lineRule="auto"/>
                              <w:rPr>
                                <w:kern w:val="2"/>
                                <w:szCs w:val="24"/>
                                <w14:ligatures w14:val="standardContextual"/>
                              </w:rPr>
                            </w:pPr>
                            <w:r>
                              <w:rPr>
                                <w:kern w:val="2"/>
                                <w:szCs w:val="24"/>
                                <w14:ligatures w14:val="standardContextual"/>
                              </w:rPr>
                              <w:t>Radviliškio seniūnija</w:t>
                            </w:r>
                          </w:p>
                        </w:tc>
                        <w:tc>
                          <w:tcPr>
                            <w:tcW w:w="1227" w:type="dxa"/>
                            <w:tcBorders>
                              <w:top w:val="single" w:sz="4" w:space="0" w:color="auto"/>
                              <w:left w:val="single" w:sz="4" w:space="0" w:color="auto"/>
                              <w:bottom w:val="single" w:sz="4" w:space="0" w:color="auto"/>
                              <w:right w:val="single" w:sz="4" w:space="0" w:color="auto"/>
                            </w:tcBorders>
                            <w:hideMark/>
                          </w:tcPr>
                          <w:p w14:paraId="7637E5AD" w14:textId="77777777">
                            <w:pPr>
                              <w:tabs>
                                <w:tab w:val="left" w:pos="6946"/>
                              </w:tabs>
                              <w:spacing w:line="256" w:lineRule="auto"/>
                              <w:jc w:val="center"/>
                              <w:rPr>
                                <w:kern w:val="2"/>
                                <w:szCs w:val="24"/>
                                <w14:ligatures w14:val="standardContextual"/>
                              </w:rPr>
                            </w:pPr>
                            <w:r>
                              <w:rPr>
                                <w:kern w:val="2"/>
                                <w:szCs w:val="24"/>
                                <w14:ligatures w14:val="standardContextual"/>
                              </w:rPr>
                              <w:t>2</w:t>
                            </w:r>
                          </w:p>
                        </w:tc>
                        <w:tc>
                          <w:tcPr>
                            <w:tcW w:w="1161" w:type="dxa"/>
                            <w:tcBorders>
                              <w:top w:val="single" w:sz="4" w:space="0" w:color="auto"/>
                              <w:left w:val="single" w:sz="4" w:space="0" w:color="auto"/>
                              <w:bottom w:val="single" w:sz="4" w:space="0" w:color="auto"/>
                              <w:right w:val="single" w:sz="4" w:space="0" w:color="auto"/>
                            </w:tcBorders>
                            <w:hideMark/>
                          </w:tcPr>
                          <w:p w14:paraId="5973168E" w14:textId="77777777">
                            <w:pPr>
                              <w:tabs>
                                <w:tab w:val="left" w:pos="6946"/>
                              </w:tabs>
                              <w:spacing w:line="256" w:lineRule="auto"/>
                              <w:jc w:val="center"/>
                              <w:rPr>
                                <w:kern w:val="2"/>
                                <w:szCs w:val="24"/>
                                <w14:ligatures w14:val="standardContextual"/>
                              </w:rPr>
                            </w:pPr>
                            <w:r>
                              <w:rPr>
                                <w:kern w:val="2"/>
                                <w:szCs w:val="24"/>
                                <w14:ligatures w14:val="standardContextual"/>
                              </w:rPr>
                              <w:t>3/64</w:t>
                            </w:r>
                          </w:p>
                        </w:tc>
                        <w:tc>
                          <w:tcPr>
                            <w:tcW w:w="2573" w:type="dxa"/>
                            <w:gridSpan w:val="2"/>
                            <w:vMerge/>
                            <w:tcBorders>
                              <w:top w:val="single" w:sz="4" w:space="0" w:color="auto"/>
                              <w:left w:val="single" w:sz="4" w:space="0" w:color="auto"/>
                              <w:bottom w:val="single" w:sz="4" w:space="0" w:color="auto"/>
                              <w:right w:val="single" w:sz="4" w:space="0" w:color="auto"/>
                            </w:tcBorders>
                            <w:vAlign w:val="center"/>
                            <w:hideMark/>
                          </w:tcPr>
                          <w:p w14:paraId="2F353767" w14:textId="77777777">
                            <w:pPr>
                              <w:spacing w:line="256" w:lineRule="auto"/>
                              <w:rPr>
                                <w:bCs/>
                                <w:kern w:val="2"/>
                                <w:szCs w:val="24"/>
                                <w14:ligatures w14:val="standardContextual"/>
                              </w:rPr>
                            </w:pPr>
                          </w:p>
                        </w:tc>
                      </w:tr>
                      <w:tr w14:paraId="1D168BBE" w14:textId="77777777">
                        <w:tc>
                          <w:tcPr>
                            <w:tcW w:w="704" w:type="dxa"/>
                            <w:tcBorders>
                              <w:top w:val="single" w:sz="4" w:space="0" w:color="auto"/>
                              <w:left w:val="single" w:sz="4" w:space="0" w:color="auto"/>
                              <w:bottom w:val="single" w:sz="4" w:space="0" w:color="auto"/>
                              <w:right w:val="single" w:sz="4" w:space="0" w:color="auto"/>
                            </w:tcBorders>
                            <w:hideMark/>
                          </w:tcPr>
                          <w:p w14:paraId="0A150F79" w14:textId="77777777">
                            <w:pPr>
                              <w:tabs>
                                <w:tab w:val="left" w:pos="6946"/>
                              </w:tabs>
                              <w:spacing w:line="256" w:lineRule="auto"/>
                              <w:jc w:val="center"/>
                              <w:rPr>
                                <w:kern w:val="2"/>
                                <w:szCs w:val="24"/>
                                <w14:ligatures w14:val="standardContextual"/>
                              </w:rPr>
                            </w:pPr>
                            <w:r>
                              <w:rPr>
                                <w:kern w:val="2"/>
                                <w:szCs w:val="24"/>
                                <w14:ligatures w14:val="standardContextual"/>
                              </w:rPr>
                              <w:t>1.8.</w:t>
                            </w:r>
                          </w:p>
                        </w:tc>
                        <w:tc>
                          <w:tcPr>
                            <w:tcW w:w="3995" w:type="dxa"/>
                            <w:tcBorders>
                              <w:top w:val="single" w:sz="4" w:space="0" w:color="auto"/>
                              <w:left w:val="single" w:sz="4" w:space="0" w:color="auto"/>
                              <w:bottom w:val="single" w:sz="4" w:space="0" w:color="auto"/>
                              <w:right w:val="single" w:sz="4" w:space="0" w:color="auto"/>
                            </w:tcBorders>
                            <w:hideMark/>
                          </w:tcPr>
                          <w:p w14:paraId="64FF419D" w14:textId="77777777">
                            <w:pPr>
                              <w:tabs>
                                <w:tab w:val="left" w:pos="6946"/>
                              </w:tabs>
                              <w:snapToGrid w:val="0"/>
                              <w:spacing w:line="256" w:lineRule="auto"/>
                              <w:rPr>
                                <w:kern w:val="2"/>
                                <w:szCs w:val="24"/>
                                <w14:ligatures w14:val="standardContextual"/>
                              </w:rPr>
                            </w:pPr>
                            <w:r>
                              <w:rPr>
                                <w:kern w:val="2"/>
                                <w:szCs w:val="24"/>
                                <w14:ligatures w14:val="standardContextual"/>
                              </w:rPr>
                              <w:t>Sidabravo seniūnija</w:t>
                            </w:r>
                          </w:p>
                        </w:tc>
                        <w:tc>
                          <w:tcPr>
                            <w:tcW w:w="1227" w:type="dxa"/>
                            <w:tcBorders>
                              <w:top w:val="single" w:sz="4" w:space="0" w:color="auto"/>
                              <w:left w:val="single" w:sz="4" w:space="0" w:color="auto"/>
                              <w:bottom w:val="single" w:sz="4" w:space="0" w:color="auto"/>
                              <w:right w:val="single" w:sz="4" w:space="0" w:color="auto"/>
                            </w:tcBorders>
                            <w:hideMark/>
                          </w:tcPr>
                          <w:p w14:paraId="2F8507C4" w14:textId="77777777">
                            <w:pPr>
                              <w:tabs>
                                <w:tab w:val="left" w:pos="6946"/>
                              </w:tabs>
                              <w:spacing w:line="256" w:lineRule="auto"/>
                              <w:jc w:val="center"/>
                              <w:rPr>
                                <w:kern w:val="2"/>
                                <w:szCs w:val="24"/>
                                <w14:ligatures w14:val="standardContextual"/>
                              </w:rPr>
                            </w:pPr>
                            <w:r>
                              <w:rPr>
                                <w:kern w:val="2"/>
                                <w:szCs w:val="24"/>
                                <w14:ligatures w14:val="standardContextual"/>
                              </w:rPr>
                              <w:t>2</w:t>
                            </w:r>
                          </w:p>
                        </w:tc>
                        <w:tc>
                          <w:tcPr>
                            <w:tcW w:w="1161" w:type="dxa"/>
                            <w:tcBorders>
                              <w:top w:val="single" w:sz="4" w:space="0" w:color="auto"/>
                              <w:left w:val="single" w:sz="4" w:space="0" w:color="auto"/>
                              <w:bottom w:val="single" w:sz="4" w:space="0" w:color="auto"/>
                              <w:right w:val="single" w:sz="4" w:space="0" w:color="auto"/>
                            </w:tcBorders>
                            <w:hideMark/>
                          </w:tcPr>
                          <w:p w14:paraId="1D87BAFA" w14:textId="77777777">
                            <w:pPr>
                              <w:tabs>
                                <w:tab w:val="left" w:pos="6946"/>
                              </w:tabs>
                              <w:spacing w:line="256" w:lineRule="auto"/>
                              <w:jc w:val="center"/>
                              <w:rPr>
                                <w:kern w:val="2"/>
                                <w:szCs w:val="24"/>
                                <w14:ligatures w14:val="standardContextual"/>
                              </w:rPr>
                            </w:pPr>
                            <w:r>
                              <w:rPr>
                                <w:kern w:val="2"/>
                                <w:szCs w:val="24"/>
                                <w14:ligatures w14:val="standardContextual"/>
                              </w:rPr>
                              <w:t>3/64</w:t>
                            </w:r>
                          </w:p>
                        </w:tc>
                        <w:tc>
                          <w:tcPr>
                            <w:tcW w:w="2573" w:type="dxa"/>
                            <w:gridSpan w:val="2"/>
                            <w:vMerge/>
                            <w:tcBorders>
                              <w:top w:val="single" w:sz="4" w:space="0" w:color="auto"/>
                              <w:left w:val="single" w:sz="4" w:space="0" w:color="auto"/>
                              <w:bottom w:val="single" w:sz="4" w:space="0" w:color="auto"/>
                              <w:right w:val="single" w:sz="4" w:space="0" w:color="auto"/>
                            </w:tcBorders>
                            <w:vAlign w:val="center"/>
                            <w:hideMark/>
                          </w:tcPr>
                          <w:p w14:paraId="7B1CDB50" w14:textId="77777777">
                            <w:pPr>
                              <w:spacing w:line="256" w:lineRule="auto"/>
                              <w:rPr>
                                <w:bCs/>
                                <w:kern w:val="2"/>
                                <w:szCs w:val="24"/>
                                <w14:ligatures w14:val="standardContextual"/>
                              </w:rPr>
                            </w:pPr>
                          </w:p>
                        </w:tc>
                      </w:tr>
                      <w:tr w14:paraId="06C0B9CF" w14:textId="77777777">
                        <w:tc>
                          <w:tcPr>
                            <w:tcW w:w="704" w:type="dxa"/>
                            <w:tcBorders>
                              <w:top w:val="single" w:sz="4" w:space="0" w:color="auto"/>
                              <w:left w:val="single" w:sz="4" w:space="0" w:color="auto"/>
                              <w:bottom w:val="single" w:sz="4" w:space="0" w:color="auto"/>
                              <w:right w:val="single" w:sz="4" w:space="0" w:color="auto"/>
                            </w:tcBorders>
                            <w:hideMark/>
                          </w:tcPr>
                          <w:p w14:paraId="04FBBF49" w14:textId="77777777">
                            <w:pPr>
                              <w:tabs>
                                <w:tab w:val="left" w:pos="6946"/>
                              </w:tabs>
                              <w:spacing w:line="256" w:lineRule="auto"/>
                              <w:jc w:val="center"/>
                              <w:rPr>
                                <w:kern w:val="2"/>
                                <w:szCs w:val="24"/>
                                <w14:ligatures w14:val="standardContextual"/>
                              </w:rPr>
                            </w:pPr>
                            <w:r>
                              <w:rPr>
                                <w:kern w:val="2"/>
                                <w:szCs w:val="24"/>
                                <w14:ligatures w14:val="standardContextual"/>
                              </w:rPr>
                              <w:t>1.9.</w:t>
                            </w:r>
                          </w:p>
                        </w:tc>
                        <w:tc>
                          <w:tcPr>
                            <w:tcW w:w="3995" w:type="dxa"/>
                            <w:tcBorders>
                              <w:top w:val="single" w:sz="4" w:space="0" w:color="auto"/>
                              <w:left w:val="single" w:sz="4" w:space="0" w:color="auto"/>
                              <w:bottom w:val="single" w:sz="4" w:space="0" w:color="auto"/>
                              <w:right w:val="single" w:sz="4" w:space="0" w:color="auto"/>
                            </w:tcBorders>
                            <w:hideMark/>
                          </w:tcPr>
                          <w:p w14:paraId="48E5FD08" w14:textId="77777777">
                            <w:pPr>
                              <w:tabs>
                                <w:tab w:val="left" w:pos="6946"/>
                              </w:tabs>
                              <w:snapToGrid w:val="0"/>
                              <w:spacing w:line="256" w:lineRule="auto"/>
                              <w:rPr>
                                <w:kern w:val="2"/>
                                <w:szCs w:val="24"/>
                                <w14:ligatures w14:val="standardContextual"/>
                              </w:rPr>
                            </w:pPr>
                            <w:r>
                              <w:rPr>
                                <w:kern w:val="2"/>
                                <w:szCs w:val="24"/>
                                <w14:ligatures w14:val="standardContextual"/>
                              </w:rPr>
                              <w:t>Skėmių seniūnija</w:t>
                            </w:r>
                          </w:p>
                        </w:tc>
                        <w:tc>
                          <w:tcPr>
                            <w:tcW w:w="1227" w:type="dxa"/>
                            <w:tcBorders>
                              <w:top w:val="single" w:sz="4" w:space="0" w:color="auto"/>
                              <w:left w:val="single" w:sz="4" w:space="0" w:color="auto"/>
                              <w:bottom w:val="single" w:sz="4" w:space="0" w:color="auto"/>
                              <w:right w:val="single" w:sz="4" w:space="0" w:color="auto"/>
                            </w:tcBorders>
                            <w:hideMark/>
                          </w:tcPr>
                          <w:p w14:paraId="3A28E782" w14:textId="77777777">
                            <w:pPr>
                              <w:tabs>
                                <w:tab w:val="left" w:pos="6946"/>
                              </w:tabs>
                              <w:spacing w:line="256" w:lineRule="auto"/>
                              <w:jc w:val="center"/>
                              <w:rPr>
                                <w:kern w:val="2"/>
                                <w:szCs w:val="24"/>
                                <w14:ligatures w14:val="standardContextual"/>
                              </w:rPr>
                            </w:pPr>
                            <w:r>
                              <w:rPr>
                                <w:kern w:val="2"/>
                                <w:szCs w:val="24"/>
                                <w14:ligatures w14:val="standardContextual"/>
                              </w:rPr>
                              <w:t>1</w:t>
                            </w:r>
                          </w:p>
                        </w:tc>
                        <w:tc>
                          <w:tcPr>
                            <w:tcW w:w="1161" w:type="dxa"/>
                            <w:tcBorders>
                              <w:top w:val="single" w:sz="4" w:space="0" w:color="auto"/>
                              <w:left w:val="single" w:sz="4" w:space="0" w:color="auto"/>
                              <w:bottom w:val="single" w:sz="4" w:space="0" w:color="auto"/>
                              <w:right w:val="single" w:sz="4" w:space="0" w:color="auto"/>
                            </w:tcBorders>
                            <w:hideMark/>
                          </w:tcPr>
                          <w:p w14:paraId="4E464AA1" w14:textId="77777777">
                            <w:pPr>
                              <w:tabs>
                                <w:tab w:val="left" w:pos="6946"/>
                              </w:tabs>
                              <w:spacing w:line="256" w:lineRule="auto"/>
                              <w:jc w:val="center"/>
                              <w:rPr>
                                <w:kern w:val="2"/>
                                <w:szCs w:val="24"/>
                                <w14:ligatures w14:val="standardContextual"/>
                              </w:rPr>
                            </w:pPr>
                            <w:r>
                              <w:rPr>
                                <w:kern w:val="2"/>
                                <w:szCs w:val="24"/>
                                <w14:ligatures w14:val="standardContextual"/>
                              </w:rPr>
                              <w:t>3/64</w:t>
                            </w:r>
                          </w:p>
                        </w:tc>
                        <w:tc>
                          <w:tcPr>
                            <w:tcW w:w="2573" w:type="dxa"/>
                            <w:gridSpan w:val="2"/>
                            <w:vMerge/>
                            <w:tcBorders>
                              <w:top w:val="single" w:sz="4" w:space="0" w:color="auto"/>
                              <w:left w:val="single" w:sz="4" w:space="0" w:color="auto"/>
                              <w:bottom w:val="single" w:sz="4" w:space="0" w:color="auto"/>
                              <w:right w:val="single" w:sz="4" w:space="0" w:color="auto"/>
                            </w:tcBorders>
                            <w:vAlign w:val="center"/>
                            <w:hideMark/>
                          </w:tcPr>
                          <w:p w14:paraId="79A9EB9C" w14:textId="77777777">
                            <w:pPr>
                              <w:spacing w:line="256" w:lineRule="auto"/>
                              <w:rPr>
                                <w:bCs/>
                                <w:kern w:val="2"/>
                                <w:szCs w:val="24"/>
                                <w14:ligatures w14:val="standardContextual"/>
                              </w:rPr>
                            </w:pPr>
                          </w:p>
                        </w:tc>
                      </w:tr>
                      <w:tr w14:paraId="3F277E6C" w14:textId="77777777">
                        <w:tc>
                          <w:tcPr>
                            <w:tcW w:w="704" w:type="dxa"/>
                            <w:tcBorders>
                              <w:top w:val="single" w:sz="4" w:space="0" w:color="auto"/>
                              <w:left w:val="single" w:sz="4" w:space="0" w:color="auto"/>
                              <w:bottom w:val="single" w:sz="4" w:space="0" w:color="auto"/>
                              <w:right w:val="single" w:sz="4" w:space="0" w:color="auto"/>
                            </w:tcBorders>
                            <w:hideMark/>
                          </w:tcPr>
                          <w:p w14:paraId="2AA4F0AC" w14:textId="77777777">
                            <w:pPr>
                              <w:tabs>
                                <w:tab w:val="left" w:pos="6946"/>
                              </w:tabs>
                              <w:spacing w:line="256" w:lineRule="auto"/>
                              <w:jc w:val="center"/>
                              <w:rPr>
                                <w:kern w:val="2"/>
                                <w:szCs w:val="24"/>
                                <w14:ligatures w14:val="standardContextual"/>
                              </w:rPr>
                            </w:pPr>
                            <w:r>
                              <w:rPr>
                                <w:kern w:val="2"/>
                                <w:szCs w:val="24"/>
                                <w14:ligatures w14:val="standardContextual"/>
                              </w:rPr>
                              <w:t>1.10.</w:t>
                            </w:r>
                          </w:p>
                        </w:tc>
                        <w:tc>
                          <w:tcPr>
                            <w:tcW w:w="3995" w:type="dxa"/>
                            <w:tcBorders>
                              <w:top w:val="single" w:sz="4" w:space="0" w:color="auto"/>
                              <w:left w:val="single" w:sz="4" w:space="0" w:color="auto"/>
                              <w:bottom w:val="single" w:sz="4" w:space="0" w:color="auto"/>
                              <w:right w:val="single" w:sz="4" w:space="0" w:color="auto"/>
                            </w:tcBorders>
                            <w:hideMark/>
                          </w:tcPr>
                          <w:p w14:paraId="14B1D259" w14:textId="77777777">
                            <w:pPr>
                              <w:tabs>
                                <w:tab w:val="left" w:pos="6946"/>
                              </w:tabs>
                              <w:snapToGrid w:val="0"/>
                              <w:spacing w:line="256" w:lineRule="auto"/>
                              <w:rPr>
                                <w:kern w:val="2"/>
                                <w:szCs w:val="24"/>
                                <w14:ligatures w14:val="standardContextual"/>
                              </w:rPr>
                            </w:pPr>
                            <w:r>
                              <w:rPr>
                                <w:kern w:val="2"/>
                                <w:szCs w:val="24"/>
                                <w14:ligatures w14:val="standardContextual"/>
                              </w:rPr>
                              <w:t>Šaukoto seniūnija</w:t>
                            </w:r>
                          </w:p>
                        </w:tc>
                        <w:tc>
                          <w:tcPr>
                            <w:tcW w:w="1227" w:type="dxa"/>
                            <w:tcBorders>
                              <w:top w:val="single" w:sz="4" w:space="0" w:color="auto"/>
                              <w:left w:val="single" w:sz="4" w:space="0" w:color="auto"/>
                              <w:bottom w:val="single" w:sz="4" w:space="0" w:color="auto"/>
                              <w:right w:val="single" w:sz="4" w:space="0" w:color="auto"/>
                            </w:tcBorders>
                            <w:hideMark/>
                          </w:tcPr>
                          <w:p w14:paraId="04DF6E56" w14:textId="77777777">
                            <w:pPr>
                              <w:tabs>
                                <w:tab w:val="left" w:pos="6946"/>
                              </w:tabs>
                              <w:spacing w:line="256" w:lineRule="auto"/>
                              <w:jc w:val="center"/>
                              <w:rPr>
                                <w:kern w:val="2"/>
                                <w:szCs w:val="24"/>
                                <w14:ligatures w14:val="standardContextual"/>
                              </w:rPr>
                            </w:pPr>
                            <w:r>
                              <w:rPr>
                                <w:kern w:val="2"/>
                                <w:szCs w:val="24"/>
                                <w14:ligatures w14:val="standardContextual"/>
                              </w:rPr>
                              <w:t>1</w:t>
                            </w:r>
                          </w:p>
                        </w:tc>
                        <w:tc>
                          <w:tcPr>
                            <w:tcW w:w="1161" w:type="dxa"/>
                            <w:tcBorders>
                              <w:top w:val="single" w:sz="4" w:space="0" w:color="auto"/>
                              <w:left w:val="single" w:sz="4" w:space="0" w:color="auto"/>
                              <w:bottom w:val="single" w:sz="4" w:space="0" w:color="auto"/>
                              <w:right w:val="single" w:sz="4" w:space="0" w:color="auto"/>
                            </w:tcBorders>
                            <w:hideMark/>
                          </w:tcPr>
                          <w:p w14:paraId="0A989018" w14:textId="77777777">
                            <w:pPr>
                              <w:tabs>
                                <w:tab w:val="left" w:pos="6946"/>
                              </w:tabs>
                              <w:spacing w:line="256" w:lineRule="auto"/>
                              <w:jc w:val="center"/>
                              <w:rPr>
                                <w:kern w:val="2"/>
                                <w:szCs w:val="24"/>
                                <w14:ligatures w14:val="standardContextual"/>
                              </w:rPr>
                            </w:pPr>
                            <w:r>
                              <w:rPr>
                                <w:kern w:val="2"/>
                                <w:szCs w:val="24"/>
                                <w14:ligatures w14:val="standardContextual"/>
                              </w:rPr>
                              <w:t>3/64</w:t>
                            </w:r>
                          </w:p>
                        </w:tc>
                        <w:tc>
                          <w:tcPr>
                            <w:tcW w:w="2573" w:type="dxa"/>
                            <w:gridSpan w:val="2"/>
                            <w:vMerge/>
                            <w:tcBorders>
                              <w:top w:val="single" w:sz="4" w:space="0" w:color="auto"/>
                              <w:left w:val="single" w:sz="4" w:space="0" w:color="auto"/>
                              <w:bottom w:val="single" w:sz="4" w:space="0" w:color="auto"/>
                              <w:right w:val="single" w:sz="4" w:space="0" w:color="auto"/>
                            </w:tcBorders>
                            <w:vAlign w:val="center"/>
                            <w:hideMark/>
                          </w:tcPr>
                          <w:p w14:paraId="19DC9AB3" w14:textId="77777777">
                            <w:pPr>
                              <w:spacing w:line="256" w:lineRule="auto"/>
                              <w:rPr>
                                <w:bCs/>
                                <w:kern w:val="2"/>
                                <w:szCs w:val="24"/>
                                <w14:ligatures w14:val="standardContextual"/>
                              </w:rPr>
                            </w:pPr>
                          </w:p>
                        </w:tc>
                      </w:tr>
                      <w:tr w14:paraId="4B02E90C" w14:textId="77777777">
                        <w:tc>
                          <w:tcPr>
                            <w:tcW w:w="704" w:type="dxa"/>
                            <w:tcBorders>
                              <w:top w:val="single" w:sz="4" w:space="0" w:color="auto"/>
                              <w:left w:val="single" w:sz="4" w:space="0" w:color="auto"/>
                              <w:bottom w:val="single" w:sz="4" w:space="0" w:color="auto"/>
                              <w:right w:val="single" w:sz="4" w:space="0" w:color="auto"/>
                            </w:tcBorders>
                            <w:hideMark/>
                          </w:tcPr>
                          <w:p w14:paraId="6929D451" w14:textId="77777777">
                            <w:pPr>
                              <w:tabs>
                                <w:tab w:val="left" w:pos="6946"/>
                              </w:tabs>
                              <w:spacing w:line="256" w:lineRule="auto"/>
                              <w:jc w:val="center"/>
                              <w:rPr>
                                <w:kern w:val="2"/>
                                <w:szCs w:val="24"/>
                                <w14:ligatures w14:val="standardContextual"/>
                              </w:rPr>
                            </w:pPr>
                            <w:r>
                              <w:rPr>
                                <w:kern w:val="2"/>
                                <w:szCs w:val="24"/>
                                <w14:ligatures w14:val="standardContextual"/>
                              </w:rPr>
                              <w:t>1.11.</w:t>
                            </w:r>
                          </w:p>
                        </w:tc>
                        <w:tc>
                          <w:tcPr>
                            <w:tcW w:w="3995" w:type="dxa"/>
                            <w:tcBorders>
                              <w:top w:val="single" w:sz="4" w:space="0" w:color="auto"/>
                              <w:left w:val="single" w:sz="4" w:space="0" w:color="auto"/>
                              <w:bottom w:val="single" w:sz="4" w:space="0" w:color="auto"/>
                              <w:right w:val="single" w:sz="4" w:space="0" w:color="auto"/>
                            </w:tcBorders>
                            <w:hideMark/>
                          </w:tcPr>
                          <w:p w14:paraId="04C31486" w14:textId="77777777">
                            <w:pPr>
                              <w:tabs>
                                <w:tab w:val="left" w:pos="6946"/>
                              </w:tabs>
                              <w:snapToGrid w:val="0"/>
                              <w:spacing w:line="256" w:lineRule="auto"/>
                              <w:rPr>
                                <w:kern w:val="2"/>
                                <w:szCs w:val="24"/>
                                <w14:ligatures w14:val="standardContextual"/>
                              </w:rPr>
                            </w:pPr>
                            <w:r>
                              <w:rPr>
                                <w:kern w:val="2"/>
                                <w:szCs w:val="24"/>
                                <w14:ligatures w14:val="standardContextual"/>
                              </w:rPr>
                              <w:t>Šiaulėnų seniūnija</w:t>
                            </w:r>
                          </w:p>
                        </w:tc>
                        <w:tc>
                          <w:tcPr>
                            <w:tcW w:w="1227" w:type="dxa"/>
                            <w:tcBorders>
                              <w:top w:val="single" w:sz="4" w:space="0" w:color="auto"/>
                              <w:left w:val="single" w:sz="4" w:space="0" w:color="auto"/>
                              <w:bottom w:val="single" w:sz="4" w:space="0" w:color="auto"/>
                              <w:right w:val="single" w:sz="4" w:space="0" w:color="auto"/>
                            </w:tcBorders>
                            <w:hideMark/>
                          </w:tcPr>
                          <w:p w14:paraId="4AF71E23" w14:textId="77777777">
                            <w:pPr>
                              <w:tabs>
                                <w:tab w:val="left" w:pos="6946"/>
                              </w:tabs>
                              <w:spacing w:line="256" w:lineRule="auto"/>
                              <w:jc w:val="center"/>
                              <w:rPr>
                                <w:kern w:val="2"/>
                                <w:szCs w:val="24"/>
                                <w14:ligatures w14:val="standardContextual"/>
                              </w:rPr>
                            </w:pPr>
                            <w:r>
                              <w:rPr>
                                <w:kern w:val="2"/>
                                <w:szCs w:val="24"/>
                                <w14:ligatures w14:val="standardContextual"/>
                              </w:rPr>
                              <w:t>1</w:t>
                            </w:r>
                          </w:p>
                        </w:tc>
                        <w:tc>
                          <w:tcPr>
                            <w:tcW w:w="1161" w:type="dxa"/>
                            <w:tcBorders>
                              <w:top w:val="single" w:sz="4" w:space="0" w:color="auto"/>
                              <w:left w:val="single" w:sz="4" w:space="0" w:color="auto"/>
                              <w:bottom w:val="single" w:sz="4" w:space="0" w:color="auto"/>
                              <w:right w:val="single" w:sz="4" w:space="0" w:color="auto"/>
                            </w:tcBorders>
                            <w:hideMark/>
                          </w:tcPr>
                          <w:p w14:paraId="054C0D2B" w14:textId="77777777">
                            <w:pPr>
                              <w:tabs>
                                <w:tab w:val="left" w:pos="6946"/>
                              </w:tabs>
                              <w:spacing w:line="256" w:lineRule="auto"/>
                              <w:jc w:val="center"/>
                              <w:rPr>
                                <w:kern w:val="2"/>
                                <w:szCs w:val="24"/>
                                <w14:ligatures w14:val="standardContextual"/>
                              </w:rPr>
                            </w:pPr>
                            <w:r>
                              <w:rPr>
                                <w:kern w:val="2"/>
                                <w:szCs w:val="24"/>
                                <w14:ligatures w14:val="standardContextual"/>
                              </w:rPr>
                              <w:t>3/64</w:t>
                            </w:r>
                          </w:p>
                        </w:tc>
                        <w:tc>
                          <w:tcPr>
                            <w:tcW w:w="2573" w:type="dxa"/>
                            <w:gridSpan w:val="2"/>
                            <w:vMerge/>
                            <w:tcBorders>
                              <w:top w:val="single" w:sz="4" w:space="0" w:color="auto"/>
                              <w:left w:val="single" w:sz="4" w:space="0" w:color="auto"/>
                              <w:bottom w:val="single" w:sz="4" w:space="0" w:color="auto"/>
                              <w:right w:val="single" w:sz="4" w:space="0" w:color="auto"/>
                            </w:tcBorders>
                            <w:vAlign w:val="center"/>
                            <w:hideMark/>
                          </w:tcPr>
                          <w:p w14:paraId="51A1E60A" w14:textId="77777777">
                            <w:pPr>
                              <w:spacing w:line="256" w:lineRule="auto"/>
                              <w:rPr>
                                <w:bCs/>
                                <w:kern w:val="2"/>
                                <w:szCs w:val="24"/>
                                <w14:ligatures w14:val="standardContextual"/>
                              </w:rPr>
                            </w:pPr>
                          </w:p>
                        </w:tc>
                      </w:tr>
                      <w:tr w14:paraId="10052033" w14:textId="77777777">
                        <w:tc>
                          <w:tcPr>
                            <w:tcW w:w="704" w:type="dxa"/>
                            <w:tcBorders>
                              <w:top w:val="single" w:sz="4" w:space="0" w:color="auto"/>
                              <w:left w:val="single" w:sz="4" w:space="0" w:color="auto"/>
                              <w:bottom w:val="single" w:sz="4" w:space="0" w:color="auto"/>
                              <w:right w:val="single" w:sz="4" w:space="0" w:color="auto"/>
                            </w:tcBorders>
                            <w:hideMark/>
                          </w:tcPr>
                          <w:p w14:paraId="49B33BEA" w14:textId="77777777">
                            <w:pPr>
                              <w:tabs>
                                <w:tab w:val="left" w:pos="6946"/>
                              </w:tabs>
                              <w:spacing w:line="256" w:lineRule="auto"/>
                              <w:jc w:val="center"/>
                              <w:rPr>
                                <w:kern w:val="2"/>
                                <w:szCs w:val="24"/>
                                <w14:ligatures w14:val="standardContextual"/>
                              </w:rPr>
                            </w:pPr>
                            <w:r>
                              <w:rPr>
                                <w:kern w:val="2"/>
                                <w:szCs w:val="24"/>
                                <w14:ligatures w14:val="standardContextual"/>
                              </w:rPr>
                              <w:t>1.12.</w:t>
                            </w:r>
                          </w:p>
                        </w:tc>
                        <w:tc>
                          <w:tcPr>
                            <w:tcW w:w="3995" w:type="dxa"/>
                            <w:tcBorders>
                              <w:top w:val="single" w:sz="4" w:space="0" w:color="auto"/>
                              <w:left w:val="single" w:sz="4" w:space="0" w:color="auto"/>
                              <w:bottom w:val="single" w:sz="4" w:space="0" w:color="auto"/>
                              <w:right w:val="single" w:sz="4" w:space="0" w:color="auto"/>
                            </w:tcBorders>
                            <w:hideMark/>
                          </w:tcPr>
                          <w:p w14:paraId="7C0E4F94" w14:textId="77777777">
                            <w:pPr>
                              <w:tabs>
                                <w:tab w:val="left" w:pos="6946"/>
                              </w:tabs>
                              <w:snapToGrid w:val="0"/>
                              <w:spacing w:line="256" w:lineRule="auto"/>
                              <w:rPr>
                                <w:kern w:val="2"/>
                                <w:szCs w:val="24"/>
                                <w14:ligatures w14:val="standardContextual"/>
                              </w:rPr>
                            </w:pPr>
                            <w:r>
                              <w:rPr>
                                <w:kern w:val="2"/>
                                <w:szCs w:val="24"/>
                                <w14:ligatures w14:val="standardContextual"/>
                              </w:rPr>
                              <w:t>Tyrulių seniūnija</w:t>
                            </w:r>
                          </w:p>
                        </w:tc>
                        <w:tc>
                          <w:tcPr>
                            <w:tcW w:w="1227" w:type="dxa"/>
                            <w:tcBorders>
                              <w:top w:val="single" w:sz="4" w:space="0" w:color="auto"/>
                              <w:left w:val="single" w:sz="4" w:space="0" w:color="auto"/>
                              <w:bottom w:val="single" w:sz="4" w:space="0" w:color="auto"/>
                              <w:right w:val="single" w:sz="4" w:space="0" w:color="auto"/>
                            </w:tcBorders>
                            <w:hideMark/>
                          </w:tcPr>
                          <w:p w14:paraId="4C0FDD39" w14:textId="77777777">
                            <w:pPr>
                              <w:tabs>
                                <w:tab w:val="left" w:pos="6946"/>
                              </w:tabs>
                              <w:spacing w:line="256" w:lineRule="auto"/>
                              <w:jc w:val="center"/>
                              <w:rPr>
                                <w:kern w:val="2"/>
                                <w:szCs w:val="24"/>
                                <w14:ligatures w14:val="standardContextual"/>
                              </w:rPr>
                            </w:pPr>
                            <w:r>
                              <w:rPr>
                                <w:kern w:val="2"/>
                                <w:szCs w:val="24"/>
                                <w14:ligatures w14:val="standardContextual"/>
                              </w:rPr>
                              <w:t>1</w:t>
                            </w:r>
                          </w:p>
                        </w:tc>
                        <w:tc>
                          <w:tcPr>
                            <w:tcW w:w="1161" w:type="dxa"/>
                            <w:tcBorders>
                              <w:top w:val="single" w:sz="4" w:space="0" w:color="auto"/>
                              <w:left w:val="single" w:sz="4" w:space="0" w:color="auto"/>
                              <w:bottom w:val="single" w:sz="4" w:space="0" w:color="auto"/>
                              <w:right w:val="single" w:sz="4" w:space="0" w:color="auto"/>
                            </w:tcBorders>
                            <w:hideMark/>
                          </w:tcPr>
                          <w:p w14:paraId="17A6A24F" w14:textId="77777777">
                            <w:pPr>
                              <w:tabs>
                                <w:tab w:val="left" w:pos="6946"/>
                              </w:tabs>
                              <w:spacing w:line="256" w:lineRule="auto"/>
                              <w:jc w:val="center"/>
                              <w:rPr>
                                <w:kern w:val="2"/>
                                <w:szCs w:val="24"/>
                                <w14:ligatures w14:val="standardContextual"/>
                              </w:rPr>
                            </w:pPr>
                            <w:r>
                              <w:rPr>
                                <w:kern w:val="2"/>
                                <w:szCs w:val="24"/>
                                <w14:ligatures w14:val="standardContextual"/>
                              </w:rPr>
                              <w:t>3/64</w:t>
                            </w:r>
                          </w:p>
                        </w:tc>
                        <w:tc>
                          <w:tcPr>
                            <w:tcW w:w="2573" w:type="dxa"/>
                            <w:gridSpan w:val="2"/>
                            <w:vMerge/>
                            <w:tcBorders>
                              <w:top w:val="single" w:sz="4" w:space="0" w:color="auto"/>
                              <w:left w:val="single" w:sz="4" w:space="0" w:color="auto"/>
                              <w:bottom w:val="single" w:sz="4" w:space="0" w:color="auto"/>
                              <w:right w:val="single" w:sz="4" w:space="0" w:color="auto"/>
                            </w:tcBorders>
                            <w:vAlign w:val="center"/>
                            <w:hideMark/>
                          </w:tcPr>
                          <w:p w14:paraId="6EAD78ED" w14:textId="77777777">
                            <w:pPr>
                              <w:spacing w:line="256" w:lineRule="auto"/>
                              <w:rPr>
                                <w:bCs/>
                                <w:kern w:val="2"/>
                                <w:szCs w:val="24"/>
                                <w14:ligatures w14:val="standardContextual"/>
                              </w:rPr>
                            </w:pPr>
                          </w:p>
                        </w:tc>
                      </w:tr>
                      <w:tr w14:paraId="3BEFA6B4" w14:textId="77777777">
                        <w:tc>
                          <w:tcPr>
                            <w:tcW w:w="704" w:type="dxa"/>
                            <w:tcBorders>
                              <w:top w:val="single" w:sz="4" w:space="0" w:color="auto"/>
                              <w:left w:val="single" w:sz="4" w:space="0" w:color="auto"/>
                              <w:bottom w:val="single" w:sz="4" w:space="0" w:color="auto"/>
                              <w:right w:val="single" w:sz="4" w:space="0" w:color="auto"/>
                            </w:tcBorders>
                            <w:hideMark/>
                          </w:tcPr>
                          <w:p w14:paraId="2FB100FF" w14:textId="77777777">
                            <w:pPr>
                              <w:tabs>
                                <w:tab w:val="left" w:pos="6946"/>
                              </w:tabs>
                              <w:spacing w:line="256" w:lineRule="auto"/>
                              <w:jc w:val="center"/>
                              <w:rPr>
                                <w:kern w:val="2"/>
                                <w:szCs w:val="24"/>
                                <w14:ligatures w14:val="standardContextual"/>
                              </w:rPr>
                            </w:pPr>
                            <w:r>
                              <w:rPr>
                                <w:kern w:val="2"/>
                                <w:szCs w:val="24"/>
                                <w14:ligatures w14:val="standardContextual"/>
                              </w:rPr>
                              <w:t>2.</w:t>
                            </w:r>
                          </w:p>
                        </w:tc>
                        <w:tc>
                          <w:tcPr>
                            <w:tcW w:w="3995" w:type="dxa"/>
                            <w:tcBorders>
                              <w:top w:val="single" w:sz="4" w:space="0" w:color="auto"/>
                              <w:left w:val="single" w:sz="4" w:space="0" w:color="auto"/>
                              <w:bottom w:val="single" w:sz="4" w:space="0" w:color="auto"/>
                              <w:right w:val="single" w:sz="4" w:space="0" w:color="auto"/>
                            </w:tcBorders>
                            <w:hideMark/>
                          </w:tcPr>
                          <w:p w14:paraId="34800084" w14:textId="77777777">
                            <w:pPr>
                              <w:tabs>
                                <w:tab w:val="left" w:pos="6946"/>
                              </w:tabs>
                              <w:snapToGrid w:val="0"/>
                              <w:spacing w:line="256" w:lineRule="auto"/>
                              <w:rPr>
                                <w:kern w:val="2"/>
                                <w:szCs w:val="24"/>
                                <w14:ligatures w14:val="standardContextual"/>
                              </w:rPr>
                            </w:pPr>
                            <w:r>
                              <w:rPr>
                                <w:kern w:val="2"/>
                                <w:szCs w:val="24"/>
                                <w14:ligatures w14:val="standardContextual"/>
                              </w:rPr>
                              <w:t>Daugyvenės kultūros istorijos muziejus-draustinis</w:t>
                            </w:r>
                          </w:p>
                        </w:tc>
                        <w:tc>
                          <w:tcPr>
                            <w:tcW w:w="1227" w:type="dxa"/>
                            <w:tcBorders>
                              <w:top w:val="single" w:sz="4" w:space="0" w:color="auto"/>
                              <w:left w:val="single" w:sz="4" w:space="0" w:color="auto"/>
                              <w:bottom w:val="single" w:sz="4" w:space="0" w:color="auto"/>
                              <w:right w:val="single" w:sz="4" w:space="0" w:color="auto"/>
                            </w:tcBorders>
                            <w:hideMark/>
                          </w:tcPr>
                          <w:p w14:paraId="2DA0A58A" w14:textId="77777777">
                            <w:pPr>
                              <w:tabs>
                                <w:tab w:val="left" w:pos="6946"/>
                              </w:tabs>
                              <w:spacing w:line="256" w:lineRule="auto"/>
                              <w:jc w:val="center"/>
                              <w:rPr>
                                <w:kern w:val="2"/>
                                <w:szCs w:val="24"/>
                                <w14:ligatures w14:val="standardContextual"/>
                              </w:rPr>
                            </w:pPr>
                            <w:r>
                              <w:rPr>
                                <w:kern w:val="2"/>
                                <w:szCs w:val="24"/>
                                <w14:ligatures w14:val="standardContextual"/>
                              </w:rPr>
                              <w:t>2</w:t>
                            </w:r>
                          </w:p>
                        </w:tc>
                        <w:tc>
                          <w:tcPr>
                            <w:tcW w:w="1161" w:type="dxa"/>
                            <w:tcBorders>
                              <w:top w:val="single" w:sz="4" w:space="0" w:color="auto"/>
                              <w:left w:val="single" w:sz="4" w:space="0" w:color="auto"/>
                              <w:bottom w:val="single" w:sz="4" w:space="0" w:color="auto"/>
                              <w:right w:val="single" w:sz="4" w:space="0" w:color="auto"/>
                            </w:tcBorders>
                            <w:hideMark/>
                          </w:tcPr>
                          <w:p w14:paraId="06FB73F5" w14:textId="77777777">
                            <w:pPr>
                              <w:tabs>
                                <w:tab w:val="left" w:pos="6946"/>
                              </w:tabs>
                              <w:spacing w:line="256" w:lineRule="auto"/>
                              <w:jc w:val="center"/>
                              <w:rPr>
                                <w:kern w:val="2"/>
                                <w:szCs w:val="24"/>
                                <w14:ligatures w14:val="standardContextual"/>
                              </w:rPr>
                            </w:pPr>
                            <w:r>
                              <w:rPr>
                                <w:kern w:val="2"/>
                                <w:szCs w:val="24"/>
                                <w14:ligatures w14:val="standardContextual"/>
                              </w:rPr>
                              <w:t>3/64</w:t>
                            </w:r>
                          </w:p>
                        </w:tc>
                        <w:tc>
                          <w:tcPr>
                            <w:tcW w:w="2573" w:type="dxa"/>
                            <w:gridSpan w:val="2"/>
                            <w:tcBorders>
                              <w:top w:val="single" w:sz="4" w:space="0" w:color="auto"/>
                              <w:left w:val="single" w:sz="4" w:space="0" w:color="auto"/>
                              <w:bottom w:val="single" w:sz="4" w:space="0" w:color="auto"/>
                              <w:right w:val="single" w:sz="4" w:space="0" w:color="auto"/>
                            </w:tcBorders>
                            <w:hideMark/>
                          </w:tcPr>
                          <w:p w14:paraId="779C22CA" w14:textId="0FD71D7B">
                            <w:pPr>
                              <w:tabs>
                                <w:tab w:val="left" w:pos="6946"/>
                              </w:tabs>
                              <w:spacing w:line="256" w:lineRule="auto"/>
                              <w:jc w:val="center"/>
                              <w:rPr>
                                <w:kern w:val="2"/>
                                <w:szCs w:val="24"/>
                                <w14:ligatures w14:val="standardContextual"/>
                              </w:rPr>
                            </w:pPr>
                            <w:r>
                              <w:rPr>
                                <w:kern w:val="2"/>
                                <w:szCs w:val="24"/>
                                <w14:ligatures w14:val="standardContextual"/>
                              </w:rPr>
                              <w:t>8700,00</w:t>
                            </w:r>
                          </w:p>
                        </w:tc>
                      </w:tr>
                      <w:tr w14:paraId="291A3181" w14:textId="77777777">
                        <w:tc>
                          <w:tcPr>
                            <w:tcW w:w="4700" w:type="dxa"/>
                            <w:gridSpan w:val="2"/>
                            <w:tcBorders>
                              <w:top w:val="single" w:sz="4" w:space="0" w:color="auto"/>
                              <w:left w:val="single" w:sz="4" w:space="0" w:color="auto"/>
                              <w:bottom w:val="single" w:sz="4" w:space="0" w:color="auto"/>
                              <w:right w:val="single" w:sz="4" w:space="0" w:color="auto"/>
                            </w:tcBorders>
                            <w:hideMark/>
                          </w:tcPr>
                          <w:p w14:paraId="73DB2306" w14:textId="77777777">
                            <w:pPr>
                              <w:tabs>
                                <w:tab w:val="left" w:pos="6946"/>
                              </w:tabs>
                              <w:snapToGrid w:val="0"/>
                              <w:spacing w:line="256" w:lineRule="auto"/>
                              <w:jc w:val="center"/>
                              <w:rPr>
                                <w:b/>
                                <w:kern w:val="2"/>
                                <w:szCs w:val="24"/>
                                <w14:ligatures w14:val="standardContextual"/>
                              </w:rPr>
                            </w:pPr>
                            <w:r>
                              <w:rPr>
                                <w:b/>
                                <w:kern w:val="2"/>
                                <w:szCs w:val="24"/>
                                <w14:ligatures w14:val="standardContextual"/>
                              </w:rPr>
                              <w:t>Iš viso:</w:t>
                            </w:r>
                          </w:p>
                        </w:tc>
                        <w:tc>
                          <w:tcPr>
                            <w:tcW w:w="1227" w:type="dxa"/>
                            <w:tcBorders>
                              <w:top w:val="single" w:sz="4" w:space="0" w:color="auto"/>
                              <w:left w:val="single" w:sz="4" w:space="0" w:color="auto"/>
                              <w:bottom w:val="single" w:sz="4" w:space="0" w:color="auto"/>
                              <w:right w:val="single" w:sz="4" w:space="0" w:color="auto"/>
                            </w:tcBorders>
                            <w:hideMark/>
                          </w:tcPr>
                          <w:p w14:paraId="38DBA301" w14:textId="77777777">
                            <w:pPr>
                              <w:tabs>
                                <w:tab w:val="left" w:pos="6946"/>
                              </w:tabs>
                              <w:spacing w:line="256" w:lineRule="auto"/>
                              <w:jc w:val="center"/>
                              <w:rPr>
                                <w:b/>
                                <w:kern w:val="2"/>
                                <w:szCs w:val="24"/>
                                <w14:ligatures w14:val="standardContextual"/>
                              </w:rPr>
                            </w:pPr>
                            <w:r>
                              <w:rPr>
                                <w:b/>
                                <w:kern w:val="2"/>
                                <w:szCs w:val="24"/>
                                <w14:ligatures w14:val="standardContextual"/>
                              </w:rPr>
                              <w:t>23</w:t>
                            </w:r>
                          </w:p>
                        </w:tc>
                        <w:tc>
                          <w:tcPr>
                            <w:tcW w:w="1161" w:type="dxa"/>
                            <w:tcBorders>
                              <w:top w:val="single" w:sz="4" w:space="0" w:color="auto"/>
                              <w:left w:val="single" w:sz="4" w:space="0" w:color="auto"/>
                              <w:bottom w:val="single" w:sz="4" w:space="0" w:color="auto"/>
                              <w:right w:val="single" w:sz="4" w:space="0" w:color="auto"/>
                            </w:tcBorders>
                          </w:tcPr>
                          <w:p w14:paraId="5D0920B9" w14:textId="77777777">
                            <w:pPr>
                              <w:tabs>
                                <w:tab w:val="left" w:pos="6946"/>
                              </w:tabs>
                              <w:spacing w:line="256" w:lineRule="auto"/>
                              <w:jc w:val="center"/>
                              <w:rPr>
                                <w:b/>
                                <w:kern w:val="2"/>
                                <w:szCs w:val="24"/>
                                <w14:ligatures w14:val="standardContextual"/>
                              </w:rPr>
                            </w:pPr>
                          </w:p>
                        </w:tc>
                        <w:tc>
                          <w:tcPr>
                            <w:tcW w:w="2573" w:type="dxa"/>
                            <w:gridSpan w:val="2"/>
                            <w:tcBorders>
                              <w:top w:val="single" w:sz="4" w:space="0" w:color="auto"/>
                              <w:left w:val="single" w:sz="4" w:space="0" w:color="auto"/>
                              <w:bottom w:val="single" w:sz="4" w:space="0" w:color="auto"/>
                              <w:right w:val="single" w:sz="4" w:space="0" w:color="auto"/>
                            </w:tcBorders>
                            <w:hideMark/>
                          </w:tcPr>
                          <w:p w14:paraId="42393E5C" w14:textId="492DFE16">
                            <w:pPr>
                              <w:spacing w:line="256" w:lineRule="auto"/>
                              <w:jc w:val="center"/>
                              <w:rPr>
                                <w:b/>
                                <w:bCs/>
                                <w:kern w:val="2"/>
                                <w:szCs w:val="24"/>
                                <w14:ligatures w14:val="standardContextual"/>
                              </w:rPr>
                            </w:pPr>
                            <w:r>
                              <w:rPr>
                                <w:b/>
                                <w:bCs/>
                                <w:kern w:val="2"/>
                                <w:szCs w:val="24"/>
                                <w14:ligatures w14:val="standardContextual"/>
                              </w:rPr>
                              <w:t>100000,00</w:t>
                            </w:r>
                          </w:p>
                        </w:tc>
                      </w:tr>
                    </w:tbl>
                    <w:p w14:paraId="6CE9F2C9" w14:textId="77777777">
                      <w:pPr>
                        <w:ind w:firstLine="851"/>
                        <w:jc w:val="both"/>
                        <w:rPr>
                          <w:szCs w:val="24"/>
                        </w:rPr>
                      </w:pPr>
                    </w:p>
                    <w:p w14:paraId="6613E973" w14:textId="77777777">
                      <w:pPr>
                        <w:ind w:firstLine="851"/>
                        <w:jc w:val="both"/>
                        <w:rPr>
                          <w:szCs w:val="24"/>
                          <w:lang w:eastAsia="lt-LT"/>
                        </w:rPr>
                      </w:pPr>
                    </w:p>
                  </w:sdtContent>
                </w:sdt>
              </w:sdtContent>
            </w:sdt>
            <w:sdt>
              <w:sdtPr>
                <w:alias w:val="skyrius"/>
                <w:tag w:val="part_b953d081ab634f0890e39ce9fa3058dd"/>
                <w:lock w:val="sdtLocked"/>
                <w:richText/>
              </w:sdtPr>
              <w:sdtContent>
                <w:p w14:paraId="24EFD84A" w14:textId="77777777">
                  <w:pPr>
                    <w:widowControl w:val="0"/>
                    <w:tabs>
                      <w:tab w:val="left" w:pos="0"/>
                    </w:tabs>
                    <w:suppressAutoHyphens/>
                    <w:jc w:val="center"/>
                    <w:rPr>
                      <w:b/>
                      <w:szCs w:val="24"/>
                    </w:rPr>
                  </w:pPr>
                  <w:sdt>
                    <w:sdtPr>
                      <w:alias w:val="Numeris"/>
                      <w:tag w:val="nr_b953d081ab634f0890e39ce9fa3058dd"/>
                      <w:lock w:val="sdtLocked"/>
                      <w:richText/>
                    </w:sdtPr>
                    <w:sdtContent>
                      <w:r>
                        <w:rPr>
                          <w:b/>
                          <w:szCs w:val="24"/>
                        </w:rPr>
                        <w:t>IV</w:t>
                      </w:r>
                    </w:sdtContent>
                  </w:sdt>
                  <w:r>
                    <w:rPr>
                      <w:b/>
                      <w:szCs w:val="24"/>
                    </w:rPr>
                    <w:t xml:space="preserve"> SKYRIUS</w:t>
                  </w:r>
                </w:p>
                <w:p w14:paraId="20495DDC" w14:textId="77777777">
                  <w:pPr>
                    <w:jc w:val="center"/>
                    <w:rPr>
                      <w:b/>
                      <w:szCs w:val="24"/>
                    </w:rPr>
                  </w:pPr>
                  <w:sdt>
                    <w:sdtPr>
                      <w:alias w:val="Pavadinimas"/>
                      <w:tag w:val="title_b953d081ab634f0890e39ce9fa3058dd"/>
                      <w:lock w:val="sdtLocked"/>
                      <w:richText/>
                    </w:sdtPr>
                    <w:sdtContent>
                      <w:r>
                        <w:rPr>
                          <w:b/>
                          <w:szCs w:val="24"/>
                        </w:rPr>
                        <w:t>UŽIMTUMO DIDINIMO PROGRAMOJE DALYVAUJANTYS SUBJEKTAI</w:t>
                      </w:r>
                    </w:sdtContent>
                  </w:sdt>
                </w:p>
                <w:p w14:paraId="39A285A2" w14:textId="77777777">
                  <w:pPr>
                    <w:ind w:firstLine="709"/>
                    <w:jc w:val="both"/>
                    <w:rPr>
                      <w:b/>
                      <w:szCs w:val="24"/>
                    </w:rPr>
                  </w:pPr>
                </w:p>
                <w:sdt>
                  <w:sdtPr>
                    <w:alias w:val="22 p."/>
                    <w:tag w:val="part_fa12c5d95dfd4e5faf69e59e9ef3fa11"/>
                    <w:lock w:val="sdtLocked"/>
                    <w:richText/>
                  </w:sdtPr>
                  <w:sdtContent>
                    <w:p w14:paraId="2AED60FC" w14:textId="77777777">
                      <w:pPr>
                        <w:ind w:firstLine="709"/>
                        <w:jc w:val="both"/>
                        <w:rPr>
                          <w:szCs w:val="24"/>
                        </w:rPr>
                      </w:pPr>
                      <w:sdt>
                        <w:sdtPr>
                          <w:alias w:val="Numeris"/>
                          <w:tag w:val="nr_fa12c5d95dfd4e5faf69e59e9ef3fa11"/>
                          <w:lock w:val="sdtLocked"/>
                          <w:richText/>
                        </w:sdtPr>
                        <w:sdtContent>
                          <w:r>
                            <w:rPr>
                              <w:szCs w:val="24"/>
                            </w:rPr>
                            <w:t>22</w:t>
                          </w:r>
                        </w:sdtContent>
                      </w:sdt>
                      <w:r>
                        <w:rPr>
                          <w:szCs w:val="24"/>
                        </w:rPr>
                        <w:t xml:space="preserve">. Programoje dalyvaus Aprašo 6.4 punkte nurodyti subjektai.  </w:t>
                      </w:r>
                    </w:p>
                    <w:p w14:paraId="6FAE61CF" w14:textId="77777777">
                      <w:pPr>
                        <w:widowControl w:val="0"/>
                        <w:tabs>
                          <w:tab w:val="left" w:pos="1418"/>
                        </w:tabs>
                        <w:jc w:val="both"/>
                        <w:rPr>
                          <w:rFonts w:eastAsia="Calibri"/>
                          <w:b/>
                          <w:szCs w:val="24"/>
                        </w:rPr>
                      </w:pPr>
                    </w:p>
                  </w:sdtContent>
                </w:sdt>
              </w:sdtContent>
            </w:sdt>
            <w:sdt>
              <w:sdtPr>
                <w:alias w:val="skyrius"/>
                <w:tag w:val="part_b80a5b970155478c8746a733050ed272"/>
                <w:lock w:val="sdtLocked"/>
                <w:richText/>
              </w:sdtPr>
              <w:sdtContent>
                <w:p w14:paraId="0FEB403B" w14:textId="77777777">
                  <w:pPr>
                    <w:jc w:val="center"/>
                    <w:rPr>
                      <w:b/>
                      <w:szCs w:val="24"/>
                    </w:rPr>
                  </w:pPr>
                  <w:sdt>
                    <w:sdtPr>
                      <w:alias w:val="Numeris"/>
                      <w:tag w:val="nr_b80a5b970155478c8746a733050ed272"/>
                      <w:lock w:val="sdtLocked"/>
                      <w:richText/>
                    </w:sdtPr>
                    <w:sdtContent>
                      <w:r>
                        <w:rPr>
                          <w:b/>
                          <w:szCs w:val="24"/>
                        </w:rPr>
                        <w:t>V</w:t>
                      </w:r>
                    </w:sdtContent>
                  </w:sdt>
                  <w:r>
                    <w:rPr>
                      <w:b/>
                      <w:szCs w:val="24"/>
                    </w:rPr>
                    <w:t xml:space="preserve"> SKYRIUS</w:t>
                  </w:r>
                </w:p>
                <w:p w14:paraId="4F0BDEFD" w14:textId="77777777">
                  <w:pPr>
                    <w:jc w:val="center"/>
                    <w:rPr>
                      <w:b/>
                      <w:szCs w:val="24"/>
                    </w:rPr>
                  </w:pPr>
                  <w:sdt>
                    <w:sdtPr>
                      <w:alias w:val="Pavadinimas"/>
                      <w:tag w:val="title_b80a5b970155478c8746a733050ed272"/>
                      <w:lock w:val="sdtLocked"/>
                      <w:richText/>
                    </w:sdtPr>
                    <w:sdtContent>
                      <w:r>
                        <w:rPr>
                          <w:b/>
                          <w:szCs w:val="24"/>
                        </w:rPr>
                        <w:t>UŽIMTUMO DIDINIMO PROGRAMOS ĮGYVENDINIMO ETAPAI</w:t>
                      </w:r>
                    </w:sdtContent>
                  </w:sdt>
                </w:p>
                <w:p w14:paraId="15767BA9" w14:textId="77777777">
                  <w:pPr>
                    <w:ind w:firstLine="709"/>
                    <w:jc w:val="both"/>
                    <w:rPr>
                      <w:color w:val="000000"/>
                      <w:szCs w:val="24"/>
                      <w:lang w:eastAsia="lt-LT"/>
                    </w:rPr>
                  </w:pPr>
                </w:p>
                <w:sdt>
                  <w:sdtPr>
                    <w:alias w:val="23 p."/>
                    <w:tag w:val="part_e24ce67cf92d4af5b4f345cec235e975"/>
                    <w:lock w:val="sdtLocked"/>
                    <w:richText/>
                  </w:sdtPr>
                  <w:sdtContent>
                    <w:p w14:paraId="29CE170E" w14:textId="77777777">
                      <w:pPr>
                        <w:ind w:firstLine="709"/>
                        <w:jc w:val="both"/>
                        <w:rPr>
                          <w:color w:val="000000"/>
                          <w:szCs w:val="24"/>
                          <w:lang w:eastAsia="lt-LT"/>
                        </w:rPr>
                      </w:pPr>
                      <w:sdt>
                        <w:sdtPr>
                          <w:alias w:val="Numeris"/>
                          <w:tag w:val="nr_e24ce67cf92d4af5b4f345cec235e975"/>
                          <w:lock w:val="sdtLocked"/>
                          <w:richText/>
                        </w:sdtPr>
                        <w:sdtContent>
                          <w:r>
                            <w:rPr>
                              <w:color w:val="000000"/>
                              <w:szCs w:val="24"/>
                              <w:lang w:eastAsia="lt-LT"/>
                            </w:rPr>
                            <w:t>23</w:t>
                          </w:r>
                        </w:sdtContent>
                      </w:sdt>
                      <w:r>
                        <w:rPr>
                          <w:color w:val="000000"/>
                          <w:szCs w:val="24"/>
                          <w:lang w:eastAsia="lt-LT"/>
                        </w:rPr>
                        <w:t>. Visi Programos įgyvendinimo etapai bus vykdomi taip, kaip jie yra nurodyti Aprašo 6.6. punkte.</w:t>
                      </w:r>
                    </w:p>
                  </w:sdtContent>
                </w:sdt>
                <w:sdt>
                  <w:sdtPr>
                    <w:alias w:val="24 p."/>
                    <w:tag w:val="part_6faac557d37b4f77a2e06cf0629c186b"/>
                    <w:lock w:val="sdtLocked"/>
                    <w:richText/>
                  </w:sdtPr>
                  <w:sdtContent>
                    <w:p w14:paraId="6BB156C5" w14:textId="77777777">
                      <w:pPr>
                        <w:ind w:firstLine="709"/>
                        <w:jc w:val="both"/>
                        <w:rPr>
                          <w:color w:val="000000"/>
                          <w:szCs w:val="24"/>
                          <w:lang w:eastAsia="lt-LT"/>
                        </w:rPr>
                      </w:pPr>
                      <w:sdt>
                        <w:sdtPr>
                          <w:alias w:val="Numeris"/>
                          <w:tag w:val="nr_6faac557d37b4f77a2e06cf0629c186b"/>
                          <w:lock w:val="sdtLocked"/>
                          <w:richText/>
                        </w:sdtPr>
                        <w:sdtContent>
                          <w:r>
                            <w:rPr>
                              <w:color w:val="000000"/>
                              <w:szCs w:val="24"/>
                              <w:lang w:eastAsia="lt-LT"/>
                            </w:rPr>
                            <w:t>24</w:t>
                          </w:r>
                        </w:sdtContent>
                      </w:sdt>
                      <w:r>
                        <w:rPr>
                          <w:color w:val="000000"/>
                          <w:szCs w:val="24"/>
                          <w:lang w:eastAsia="lt-LT"/>
                        </w:rPr>
                        <w:t xml:space="preserve">. </w:t>
                      </w:r>
                      <w:r>
                        <w:rPr>
                          <w:szCs w:val="24"/>
                        </w:rPr>
                        <w:t xml:space="preserve">Radviliškio rajono savivaldybės administracijos Socialinės paramos skyriaus vyriausiasis specialistas (Priemonių koordinatorius ir Atvejo vadybininkas) </w:t>
                      </w:r>
                      <w:r>
                        <w:rPr>
                          <w:color w:val="000000"/>
                          <w:szCs w:val="24"/>
                        </w:rPr>
                        <w:t>atliks visus Aprašo 6.6. punkte nurodytus veiksmus.</w:t>
                      </w:r>
                    </w:p>
                  </w:sdtContent>
                </w:sdt>
                <w:sdt>
                  <w:sdtPr>
                    <w:alias w:val="25 p."/>
                    <w:tag w:val="part_cbd298dadc814719a73fdf2030b121fa"/>
                    <w:lock w:val="sdtLocked"/>
                    <w:richText/>
                  </w:sdtPr>
                  <w:sdtContent>
                    <w:p w14:paraId="019A2CD1" w14:textId="4710D467">
                      <w:pPr>
                        <w:ind w:firstLine="709"/>
                        <w:jc w:val="both"/>
                        <w:rPr>
                          <w:color w:val="000000"/>
                          <w:szCs w:val="24"/>
                          <w:lang w:eastAsia="lt-LT"/>
                        </w:rPr>
                      </w:pPr>
                      <w:sdt>
                        <w:sdtPr>
                          <w:alias w:val="Numeris"/>
                          <w:tag w:val="nr_cbd298dadc814719a73fdf2030b121fa"/>
                          <w:lock w:val="sdtLocked"/>
                          <w:richText/>
                        </w:sdtPr>
                        <w:sdtContent>
                          <w:r>
                            <w:rPr>
                              <w:color w:val="000000"/>
                              <w:szCs w:val="24"/>
                              <w:lang w:eastAsia="lt-LT"/>
                            </w:rPr>
                            <w:t>25</w:t>
                          </w:r>
                        </w:sdtContent>
                      </w:sdt>
                      <w:r>
                        <w:rPr>
                          <w:color w:val="000000"/>
                          <w:szCs w:val="24"/>
                        </w:rPr>
                        <w:t>. Programos įgyvendinimui būtini teisės aktai tvirtinami Savivaldybės administracijos direktoriaus įsakymu.</w:t>
                      </w:r>
                    </w:p>
                    <w:p w14:paraId="12B5F5A4" w14:textId="77777777">
                      <w:pPr>
                        <w:ind w:firstLine="709"/>
                        <w:jc w:val="both"/>
                        <w:rPr>
                          <w:color w:val="000000"/>
                          <w:szCs w:val="24"/>
                        </w:rPr>
                      </w:pPr>
                    </w:p>
                  </w:sdtContent>
                </w:sdt>
              </w:sdtContent>
            </w:sdt>
            <w:sdt>
              <w:sdtPr>
                <w:alias w:val="skyrius"/>
                <w:tag w:val="part_811cbfda4eb345a4abaa12dbab01c350"/>
                <w:lock w:val="sdtLocked"/>
                <w:richText/>
              </w:sdtPr>
              <w:sdtContent>
                <w:p w14:paraId="699D5265" w14:textId="77777777">
                  <w:pPr>
                    <w:jc w:val="center"/>
                    <w:rPr>
                      <w:b/>
                      <w:szCs w:val="24"/>
                    </w:rPr>
                  </w:pPr>
                  <w:sdt>
                    <w:sdtPr>
                      <w:alias w:val="Numeris"/>
                      <w:tag w:val="nr_811cbfda4eb345a4abaa12dbab01c350"/>
                      <w:lock w:val="sdtLocked"/>
                      <w:richText/>
                    </w:sdtPr>
                    <w:sdtContent>
                      <w:r>
                        <w:rPr>
                          <w:b/>
                          <w:szCs w:val="24"/>
                        </w:rPr>
                        <w:t>VI</w:t>
                      </w:r>
                    </w:sdtContent>
                  </w:sdt>
                  <w:r>
                    <w:rPr>
                      <w:b/>
                      <w:szCs w:val="24"/>
                    </w:rPr>
                    <w:t xml:space="preserve"> SKYRIUS </w:t>
                  </w:r>
                </w:p>
                <w:p w14:paraId="536ECC69" w14:textId="77777777">
                  <w:pPr>
                    <w:jc w:val="center"/>
                    <w:rPr>
                      <w:b/>
                      <w:szCs w:val="24"/>
                    </w:rPr>
                  </w:pPr>
                  <w:sdt>
                    <w:sdtPr>
                      <w:alias w:val="Pavadinimas"/>
                      <w:tag w:val="title_811cbfda4eb345a4abaa12dbab01c350"/>
                      <w:lock w:val="sdtLocked"/>
                      <w:richText/>
                    </w:sdtPr>
                    <w:sdtContent>
                      <w:r>
                        <w:rPr>
                          <w:b/>
                          <w:szCs w:val="24"/>
                        </w:rPr>
                        <w:t>PROGRAMOS ĮGYVENDINIMO PRIEŽIŪRA IR ĮVERTINIMAS</w:t>
                      </w:r>
                    </w:sdtContent>
                  </w:sdt>
                </w:p>
                <w:p w14:paraId="5CA4C6E3" w14:textId="77777777">
                  <w:pPr>
                    <w:jc w:val="center"/>
                    <w:rPr>
                      <w:b/>
                      <w:szCs w:val="24"/>
                    </w:rPr>
                  </w:pPr>
                </w:p>
                <w:sdt>
                  <w:sdtPr>
                    <w:alias w:val="26 p."/>
                    <w:tag w:val="part_538643a2cb424072bfe808643f2da08c"/>
                    <w:lock w:val="sdtLocked"/>
                    <w:richText/>
                  </w:sdtPr>
                  <w:sdtContent>
                    <w:p w14:paraId="060FD76D" w14:textId="77777777">
                      <w:pPr>
                        <w:tabs>
                          <w:tab w:val="left" w:pos="1134"/>
                        </w:tabs>
                        <w:ind w:firstLine="709"/>
                        <w:jc w:val="both"/>
                        <w:rPr>
                          <w:b/>
                          <w:szCs w:val="24"/>
                        </w:rPr>
                      </w:pPr>
                      <w:sdt>
                        <w:sdtPr>
                          <w:alias w:val="Numeris"/>
                          <w:tag w:val="nr_538643a2cb424072bfe808643f2da08c"/>
                          <w:lock w:val="sdtLocked"/>
                          <w:richText/>
                        </w:sdtPr>
                        <w:sdtContent>
                          <w:r>
                            <w:rPr>
                              <w:szCs w:val="24"/>
                            </w:rPr>
                            <w:t>26</w:t>
                          </w:r>
                        </w:sdtContent>
                      </w:sdt>
                      <w:r>
                        <w:rPr>
                          <w:szCs w:val="24"/>
                        </w:rPr>
                        <w:t>.</w:t>
                        <w:tab/>
                        <w:t>Programos įgyvendinimo priežiūrą ir vertinimą bei tikslinimą pagal kintančias aplinkybes vykdo rajono Savivaldybės administracijos Socialinės paramos skyrius.</w:t>
                      </w:r>
                    </w:p>
                  </w:sdtContent>
                </w:sdt>
                <w:sdt>
                  <w:sdtPr>
                    <w:alias w:val="27 p."/>
                    <w:tag w:val="part_d1967d2bfe784245ac0ba076e6794981"/>
                    <w:lock w:val="sdtLocked"/>
                    <w:richText/>
                  </w:sdtPr>
                  <w:sdtContent>
                    <w:p w14:paraId="104CBF3B" w14:textId="12CAB85F">
                      <w:pPr>
                        <w:tabs>
                          <w:tab w:val="left" w:pos="1134"/>
                        </w:tabs>
                        <w:ind w:firstLine="709"/>
                        <w:jc w:val="both"/>
                        <w:rPr>
                          <w:b/>
                          <w:szCs w:val="24"/>
                        </w:rPr>
                      </w:pPr>
                      <w:sdt>
                        <w:sdtPr>
                          <w:alias w:val="Numeris"/>
                          <w:tag w:val="nr_d1967d2bfe784245ac0ba076e6794981"/>
                          <w:lock w:val="sdtLocked"/>
                          <w:richText/>
                        </w:sdtPr>
                        <w:sdtContent>
                          <w:r>
                            <w:rPr>
                              <w:szCs w:val="24"/>
                            </w:rPr>
                            <w:t>27</w:t>
                          </w:r>
                        </w:sdtContent>
                      </w:sdt>
                      <w:r>
                        <w:rPr>
                          <w:szCs w:val="24"/>
                        </w:rPr>
                        <w:t>.</w:t>
                        <w:tab/>
                        <w:t xml:space="preserve">Programos įgyvendinimo vertinimas atliekamas pagal Aprašo 6.7. papunktį. </w:t>
                      </w:r>
                    </w:p>
                    <w:p w14:paraId="6B50FE17" w14:textId="77777777">
                      <w:pPr>
                        <w:jc w:val="both"/>
                        <w:rPr>
                          <w:rFonts w:eastAsia="Calibri"/>
                          <w:szCs w:val="24"/>
                        </w:rPr>
                      </w:pPr>
                    </w:p>
                  </w:sdtContent>
                </w:sdt>
              </w:sdtContent>
            </w:sdt>
            <w:sdt>
              <w:sdtPr>
                <w:alias w:val="skyrius"/>
                <w:tag w:val="part_4fb4e9df0bb6428da68d90f9699c62bc"/>
                <w:lock w:val="sdtLocked"/>
                <w:richText/>
              </w:sdtPr>
              <w:sdtContent>
                <w:p w14:paraId="1D30B962" w14:textId="77777777">
                  <w:pPr>
                    <w:tabs>
                      <w:tab w:val="left" w:pos="2105"/>
                    </w:tabs>
                    <w:jc w:val="center"/>
                    <w:rPr>
                      <w:b/>
                      <w:szCs w:val="24"/>
                    </w:rPr>
                  </w:pPr>
                  <w:sdt>
                    <w:sdtPr>
                      <w:alias w:val="Numeris"/>
                      <w:tag w:val="nr_4fb4e9df0bb6428da68d90f9699c62bc"/>
                      <w:lock w:val="sdtLocked"/>
                      <w:richText/>
                    </w:sdtPr>
                    <w:sdtContent>
                      <w:r>
                        <w:rPr>
                          <w:b/>
                          <w:szCs w:val="24"/>
                        </w:rPr>
                        <w:t>VII</w:t>
                      </w:r>
                    </w:sdtContent>
                  </w:sdt>
                  <w:r>
                    <w:rPr>
                      <w:b/>
                      <w:szCs w:val="24"/>
                    </w:rPr>
                    <w:t xml:space="preserve"> SKYRIUS</w:t>
                  </w:r>
                </w:p>
                <w:p w14:paraId="7144B658" w14:textId="77777777">
                  <w:pPr>
                    <w:tabs>
                      <w:tab w:val="left" w:pos="2105"/>
                    </w:tabs>
                    <w:jc w:val="center"/>
                    <w:rPr>
                      <w:b/>
                      <w:szCs w:val="24"/>
                    </w:rPr>
                  </w:pPr>
                  <w:sdt>
                    <w:sdtPr>
                      <w:alias w:val="Pavadinimas"/>
                      <w:tag w:val="title_4fb4e9df0bb6428da68d90f9699c62bc"/>
                      <w:lock w:val="sdtLocked"/>
                      <w:richText/>
                    </w:sdtPr>
                    <w:sdtContent>
                      <w:r>
                        <w:rPr>
                          <w:b/>
                          <w:szCs w:val="24"/>
                        </w:rPr>
                        <w:t>VIEŠINIMAS</w:t>
                      </w:r>
                    </w:sdtContent>
                  </w:sdt>
                </w:p>
                <w:p w14:paraId="741454B0" w14:textId="77777777">
                  <w:pPr>
                    <w:tabs>
                      <w:tab w:val="left" w:pos="2105"/>
                    </w:tabs>
                    <w:jc w:val="center"/>
                    <w:rPr>
                      <w:szCs w:val="24"/>
                    </w:rPr>
                  </w:pPr>
                </w:p>
                <w:sdt>
                  <w:sdtPr>
                    <w:alias w:val="28 p."/>
                    <w:tag w:val="part_2f93f4d82ba24f51ae5ed9daa0f7ccd3"/>
                    <w:lock w:val="sdtLocked"/>
                    <w:richText/>
                  </w:sdtPr>
                  <w:sdtContent>
                    <w:p w14:paraId="4B01D48E" w14:textId="3D31AFD3">
                      <w:pPr>
                        <w:tabs>
                          <w:tab w:val="left" w:pos="1134"/>
                        </w:tabs>
                        <w:ind w:firstLine="709"/>
                        <w:jc w:val="both"/>
                        <w:rPr>
                          <w:rFonts w:eastAsia="ArialMT"/>
                          <w:szCs w:val="24"/>
                        </w:rPr>
                      </w:pPr>
                      <w:sdt>
                        <w:sdtPr>
                          <w:alias w:val="Numeris"/>
                          <w:tag w:val="nr_2f93f4d82ba24f51ae5ed9daa0f7ccd3"/>
                          <w:lock w:val="sdtLocked"/>
                          <w:richText/>
                        </w:sdtPr>
                        <w:sdtContent>
                          <w:r>
                            <w:rPr>
                              <w:rFonts w:eastAsia="ArialMT"/>
                              <w:szCs w:val="24"/>
                            </w:rPr>
                            <w:t>28</w:t>
                          </w:r>
                        </w:sdtContent>
                      </w:sdt>
                      <w:r>
                        <w:rPr>
                          <w:rFonts w:eastAsia="ArialMT"/>
                          <w:szCs w:val="24"/>
                        </w:rPr>
                        <w:t>.</w:t>
                        <w:tab/>
                      </w:r>
                      <w:r>
                        <w:rPr>
                          <w:szCs w:val="24"/>
                        </w:rPr>
                        <w:t xml:space="preserve">Programa, jos įgyvendinimo rezultatai ir lėšų panaudojimas skelbiami Savivaldybės administracijos </w:t>
                      </w:r>
                      <w:r>
                        <w:rPr>
                          <w:rFonts w:eastAsia="ArialMT"/>
                          <w:szCs w:val="24"/>
                        </w:rPr>
                        <w:t xml:space="preserve">interneto svetainėje </w:t>
                      </w:r>
                      <w:r>
                        <w:rPr>
                          <w:rFonts w:eastAsia="ArialMT"/>
                          <w:color w:val="0563C1"/>
                          <w:szCs w:val="24"/>
                          <w:u w:val="single"/>
                        </w:rPr>
                        <w:t>www.radviliskis.lt</w:t>
                      </w:r>
                      <w:r>
                        <w:rPr>
                          <w:rFonts w:eastAsia="ArialMT"/>
                          <w:szCs w:val="24"/>
                        </w:rPr>
                        <w:t>.</w:t>
                      </w:r>
                    </w:p>
                    <w:p w14:paraId="5F697127" w14:textId="77777777">
                      <w:pPr>
                        <w:tabs>
                          <w:tab w:val="left" w:pos="1134"/>
                        </w:tabs>
                        <w:ind w:firstLine="709"/>
                        <w:jc w:val="both"/>
                        <w:rPr>
                          <w:rFonts w:eastAsia="ArialMT"/>
                          <w:szCs w:val="24"/>
                        </w:rPr>
                      </w:pPr>
                    </w:p>
                    <w:p w14:paraId="204425BA" w14:textId="77777777">
                      <w:pPr>
                        <w:rPr>
                          <w:rFonts w:eastAsia="ArialMT"/>
                          <w:szCs w:val="24"/>
                        </w:rPr>
                      </w:pPr>
                    </w:p>
                  </w:sdtContent>
                </w:sdt>
              </w:sdtContent>
            </w:sdt>
          </w:sdtContent>
        </w:sdt>
        <w:sdt>
          <w:sdtPr>
            <w:alias w:val="pabaiga"/>
            <w:tag w:val="part_37c59c3b72d9441eab7eae36235861a2"/>
            <w:lock w:val="sdtLocked"/>
            <w:richText/>
          </w:sdtPr>
          <w:sdtContent>
            <w:p w14:paraId="716817C0" w14:textId="77777777">
              <w:pPr>
                <w:jc w:val="center"/>
                <w:rPr>
                  <w:szCs w:val="24"/>
                </w:rPr>
              </w:pPr>
              <w:r>
                <w:rPr>
                  <w:rFonts w:eastAsia="ArialMT"/>
                  <w:szCs w:val="24"/>
                </w:rPr>
                <w:t>__________________</w:t>
              </w:r>
            </w:p>
            <w:p w14:paraId="746662E7" w14:textId="77777777"/>
            <w:p w14:paraId="29CCF04D" w14:textId="77777777"/>
            <w:p w14:paraId="3D5FEBF0" w14:textId="77777777"/>
          </w:sdtContent>
        </w:sdt>
      </w:sdtContent>
    </w:sdt>
    <w:sdt>
      <w:sdtPr>
        <w:alias w:val="pr."/>
        <w:tag w:val="part_68f02b6daff64b73b87c30ad14c77202"/>
        <w:lock w:val="sdtLocked"/>
        <w:richText/>
      </w:sdtPr>
      <w:sdtContent>
        <w:sdt>
          <w:sdtPr>
            <w:alias w:val="Pavadinimas"/>
            <w:tag w:val="title_68f02b6daff64b73b87c30ad14c77202"/>
            <w:lock w:val="sdtLocked"/>
            <w:richText/>
          </w:sdtPr>
          <w:sdtContent>
            <w:p w14:paraId="517E653A" w14:textId="73BA866F">
              <w:pPr>
                <w:jc w:val="center"/>
                <w:rPr>
                  <w:b/>
                  <w:szCs w:val="24"/>
                </w:rPr>
              </w:pPr>
              <w:r>
                <w:rPr>
                  <w:b/>
                  <w:szCs w:val="24"/>
                </w:rPr>
                <w:t>RADVILIŠKIO RAJONO SAVIVALDYBĖS TARYBOS SPRENDIMO PROJEKTO</w:t>
              </w:r>
            </w:p>
            <w:p w14:paraId="78FE5049" w14:textId="25D26208">
              <w:pPr>
                <w:jc w:val="center"/>
                <w:rPr>
                  <w:b/>
                  <w:bCs/>
                  <w:caps/>
                  <w:color w:val="212529"/>
                  <w:shd w:val="clear" w:color="auto" w:fill="FFFFFF"/>
                </w:rPr>
              </w:pPr>
              <w:r>
                <w:rPr>
                  <w:b/>
                  <w:szCs w:val="24"/>
                </w:rPr>
                <w:t>„DĖL RADVILIŠKIO RAJONO SAVIVALDYBĖS 2025 METŲ UŽIMTUMO DIDINIMO PROGRAMOS PATVIRTINIMO</w:t>
              </w:r>
              <w:r>
                <w:rPr>
                  <w:b/>
                  <w:bCs/>
                  <w:caps/>
                  <w:color w:val="212529"/>
                  <w:shd w:val="clear" w:color="auto" w:fill="FFFFFF"/>
                </w:rPr>
                <w:t>“</w:t>
              </w:r>
            </w:p>
            <w:p w14:paraId="4F5B0824" w14:textId="77777777">
              <w:pPr>
                <w:jc w:val="center"/>
                <w:rPr>
                  <w:b/>
                  <w:bCs/>
                  <w:kern w:val="32"/>
                  <w:szCs w:val="24"/>
                </w:rPr>
              </w:pPr>
              <w:r>
                <w:rPr>
                  <w:b/>
                  <w:bCs/>
                  <w:kern w:val="32"/>
                  <w:szCs w:val="24"/>
                </w:rPr>
                <w:t>AIŠKINAMASIS RAŠTAS</w:t>
              </w:r>
            </w:p>
          </w:sdtContent>
        </w:sdt>
        <w:p w14:paraId="72541E39" w14:textId="77777777">
          <w:pPr>
            <w:rPr>
              <w:szCs w:val="24"/>
            </w:rPr>
          </w:pPr>
        </w:p>
        <w:p w14:paraId="2018660C" w14:textId="22C95648">
          <w:pPr>
            <w:jc w:val="center"/>
            <w:rPr>
              <w:szCs w:val="24"/>
            </w:rPr>
          </w:pPr>
          <w:r>
            <w:rPr>
              <w:szCs w:val="24"/>
            </w:rPr>
            <w:t>2025 m. sausio 24 d.</w:t>
          </w:r>
        </w:p>
        <w:p w14:paraId="630F9F37" w14:textId="77777777">
          <w:pPr>
            <w:jc w:val="center"/>
            <w:rPr>
              <w:szCs w:val="24"/>
            </w:rPr>
          </w:pPr>
          <w:r>
            <w:rPr>
              <w:szCs w:val="24"/>
            </w:rPr>
            <w:t>Radviliškis</w:t>
          </w:r>
        </w:p>
        <w:p w14:paraId="008BF650" w14:textId="77777777">
          <w:pPr>
            <w:rPr>
              <w:color w:val="FF0000"/>
            </w:rPr>
          </w:pPr>
        </w:p>
        <w:tbl>
          <w:tblPr>
            <w:tblW w:w="9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6"/>
            <w:gridCol w:w="4441"/>
            <w:gridCol w:w="4685"/>
          </w:tblGrid>
          <w:tr w14:paraId="227F0CCE" w14:textId="77777777">
            <w:tc>
              <w:tcPr>
                <w:tcW w:w="0" w:type="auto"/>
              </w:tcPr>
              <w:p w14:paraId="3FE394E5" w14:textId="77777777">
                <w:pPr>
                  <w:jc w:val="center"/>
                  <w:rPr>
                    <w:szCs w:val="24"/>
                  </w:rPr>
                </w:pPr>
                <w:r>
                  <w:rPr>
                    <w:szCs w:val="24"/>
                  </w:rPr>
                  <w:t>1.</w:t>
                </w:r>
              </w:p>
            </w:tc>
            <w:tc>
              <w:tcPr>
                <w:tcW w:w="4441" w:type="dxa"/>
              </w:tcPr>
              <w:p w14:paraId="18D3E571" w14:textId="77777777">
                <w:pPr>
                  <w:jc w:val="both"/>
                  <w:rPr>
                    <w:bCs/>
                    <w:szCs w:val="24"/>
                    <w:lang w:bidi="he-IL"/>
                  </w:rPr>
                </w:pPr>
                <w:r>
                  <w:rPr>
                    <w:bCs/>
                    <w:szCs w:val="24"/>
                    <w:lang w:bidi="he-IL"/>
                  </w:rPr>
                  <w:t xml:space="preserve">Parengto rengimą paskatinusios priežastys, </w:t>
                </w:r>
              </w:p>
              <w:p w14:paraId="1415E823" w14:textId="4A6AC1EA">
                <w:pPr>
                  <w:jc w:val="both"/>
                  <w:rPr>
                    <w:bCs/>
                    <w:szCs w:val="24"/>
                  </w:rPr>
                </w:pPr>
                <w:r>
                  <w:rPr>
                    <w:bCs/>
                    <w:szCs w:val="24"/>
                    <w:lang w:bidi="he-IL"/>
                  </w:rPr>
                  <w:t>parengto projekto tikslai, sprendimo projekto tikslai ir uždaviniai.</w:t>
                </w:r>
              </w:p>
            </w:tc>
            <w:tc>
              <w:tcPr>
                <w:tcW w:w="4685" w:type="dxa"/>
              </w:tcPr>
              <w:p w14:paraId="27773027" w14:textId="75367DF6">
                <w:pPr>
                  <w:jc w:val="both"/>
                  <w:rPr>
                    <w:lang w:eastAsia="lt-LT"/>
                  </w:rPr>
                </w:pPr>
                <w:r>
                  <w:rPr>
                    <w:shd w:val="clear" w:color="auto" w:fill="FFFFFF"/>
                  </w:rPr>
                  <w:t xml:space="preserve">Parengto sprendimo projekto tikslas – </w:t>
                </w:r>
                <w:r>
                  <w:t>siekiant įgyvendinti Lietuvos Respublikos užimtumo įstatymo (toliau – Įstatymas) 17 straipsnio nuostatą, kuria savivaldybės yra įpareigotos parengti bei įgyvendinti užimtumo didinimo programas,</w:t>
                </w:r>
                <w:r>
                  <w:rPr>
                    <w:shd w:val="clear" w:color="auto" w:fill="FFFFFF"/>
                  </w:rPr>
                  <w:t xml:space="preserve"> p</w:t>
                </w:r>
                <w:r>
                  <w:t xml:space="preserve">atvirtinti 2025 metų Radviliškio rajono savivaldybės užimtumo didinimo programą, teikiančią socialinę naudą vietos bendruomenei, skirtą palaikyti ir plėtoti vietos bendruomenės socialinę infrastruktūrą bei </w:t>
                </w:r>
                <w:r>
                  <w:rPr>
                    <w:lang w:eastAsia="lt-LT"/>
                  </w:rPr>
                  <w:t xml:space="preserve">suderinti užimtumo skatinimo ir motyvavimo paslaugų bei piniginės socialinės paramos teikimą, integruojant ilgą laiką nedirbusius asmenis į darbo rinką.                                                            </w:t>
                </w:r>
              </w:p>
            </w:tc>
          </w:tr>
          <w:tr w14:paraId="0E458AA6" w14:textId="77777777">
            <w:tc>
              <w:tcPr>
                <w:tcW w:w="0" w:type="auto"/>
              </w:tcPr>
              <w:p w14:paraId="7F1AFCFE" w14:textId="77777777">
                <w:pPr>
                  <w:jc w:val="center"/>
                  <w:rPr>
                    <w:szCs w:val="24"/>
                  </w:rPr>
                </w:pPr>
                <w:r>
                  <w:rPr>
                    <w:szCs w:val="24"/>
                  </w:rPr>
                  <w:t>2.</w:t>
                </w:r>
              </w:p>
            </w:tc>
            <w:tc>
              <w:tcPr>
                <w:tcW w:w="4441" w:type="dxa"/>
              </w:tcPr>
              <w:p w14:paraId="4968AB63" w14:textId="7C9E05BF">
                <w:pPr>
                  <w:tabs>
                    <w:tab w:val="left" w:pos="1134"/>
                  </w:tabs>
                  <w:jc w:val="both"/>
                  <w:rPr>
                    <w:bCs/>
                    <w:szCs w:val="24"/>
                    <w:lang w:bidi="he-IL"/>
                  </w:rPr>
                </w:pPr>
                <w:r>
                  <w:rPr>
                    <w:bCs/>
                    <w:szCs w:val="24"/>
                  </w:rPr>
                  <w:t>Projekto iniciatoriai (institucija, asmenys ar piliečių atstovai) ir rengėjai.</w:t>
                </w:r>
              </w:p>
            </w:tc>
            <w:tc>
              <w:tcPr>
                <w:tcW w:w="4685" w:type="dxa"/>
              </w:tcPr>
              <w:p w14:paraId="4F83CC68" w14:textId="77777777">
                <w:pPr>
                  <w:jc w:val="both"/>
                  <w:rPr>
                    <w:szCs w:val="24"/>
                  </w:rPr>
                </w:pPr>
                <w:r>
                  <w:t>Radviliškio rajono savivaldybės administracija.</w:t>
                </w:r>
              </w:p>
            </w:tc>
          </w:tr>
          <w:tr w14:paraId="177D54B6" w14:textId="77777777">
            <w:tc>
              <w:tcPr>
                <w:tcW w:w="0" w:type="auto"/>
              </w:tcPr>
              <w:p w14:paraId="1CE4C61E" w14:textId="77777777">
                <w:pPr>
                  <w:jc w:val="center"/>
                  <w:rPr>
                    <w:szCs w:val="24"/>
                  </w:rPr>
                </w:pPr>
                <w:r>
                  <w:rPr>
                    <w:szCs w:val="24"/>
                  </w:rPr>
                  <w:t>3.</w:t>
                </w:r>
              </w:p>
            </w:tc>
            <w:tc>
              <w:tcPr>
                <w:tcW w:w="4441" w:type="dxa"/>
              </w:tcPr>
              <w:p w14:paraId="0F912F23" w14:textId="77777777">
                <w:pPr>
                  <w:jc w:val="both"/>
                  <w:rPr>
                    <w:bCs/>
                    <w:szCs w:val="24"/>
                    <w:shd w:val="clear" w:color="auto" w:fill="FFFFFF"/>
                  </w:rPr>
                </w:pPr>
                <w:r>
                  <w:rPr>
                    <w:bCs/>
                    <w:szCs w:val="24"/>
                  </w:rPr>
                  <w:t>Kaip šiuo metu yra reguliuojami sprendimo projekte aptarti teisiniai santykiai.</w:t>
                </w:r>
              </w:p>
            </w:tc>
            <w:tc>
              <w:tcPr>
                <w:tcW w:w="4685" w:type="dxa"/>
              </w:tcPr>
              <w:p w14:paraId="46BD3F0F" w14:textId="6A5B1E2E">
                <w:pPr>
                  <w:jc w:val="both"/>
                </w:pPr>
                <w:r>
                  <w:rPr>
                    <w:shd w:val="clear" w:color="auto" w:fill="FFFFFF"/>
                  </w:rPr>
                  <w:t xml:space="preserve">Sprendimo projekte aptariami klausimai reguliuojami </w:t>
                </w:r>
                <w:r>
                  <w:t xml:space="preserve">Lietuvos Respublikos užimtumo įstatymo 17 ir 48 straipsniais, Užimtumo didinimo programų rengimo ir jų finansavimo tvarkos aprašu, patvirtintu Lietuvos Respublikos socialinės apsaugos ir darbo ministro 2024 m. spalio 24 d. įsakymu Nr. A1-705 „Dėl Lietuvos Respublikos socialinės apsaugos ir darbo ministro 2017 m. gegužės 23 d. įsakymo Nr. A1-257 „Dėl Užimtumo didinimo programų rengimo ir jų finansavimo tvarkos aprašo patvirtinimo“ pakeitimo“, </w:t>
                </w:r>
                <w:r>
                  <w:rPr>
                    <w:bCs/>
                  </w:rPr>
                  <w:t xml:space="preserve">Lietuvos Respublikos socialinės apsaugos ir darbo ministerijos ministro </w:t>
                </w:r>
                <w:r>
                  <w:t>2024 m. gruodžio 27 d. įsakymu Nr. A1-936 „Dėl Lietuvos Respublikos valstybės biudžeto specialių tikslinių dotacijų savivaldybių biudžetams 2025 metais savivaldybių patvirtintoms Užimtumo didinimo programoms įgyvendinti paskirstymo savivaldybių administracijoms ir jų panaudojimo tikslo pasiekimo 2025 metais vertinimo kriterijaus patvirtinimo“.</w:t>
                </w:r>
              </w:p>
              <w:p w14:paraId="4FCA1B12" w14:textId="5F68D120">
                <w:pPr>
                  <w:jc w:val="both"/>
                </w:pPr>
                <w:r>
                  <w:t>Užimtumo didinimo programa finansuojama iš Lietuvos Respublikos valstybės biudžeto specialių tikslinių dotacijų savivaldybių biudžetams lėšų. 2025 m. Lietuvos Respublikos valstybės biudžeto specialioji tikslinė dotacija Radviliškio rajono savivaldybės patvirtintai Užimtumo didinimo programai įgyvendinti yra 209,5 tūkst. Eurų.</w:t>
                </w:r>
              </w:p>
            </w:tc>
          </w:tr>
          <w:tr w14:paraId="4C83B6B6" w14:textId="77777777">
            <w:trPr>
              <w:trHeight w:val="3959"/>
            </w:trPr>
            <w:tc>
              <w:tcPr>
                <w:tcW w:w="0" w:type="auto"/>
              </w:tcPr>
              <w:p w14:paraId="3E27956C" w14:textId="77777777">
                <w:pPr>
                  <w:jc w:val="center"/>
                  <w:rPr>
                    <w:szCs w:val="24"/>
                  </w:rPr>
                </w:pPr>
                <w:r>
                  <w:rPr>
                    <w:szCs w:val="24"/>
                  </w:rPr>
                  <w:t>4.</w:t>
                </w:r>
              </w:p>
            </w:tc>
            <w:tc>
              <w:tcPr>
                <w:tcW w:w="4441" w:type="dxa"/>
              </w:tcPr>
              <w:p w14:paraId="0F9C18C5" w14:textId="554F6520">
                <w:pPr>
                  <w:jc w:val="both"/>
                  <w:rPr>
                    <w:bCs/>
                    <w:szCs w:val="24"/>
                    <w:shd w:val="clear" w:color="auto" w:fill="FFFFFF"/>
                  </w:rPr>
                </w:pPr>
                <w:r>
                  <w:rPr>
                    <w:bCs/>
                    <w:szCs w:val="24"/>
                  </w:rPr>
                  <w:t>Kokios siūlomos naujos teisinio reguliavimo nuostatos, kokių teigiamų rezultatų laukiama.</w:t>
                </w:r>
              </w:p>
              <w:p w14:paraId="726EEA72" w14:textId="77777777">
                <w:pPr>
                  <w:jc w:val="both"/>
                  <w:rPr>
                    <w:bCs/>
                    <w:szCs w:val="24"/>
                  </w:rPr>
                </w:pPr>
              </w:p>
              <w:p w14:paraId="2425100D" w14:textId="77777777">
                <w:pPr>
                  <w:jc w:val="both"/>
                  <w:rPr>
                    <w:bCs/>
                    <w:szCs w:val="24"/>
                  </w:rPr>
                </w:pPr>
              </w:p>
            </w:tc>
            <w:tc>
              <w:tcPr>
                <w:tcW w:w="4685" w:type="dxa"/>
              </w:tcPr>
              <w:p w14:paraId="235C6AA6" w14:textId="60F848C6">
                <w:pPr>
                  <w:widowControl w:val="0"/>
                  <w:tabs>
                    <w:tab w:val="left" w:pos="1418"/>
                  </w:tabs>
                  <w:jc w:val="both"/>
                  <w:rPr>
                    <w:lang w:eastAsia="lt-LT"/>
                  </w:rPr>
                </w:pPr>
                <w:r>
                  <w:t>Patvirtinus sprendimo projektą, bus sudaryta galimybė Programos tikslinių grupių asmenims ugdyti ir atnaujinti darbinius įgūdžius bei mažinti jų socialinę atskirtį</w:t>
                </w:r>
                <w:r>
                  <w:rPr>
                    <w:rFonts w:eastAsia="Calibri"/>
                  </w:rPr>
                  <w:t xml:space="preserve"> dėl nepakankamų piniginių lėšų, gauti ilgą laiką nedirbusiems jų motyvaciją dirbti skatinančias paslaugas. </w:t>
                </w:r>
                <w:r>
                  <w:rPr>
                    <w:rFonts w:eastAsia="Arial Unicode MS"/>
                  </w:rPr>
                  <w:t xml:space="preserve">Taip pat, </w:t>
                </w:r>
                <w:r>
                  <w:rPr>
                    <w:lang w:eastAsia="lt-LT"/>
                  </w:rPr>
                  <w:t>suderinus užimtumo skatinimo ir motyvavimo paslaugų bei piniginės socialinės paramos teikimą, planuojamas ilgą laiką nedirbusių asmenų integravimas į darbo rinką, siekiant palengvinant ilgą laiką nedirbusių asmenų perėjimą nuo nedarbo prie užimtumo darbo rinkoje.</w:t>
                </w:r>
              </w:p>
              <w:p w14:paraId="3EA450BB" w14:textId="06D65B9F">
                <w:pPr>
                  <w:jc w:val="both"/>
                  <w:rPr>
                    <w:szCs w:val="24"/>
                  </w:rPr>
                </w:pPr>
                <w:r>
                  <w:rPr>
                    <w:szCs w:val="24"/>
                  </w:rPr>
                  <w:t>2025 m. planuojama Paslaugas teikti 60 darbo rinkai (su galimybe kisti) besirengiančių asmenų, o esant poreikiui, Paslaugos bus teikiamos ir kitiems Užimtumo įstatymo 48 straipsnio 2 dalies 1–10 ir 12 punktuose nurodytiems asmenims. Pagal poreikį bus teikiami motyvaciniai, finansinio raštingumo mokymai, psichologo, teisininko, priklausomybių konsultanto, bus teikiamos socialinės, sveikatos, švietimo, palydėjimo, pavėžėjimo, palaikymo ir kitos Aprašo 6.5.1 papunktyje nurodytos paslaugos. Paslaugoms planuojama skirti apie 65,5 tūkst. Eur (su galimybe kisti).</w:t>
                </w:r>
              </w:p>
              <w:p w14:paraId="3CE58748" w14:textId="1FEE9D6D">
                <w:pPr>
                  <w:jc w:val="both"/>
                  <w:rPr>
                    <w:rFonts w:eastAsia="Calibri"/>
                    <w:szCs w:val="24"/>
                  </w:rPr>
                </w:pPr>
                <w:r>
                  <w:rPr>
                    <w:szCs w:val="24"/>
                  </w:rPr>
                  <w:t>2025 metais Priemonių įgyvendinimui planuojama įdarbinti 23 asmenis (su galimybe kisti).</w:t>
                </w:r>
                <w:r>
                  <w:rPr>
                    <w:szCs w:val="24"/>
                    <w:lang w:eastAsia="ar-SA"/>
                  </w:rPr>
                  <w:t xml:space="preserve"> </w:t>
                </w:r>
                <w:r>
                  <w:rPr>
                    <w:szCs w:val="24"/>
                  </w:rPr>
                  <w:t xml:space="preserve">Numatoma vidutinė laikinųjų darbų trukmė vienam asmeniui – iki 3 mėnesių (esant nenumatytoms sąlygoms, vidutinė trukmė gali keistis). Priemonių įgyvendinimui planuojama skirti 100 tūkst. eurų (su galimybe kisti). </w:t>
                </w:r>
                <w:r>
                  <w:rPr>
                    <w:szCs w:val="24"/>
                    <w:lang w:eastAsia="lt-LT"/>
                  </w:rPr>
                  <w:t>Programos vidutinė trukmė 1 asmeniui – 3 mėn. su galimybe pratęsti įdarbinimo sutarties terminą. S</w:t>
                </w:r>
                <w:r>
                  <w:rPr>
                    <w:rFonts w:eastAsia="Calibri"/>
                    <w:szCs w:val="24"/>
                  </w:rPr>
                  <w:t xml:space="preserve">u reikalingais pratęsimais – iki 6 mėn. ir ne ilgiau kaip iki 2024 m. lapkričio 30 d. </w:t>
                </w:r>
              </w:p>
            </w:tc>
          </w:tr>
          <w:tr w14:paraId="05556CE4" w14:textId="77777777">
            <w:tc>
              <w:tcPr>
                <w:tcW w:w="0" w:type="auto"/>
              </w:tcPr>
              <w:p w14:paraId="740550FC" w14:textId="77777777">
                <w:pPr>
                  <w:jc w:val="center"/>
                  <w:rPr>
                    <w:szCs w:val="24"/>
                  </w:rPr>
                </w:pPr>
                <w:r>
                  <w:rPr>
                    <w:szCs w:val="24"/>
                  </w:rPr>
                  <w:t>5.</w:t>
                </w:r>
              </w:p>
            </w:tc>
            <w:tc>
              <w:tcPr>
                <w:tcW w:w="4441" w:type="dxa"/>
              </w:tcPr>
              <w:p w14:paraId="0B00D0D5" w14:textId="61E75676">
                <w:pPr>
                  <w:jc w:val="both"/>
                  <w:rPr>
                    <w:bCs/>
                    <w:szCs w:val="24"/>
                  </w:rPr>
                </w:pPr>
                <w:r>
                  <w:rPr>
                    <w:bCs/>
                    <w:szCs w:val="24"/>
                  </w:rPr>
                  <w:t>Galimos neigiamos priimto sprendimo projekto pasekmės ir kokių priemonių reikėtų imtis, kad tokių pasekmių būtų išvengta.</w:t>
                </w:r>
              </w:p>
            </w:tc>
            <w:tc>
              <w:tcPr>
                <w:tcW w:w="4685" w:type="dxa"/>
              </w:tcPr>
              <w:p w14:paraId="39582377" w14:textId="77777777">
                <w:pPr>
                  <w:jc w:val="center"/>
                  <w:rPr>
                    <w:szCs w:val="24"/>
                  </w:rPr>
                </w:pPr>
                <w:r>
                  <w:rPr>
                    <w:szCs w:val="24"/>
                  </w:rPr>
                  <w:t>Priėmus sprendimą neigiamų pasekmių nebus.</w:t>
                </w:r>
              </w:p>
            </w:tc>
          </w:tr>
          <w:tr w14:paraId="2D8A6FF9" w14:textId="77777777">
            <w:tc>
              <w:tcPr>
                <w:tcW w:w="0" w:type="auto"/>
              </w:tcPr>
              <w:p w14:paraId="393F2671" w14:textId="77777777">
                <w:pPr>
                  <w:jc w:val="center"/>
                  <w:rPr>
                    <w:szCs w:val="24"/>
                  </w:rPr>
                </w:pPr>
                <w:r>
                  <w:rPr>
                    <w:szCs w:val="24"/>
                  </w:rPr>
                  <w:t>6.</w:t>
                </w:r>
              </w:p>
            </w:tc>
            <w:tc>
              <w:tcPr>
                <w:tcW w:w="4441" w:type="dxa"/>
              </w:tcPr>
              <w:p w14:paraId="46B29F0F" w14:textId="02ECE4E8">
                <w:pPr>
                  <w:jc w:val="both"/>
                  <w:rPr>
                    <w:szCs w:val="24"/>
                  </w:rPr>
                </w:pPr>
                <w:r>
                  <w:rPr>
                    <w:szCs w:val="24"/>
                  </w:rPr>
                  <w:t>Kokius teisės aktus būtina priimti, kokius galiojančius teisės aktus būtina pakeisti ar pripažinti netekusiais galios priėmus sprendimo projektą.</w:t>
                </w:r>
              </w:p>
            </w:tc>
            <w:tc>
              <w:tcPr>
                <w:tcW w:w="4685" w:type="dxa"/>
              </w:tcPr>
              <w:p w14:paraId="4D8CCC67" w14:textId="32CF36F3">
                <w:pPr>
                  <w:ind w:right="-1"/>
                  <w:jc w:val="both"/>
                  <w:rPr>
                    <w:szCs w:val="24"/>
                  </w:rPr>
                </w:pPr>
                <w:r>
                  <w:rPr>
                    <w:szCs w:val="24"/>
                  </w:rPr>
                  <w:t>Papildomų teisės aktų priimti nereikia, teisės aktų, kuriuos reikėtų pakeisti ir pripažinti netekusiais galios nėra.</w:t>
                </w:r>
              </w:p>
            </w:tc>
          </w:tr>
          <w:tr w14:paraId="2ED38ABB" w14:textId="77777777">
            <w:tc>
              <w:tcPr>
                <w:tcW w:w="0" w:type="auto"/>
              </w:tcPr>
              <w:p w14:paraId="32F67428" w14:textId="77777777">
                <w:pPr>
                  <w:jc w:val="center"/>
                  <w:rPr>
                    <w:szCs w:val="24"/>
                  </w:rPr>
                </w:pPr>
                <w:r>
                  <w:rPr>
                    <w:szCs w:val="24"/>
                  </w:rPr>
                  <w:t>7.</w:t>
                </w:r>
              </w:p>
            </w:tc>
            <w:tc>
              <w:tcPr>
                <w:tcW w:w="4441" w:type="dxa"/>
              </w:tcPr>
              <w:p w14:paraId="33D2EE0F" w14:textId="55164B4E">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Cs w:val="24"/>
                  </w:rPr>
                </w:pPr>
                <w:r>
                  <w:rPr>
                    <w:bCs/>
                    <w:szCs w:val="24"/>
                  </w:rPr>
                  <w:t>Sprendimo projektui įgyvendinti reikalingos lėšos, finansavimo šaltiniai.</w:t>
                </w:r>
              </w:p>
              <w:p w14:paraId="3E0392E3" w14:textId="77777777">
                <w:pPr>
                  <w:jc w:val="both"/>
                  <w:rPr>
                    <w:bCs/>
                    <w:szCs w:val="24"/>
                  </w:rPr>
                </w:pPr>
              </w:p>
            </w:tc>
            <w:tc>
              <w:tcPr>
                <w:tcW w:w="4685" w:type="dxa"/>
              </w:tcPr>
              <w:p w14:paraId="2A26D559" w14:textId="6D39D9E3">
                <w:pPr>
                  <w:tabs>
                    <w:tab w:val="left" w:pos="0"/>
                  </w:tabs>
                  <w:jc w:val="both"/>
                  <w:rPr>
                    <w:shd w:val="clear" w:color="auto" w:fill="FFFFFF"/>
                  </w:rPr>
                </w:pPr>
                <w:r>
                  <w:rPr>
                    <w:shd w:val="clear" w:color="auto" w:fill="FFFFFF"/>
                  </w:rPr>
                  <w:t xml:space="preserve">Sprendimui įgyvendinti yra skirta 209,5 tūkst. Eur </w:t>
                </w:r>
                <w:r>
                  <w:t>Lietuvos Respublikos valstybės biudžeto specialių tikslinių dotacijų savivaldybių biudžetams lėšų.</w:t>
                </w:r>
              </w:p>
            </w:tc>
          </w:tr>
          <w:tr w14:paraId="1BEE2E0A" w14:textId="77777777">
            <w:tc>
              <w:tcPr>
                <w:tcW w:w="0" w:type="auto"/>
              </w:tcPr>
              <w:p w14:paraId="047DE1C8" w14:textId="77777777">
                <w:pPr>
                  <w:jc w:val="center"/>
                  <w:rPr>
                    <w:szCs w:val="24"/>
                  </w:rPr>
                </w:pPr>
                <w:r>
                  <w:rPr>
                    <w:szCs w:val="24"/>
                  </w:rPr>
                  <w:t>8.</w:t>
                </w:r>
              </w:p>
            </w:tc>
            <w:tc>
              <w:tcPr>
                <w:tcW w:w="4441" w:type="dxa"/>
              </w:tcPr>
              <w:p w14:paraId="6C4B71D2" w14:textId="5353E3ED">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Cs w:val="24"/>
                  </w:rPr>
                </w:pPr>
                <w:r>
                  <w:rPr>
                    <w:bCs/>
                    <w:szCs w:val="24"/>
                  </w:rPr>
                  <w:t>Sprendimo projekto rengimo metu gauti specialistų vertinimai ir išvados.</w:t>
                </w:r>
              </w:p>
            </w:tc>
            <w:tc>
              <w:tcPr>
                <w:tcW w:w="4685" w:type="dxa"/>
              </w:tcPr>
              <w:p w14:paraId="255A8006" w14:textId="77777777">
                <w:pPr>
                  <w:jc w:val="center"/>
                  <w:rPr>
                    <w:szCs w:val="24"/>
                  </w:rPr>
                </w:pPr>
                <w:r>
                  <w:rPr>
                    <w:szCs w:val="24"/>
                  </w:rPr>
                  <w:t>-</w:t>
                </w:r>
              </w:p>
            </w:tc>
          </w:tr>
          <w:tr w14:paraId="0DEEAD39" w14:textId="77777777">
            <w:tc>
              <w:tcPr>
                <w:tcW w:w="0" w:type="auto"/>
              </w:tcPr>
              <w:p w14:paraId="1B68F087" w14:textId="77777777">
                <w:pPr>
                  <w:jc w:val="center"/>
                  <w:rPr>
                    <w:szCs w:val="24"/>
                  </w:rPr>
                </w:pPr>
                <w:r>
                  <w:rPr>
                    <w:szCs w:val="24"/>
                  </w:rPr>
                  <w:t>9.</w:t>
                </w:r>
              </w:p>
            </w:tc>
            <w:tc>
              <w:tcPr>
                <w:tcW w:w="4441" w:type="dxa"/>
              </w:tcPr>
              <w:p w14:paraId="23E03C0B" w14:textId="545BDDDA">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Cs w:val="24"/>
                  </w:rPr>
                </w:pPr>
                <w:r>
                  <w:rPr>
                    <w:bCs/>
                    <w:szCs w:val="24"/>
                  </w:rPr>
                  <w:t>Numatomo teisinio reguliavimo poveikio vertinimo rezultatai.</w:t>
                </w:r>
              </w:p>
            </w:tc>
            <w:tc>
              <w:tcPr>
                <w:tcW w:w="4685" w:type="dxa"/>
              </w:tcPr>
              <w:p w14:paraId="6C6C3308" w14:textId="77777777">
                <w:pPr>
                  <w:jc w:val="center"/>
                  <w:rPr>
                    <w:szCs w:val="24"/>
                  </w:rPr>
                </w:pPr>
                <w:r>
                  <w:rPr>
                    <w:szCs w:val="24"/>
                  </w:rPr>
                  <w:t>-</w:t>
                </w:r>
              </w:p>
            </w:tc>
          </w:tr>
          <w:tr w14:paraId="0DD7204C" w14:textId="77777777">
            <w:tc>
              <w:tcPr>
                <w:tcW w:w="0" w:type="auto"/>
              </w:tcPr>
              <w:p w14:paraId="18782C2A" w14:textId="77777777">
                <w:pPr>
                  <w:jc w:val="center"/>
                  <w:rPr>
                    <w:szCs w:val="24"/>
                  </w:rPr>
                </w:pPr>
                <w:r>
                  <w:rPr>
                    <w:szCs w:val="24"/>
                  </w:rPr>
                  <w:t>10.</w:t>
                </w:r>
              </w:p>
            </w:tc>
            <w:tc>
              <w:tcPr>
                <w:tcW w:w="4441" w:type="dxa"/>
              </w:tcPr>
              <w:p w14:paraId="55431389" w14:textId="635ADD78">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Cs w:val="24"/>
                    <w:lang w:eastAsia="lt-LT"/>
                  </w:rPr>
                </w:pPr>
                <w:r>
                  <w:rPr>
                    <w:rFonts w:eastAsia="Calibri"/>
                    <w:bCs/>
                    <w:szCs w:val="24"/>
                    <w:lang w:eastAsia="ar-SA"/>
                  </w:rPr>
                  <w:t>Sprendimo projekto antikorupcinis vertinimas.</w:t>
                </w:r>
              </w:p>
            </w:tc>
            <w:tc>
              <w:tcPr>
                <w:tcW w:w="4685" w:type="dxa"/>
              </w:tcPr>
              <w:p w14:paraId="0951452A" w14:textId="77777777">
                <w:pPr>
                  <w:rPr>
                    <w:szCs w:val="24"/>
                  </w:rPr>
                </w:pPr>
                <w:r>
                  <w:rPr>
                    <w:bCs/>
                    <w:iCs/>
                    <w:szCs w:val="24"/>
                  </w:rPr>
                  <w:t>Antikorupcinio vertinimo nereikia.</w:t>
                </w:r>
              </w:p>
            </w:tc>
          </w:tr>
          <w:tr w14:paraId="2296B7BB" w14:textId="77777777">
            <w:tc>
              <w:tcPr>
                <w:tcW w:w="0" w:type="auto"/>
                <w:tcBorders>
                  <w:bottom w:val="single" w:sz="4" w:space="0" w:color="auto"/>
                </w:tcBorders>
              </w:tcPr>
              <w:p w14:paraId="10FEB464" w14:textId="77777777">
                <w:pPr>
                  <w:jc w:val="center"/>
                  <w:rPr>
                    <w:szCs w:val="24"/>
                  </w:rPr>
                </w:pPr>
                <w:r>
                  <w:rPr>
                    <w:szCs w:val="24"/>
                  </w:rPr>
                  <w:t>11.</w:t>
                </w:r>
              </w:p>
            </w:tc>
            <w:tc>
              <w:tcPr>
                <w:tcW w:w="4441" w:type="dxa"/>
                <w:tcBorders>
                  <w:bottom w:val="single" w:sz="4" w:space="0" w:color="auto"/>
                </w:tcBorders>
              </w:tcPr>
              <w:p w14:paraId="165B1D53" w14:textId="049D2C6C">
                <w:pPr>
                  <w:tabs>
                    <w:tab w:val="left" w:pos="1134"/>
                  </w:tabs>
                  <w:rPr>
                    <w:rFonts w:eastAsia="Calibri"/>
                    <w:bCs/>
                    <w:szCs w:val="24"/>
                  </w:rPr>
                </w:pPr>
                <w:r>
                  <w:rPr>
                    <w:rFonts w:eastAsia="Calibri"/>
                    <w:bCs/>
                    <w:szCs w:val="24"/>
                  </w:rPr>
                  <w:t>Kiti, iniciatoriaus nuomone, reikalingi pagrindimai ir paaiškinimai.</w:t>
                </w:r>
              </w:p>
            </w:tc>
            <w:tc>
              <w:tcPr>
                <w:tcW w:w="4685" w:type="dxa"/>
                <w:tcBorders>
                  <w:bottom w:val="single" w:sz="4" w:space="0" w:color="auto"/>
                </w:tcBorders>
              </w:tcPr>
              <w:p w14:paraId="4080A715" w14:textId="77777777">
                <w:pPr>
                  <w:jc w:val="center"/>
                  <w:rPr>
                    <w:szCs w:val="24"/>
                  </w:rPr>
                </w:pPr>
                <w:r>
                  <w:rPr>
                    <w:szCs w:val="24"/>
                  </w:rPr>
                  <w:t>-</w:t>
                </w:r>
              </w:p>
            </w:tc>
          </w:tr>
          <w:tr w14:paraId="5C20AAFB" w14:textId="77777777">
            <w:tc>
              <w:tcPr>
                <w:tcW w:w="0" w:type="auto"/>
                <w:tcBorders>
                  <w:bottom w:val="single" w:sz="4" w:space="0" w:color="auto"/>
                </w:tcBorders>
              </w:tcPr>
              <w:p w14:paraId="0B135861" w14:textId="77777777">
                <w:pPr>
                  <w:jc w:val="center"/>
                  <w:rPr>
                    <w:szCs w:val="24"/>
                  </w:rPr>
                </w:pPr>
                <w:r>
                  <w:rPr>
                    <w:szCs w:val="24"/>
                  </w:rPr>
                  <w:t>12.</w:t>
                </w:r>
              </w:p>
            </w:tc>
            <w:tc>
              <w:tcPr>
                <w:tcW w:w="4441" w:type="dxa"/>
                <w:tcBorders>
                  <w:bottom w:val="single" w:sz="4" w:space="0" w:color="auto"/>
                </w:tcBorders>
              </w:tcPr>
              <w:p w14:paraId="003233BF" w14:textId="1CBDD38C">
                <w:pPr>
                  <w:tabs>
                    <w:tab w:val="left" w:pos="1134"/>
                  </w:tabs>
                  <w:rPr>
                    <w:rFonts w:eastAsia="Calibri"/>
                    <w:szCs w:val="24"/>
                  </w:rPr>
                </w:pPr>
                <w:r>
                  <w:rPr>
                    <w:rFonts w:eastAsia="Calibri"/>
                    <w:szCs w:val="24"/>
                  </w:rPr>
                  <w:t>Pridedami dokumentai.</w:t>
                </w:r>
              </w:p>
            </w:tc>
            <w:tc>
              <w:tcPr>
                <w:tcW w:w="4685" w:type="dxa"/>
                <w:tcBorders>
                  <w:bottom w:val="single" w:sz="4" w:space="0" w:color="auto"/>
                </w:tcBorders>
              </w:tcPr>
              <w:p w14:paraId="20F7C3D6" w14:textId="77777777">
                <w:pPr>
                  <w:jc w:val="center"/>
                  <w:rPr>
                    <w:szCs w:val="24"/>
                  </w:rPr>
                </w:pPr>
                <w:r>
                  <w:rPr>
                    <w:szCs w:val="24"/>
                  </w:rPr>
                  <w:t>-</w:t>
                </w:r>
              </w:p>
            </w:tc>
          </w:tr>
        </w:tbl>
        <w:p w14:paraId="106D706B" w14:textId="77777777">
          <w:pPr>
            <w:rPr>
              <w:color w:val="FF0000"/>
            </w:rPr>
          </w:pPr>
        </w:p>
        <w:p w14:paraId="48163313" w14:textId="77777777">
          <w:pPr>
            <w:rPr>
              <w:color w:val="FF0000"/>
            </w:rPr>
          </w:pPr>
        </w:p>
        <w:p w14:paraId="08768D17" w14:textId="77777777">
          <w:pPr>
            <w:rPr>
              <w:color w:val="FF0000"/>
            </w:rPr>
          </w:pPr>
        </w:p>
        <w:p w14:paraId="0F5F7404" w14:textId="77777777">
          <w:pPr>
            <w:jc w:val="both"/>
            <w:rPr>
              <w:szCs w:val="24"/>
            </w:rPr>
          </w:pPr>
          <w:r>
            <w:rPr>
              <w:szCs w:val="24"/>
            </w:rPr>
            <w:t>Radviliškio rajono savivaldybės administracijos</w:t>
          </w:r>
        </w:p>
        <w:p w14:paraId="5BF285D5" w14:textId="282FBCCD">
          <w:pPr>
            <w:jc w:val="both"/>
            <w:rPr>
              <w:szCs w:val="24"/>
            </w:rPr>
          </w:pPr>
          <w:r>
            <w:rPr>
              <w:szCs w:val="24"/>
            </w:rPr>
            <w:t>Socialinės paramos skyriaus vyriausioji specialistė</w:t>
            <w:tab/>
            <w:tab/>
            <w:t xml:space="preserve">                           Loreta Jocienė</w:t>
          </w:r>
        </w:p>
        <w:p w14:paraId="3262B250" w14:textId="77777777">
          <w:pPr>
            <w:rPr>
              <w:color w:val="FF0000"/>
            </w:rPr>
          </w:pPr>
        </w:p>
      </w:sdtContent>
    </w:sdt>
    <w:sectPr>
      <w:headerReference w:type="even" r:id="rId13"/>
      <w:headerReference w:type="default" r:id="rId14"/>
      <w:footerReference w:type="even" r:id="rId15"/>
      <w:footerReference w:type="default" r:id="rId16"/>
      <w:headerReference w:type="first" r:id="rId17"/>
      <w:footerReference w:type="first" r:id="rId18"/>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226B5D" w14:textId="77777777">
      <w:r>
        <w:separator/>
      </w:r>
    </w:p>
  </w:endnote>
  <w:endnote w:type="continuationSeparator" w:id="0">
    <w:p w14:paraId="19B9FA40"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HG Mincho Light J">
    <w:altName w:val="Calibri"/>
    <w:charset w:val="00"/>
    <w:family w:val="roman"/>
    <w:pitch w:val="default"/>
  </w:font>
  <w:font w:name="ArialMT">
    <w:altName w:val="MS Gothic"/>
    <w:panose1 w:val="00000000000000000000"/>
    <w:charset w:val="80"/>
    <w:family w:val="auto"/>
    <w:notTrueType/>
    <w:pitch w:val="default"/>
    <w:sig w:usb0="00000000" w:usb1="08070000" w:usb2="00000010" w:usb3="00000000" w:csb0="00020080"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253336"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593DD2"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BB9F8E" w14:textId="77777777">
    <w:pPr>
      <w:tabs>
        <w:tab w:val="center" w:pos="4819"/>
        <w:tab w:val="right" w:pos="9638"/>
      </w:tabs>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1FF89B" w14:textId="77777777">
    <w:pPr>
      <w:tabs>
        <w:tab w:val="center" w:pos="4819"/>
        <w:tab w:val="right" w:pos="9638"/>
      </w:tabs>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EFAD1E" w14:textId="77777777">
    <w:pPr>
      <w:tabs>
        <w:tab w:val="center" w:pos="4819"/>
        <w:tab w:val="right" w:pos="9638"/>
      </w:tabs>
    </w:pPr>
  </w:p>
</w:ftr>
</file>

<file path=word/footer6.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BAD8E5"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D43A8F" w14:textId="77777777">
      <w:r>
        <w:separator/>
      </w:r>
    </w:p>
  </w:footnote>
  <w:footnote w:type="continuationSeparator" w:id="0">
    <w:p w14:paraId="7FC50143"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824DA4"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78D1AC"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B7CBA2" w14:textId="77777777">
    <w:pPr>
      <w:tabs>
        <w:tab w:val="center" w:pos="4819"/>
        <w:tab w:val="right" w:pos="9638"/>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ABF509" w14:textId="77777777">
    <w:pPr>
      <w:tabs>
        <w:tab w:val="center" w:pos="4819"/>
        <w:tab w:val="right" w:pos="9638"/>
      </w:tabs>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390B5" w14:textId="77777777">
    <w:pPr>
      <w:tabs>
        <w:tab w:val="center" w:pos="4819"/>
        <w:tab w:val="right" w:pos="9638"/>
      </w:tabs>
      <w:jc w:val="center"/>
    </w:pPr>
    <w:r>
      <w:fldChar w:fldCharType="begin"/>
    </w:r>
    <w:r>
      <w:instrText>PAGE   \* MERGEFORMAT</w:instrText>
    </w:r>
    <w:r>
      <w:fldChar w:fldCharType="separate"/>
    </w:r>
    <w:r>
      <w:t>4</w:t>
    </w:r>
    <w:r>
      <w:fldChar w:fldCharType="end"/>
    </w:r>
  </w:p>
  <w:p w14:paraId="65736D8E" w14:textId="77777777">
    <w:pPr>
      <w:tabs>
        <w:tab w:val="center" w:pos="4819"/>
        <w:tab w:val="right" w:pos="9638"/>
      </w:tabs>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274523"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25C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2F7551"/>
  <w15:chartTrackingRefBased/>
  <w15:docId w15:val="{2D6AE17F-7D2D-45E1-8329-68E80875772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3283030">
      <w:bodyDiv w:val="1"/>
      <w:marLeft w:val="0"/>
      <w:marRight w:val="0"/>
      <w:marTop w:val="0"/>
      <w:marBottom w:val="0"/>
      <w:divBdr>
        <w:top w:val="none" w:sz="0" w:space="0" w:color="auto"/>
        <w:left w:val="none" w:sz="0" w:space="0" w:color="auto"/>
        <w:bottom w:val="none" w:sz="0" w:space="0" w:color="auto"/>
        <w:right w:val="none" w:sz="0" w:space="0" w:color="auto"/>
      </w:divBdr>
    </w:div>
    <w:div w:id="636034494">
      <w:bodyDiv w:val="1"/>
      <w:marLeft w:val="0"/>
      <w:marRight w:val="0"/>
      <w:marTop w:val="0"/>
      <w:marBottom w:val="0"/>
      <w:divBdr>
        <w:top w:val="none" w:sz="0" w:space="0" w:color="auto"/>
        <w:left w:val="none" w:sz="0" w:space="0" w:color="auto"/>
        <w:bottom w:val="none" w:sz="0" w:space="0" w:color="auto"/>
        <w:right w:val="none" w:sz="0" w:space="0" w:color="auto"/>
      </w:divBdr>
    </w:div>
    <w:div w:id="729159191">
      <w:bodyDiv w:val="1"/>
      <w:marLeft w:val="0"/>
      <w:marRight w:val="0"/>
      <w:marTop w:val="0"/>
      <w:marBottom w:val="0"/>
      <w:divBdr>
        <w:top w:val="none" w:sz="0" w:space="0" w:color="auto"/>
        <w:left w:val="none" w:sz="0" w:space="0" w:color="auto"/>
        <w:bottom w:val="none" w:sz="0" w:space="0" w:color="auto"/>
        <w:right w:val="none" w:sz="0" w:space="0" w:color="auto"/>
      </w:divBdr>
    </w:div>
    <w:div w:id="1118140017">
      <w:bodyDiv w:val="1"/>
      <w:marLeft w:val="0"/>
      <w:marRight w:val="0"/>
      <w:marTop w:val="0"/>
      <w:marBottom w:val="0"/>
      <w:divBdr>
        <w:top w:val="none" w:sz="0" w:space="0" w:color="auto"/>
        <w:left w:val="none" w:sz="0" w:space="0" w:color="auto"/>
        <w:bottom w:val="none" w:sz="0" w:space="0" w:color="auto"/>
        <w:right w:val="none" w:sz="0" w:space="0" w:color="auto"/>
      </w:divBdr>
    </w:div>
    <w:div w:id="1840734323">
      <w:bodyDiv w:val="1"/>
      <w:marLeft w:val="0"/>
      <w:marRight w:val="0"/>
      <w:marTop w:val="0"/>
      <w:marBottom w:val="0"/>
      <w:divBdr>
        <w:top w:val="none" w:sz="0" w:space="0" w:color="auto"/>
        <w:left w:val="none" w:sz="0" w:space="0" w:color="auto"/>
        <w:bottom w:val="none" w:sz="0" w:space="0" w:color="auto"/>
        <w:right w:val="none" w:sz="0" w:space="0" w:color="auto"/>
      </w:divBdr>
    </w:div>
    <w:div w:id="19645791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3" Type="http://schemas.openxmlformats.org/officeDocument/2006/relationships/header" Target="header4.xml"/>
  <Relationship Id="rId14" Type="http://schemas.openxmlformats.org/officeDocument/2006/relationships/header" Target="header5.xml"/>
  <Relationship Id="rId15" Type="http://schemas.openxmlformats.org/officeDocument/2006/relationships/footer" Target="footer4.xml"/>
  <Relationship Id="rId16" Type="http://schemas.openxmlformats.org/officeDocument/2006/relationships/footer" Target="footer5.xml"/>
  <Relationship Id="rId17" Type="http://schemas.openxmlformats.org/officeDocument/2006/relationships/header" Target="header6.xml"/>
  <Relationship Id="rId18" Type="http://schemas.openxmlformats.org/officeDocument/2006/relationships/footer" Target="footer6.xml"/>
  <Relationship Id="rId19" Type="http://schemas.openxmlformats.org/officeDocument/2006/relationships/fontTable" Target="fontTable.xml"/>
  <Relationship Id="rId2" Type="http://schemas.openxmlformats.org/officeDocument/2006/relationships/settings" Target="settings.xml"/>
  <Relationship Id="rId20" Type="http://schemas.openxmlformats.org/officeDocument/2006/relationships/theme" Target="theme/theme1.xml"/>
  <Relationship Id="rId21" Type="http://schemas.openxmlformats.org/officeDocument/2006/relationships/customXml" Target="../customXml/item1.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40698724fdf42ceb4c43336be85898a" PartId="1db370a4dd564c88998d54687b9dbf7f">
    <Part Type="preambule" DocPartId="598db76139a946269d3b20f488937796" PartId="f270e5ab3d5641078942ac89c40cbcf9"/>
    <Part Type="pastraipa" DocPartId="4aa77779443a4d66b2187581339477c6" PartId="9f90bbd820fb410c9a3f936a1f2a301a"/>
    <Part Type="signatura" DocPartId="b7cce78dcf4f49659415e629f8be01d8" PartId="cc2249e925c3414a968a0d62b7885da7"/>
  </Part>
  <Part Type="patvirtinta" Title="RADVILIŠKIO RAJONO SAVIVALDYBĖS 2025 METŲ UŽIMTUMO DIDINIMO PROGRAMA" DocPartId="a629b0e0818f480fad0c4b9a8e4a2dc7" PartId="f37cd4dc56694e9f966b44c5a5dcdda4">
    <Part Type="skyrius" Nr="1" DocPartId="521e79e531a441a5b39aef4c6ac99f71" PartId="9408ccc2f57e48c38c6a90351c276626"/>
    <Part Type="dalis" Nr="999" DocPartId="30fca2b3919d4c83bd90f0f2b1f2abca" PartId="737025f7730d406288e4b31b0f2e9af3">
      <Part Type="punktas" Nr="1" Abbr="1 p." DocPartId="3768303b15ab4a63b193f9cb1430dbf3" PartId="13cf6fbc01904ba7a9bcdaa8d5d50a0c"/>
      <Part Type="punktas" Nr="2" Abbr="2 p." DocPartId="7e04c2c5a1134e9c9749978377f64d37" PartId="7c58a6bb67a043548797304b835f3135"/>
      <Part Type="punktas" Nr="3" Abbr="3 p." DocPartId="196338dc3b37402e93d36dc27d037be1" PartId="8b23b758c4d04d609516809a82338c76"/>
      <Part Type="punktas" Nr="4" Abbr="4 p." DocPartId="de579d3f28b24855b871c8c54e80cc05" PartId="76d29b2be09e40f9a9df4394c4e95a21">
        <Part Type="papunktis" Nr="4.1" Abbr="4.1 pp." DocPartId="331da3494a43454984389abc2d365b2c" PartId="5ce461565795415b9f7a05ef93ea8a91"/>
        <Part Type="papunktis" Nr="4.2" Abbr="4.2 pp." DocPartId="f6264b0ebfa0498f8a7ef7239067262c" PartId="79ecc5403a3842bfa8116a960cc56211"/>
        <Part Type="papunktis" Nr="4.3" Abbr="4.3 pp." DocPartId="be5bd29f635e47ed98962f0d27afc10b" PartId="1f354c509def41a9a2788ef1ab21c864"/>
        <Part Type="papunktis" Nr="4.4" Abbr="4.4 pp." DocPartId="926bb9ce1099409b92a47df158a975b3" PartId="6f5d3e4285224ba6b6f16fe21e918354"/>
        <Part Type="papunktis" Nr="4.5" Abbr="4.5 pp." DocPartId="1070cae25c52427eb4e49fb8d8eefccc" PartId="0d790f524cb044149e229fff1312c312"/>
        <Part Type="papunktis" Nr="4.6" Abbr="4.6 pp." DocPartId="28305d40bb84429da1d2762502ec4eac" PartId="c8a662e912e5407bb742d3aca7f13bda"/>
      </Part>
      <Part Type="punktas" Nr="5" Abbr="5 p." DocPartId="1da6f6e12b0e46d6a9accbf2e3226ef0" PartId="d1e65e491cde4363a1609ef1e1dbf686">
        <Part Type="papunktis" Nr="5.1" Abbr="5.1 pp." DocPartId="4dc428cce0ef46b7bfaf4fe28db9be3b" PartId="f466549eb3d643e28cd4f737f2753bf8"/>
        <Part Type="papunktis" Nr="5.2" Abbr="5.2 pp." DocPartId="9d75b3d9422b48b482e0eb3ee33f6b46" PartId="512df8544dd64e668778ba66721bf77c"/>
        <Part Type="papunktis" Nr="5.3" Abbr="5.3 pp." DocPartId="d379b386021f42d194991592f5da6c23" PartId="f6bac77b9521481e962f0167a5c9696a"/>
        <Part Type="papunktis" Nr="5.4" Abbr="5.4 pp." DocPartId="16d15c778e7d4e3a8e3da61f0ea06de6" PartId="caf42cceae5c4d69a95554a4a0404135"/>
        <Part Type="papunktis" Nr="5.5" Abbr="5.5 pp." DocPartId="a33b4acebd4146a8849ceed7a845db29" PartId="fa0aec234511460898b14f6ae9232647"/>
        <Part Type="papunktis" Nr="5.6" Abbr="5.6 pp." DocPartId="7b9a1901eb594f49aeb30862776ad205" PartId="d6a56ee6bde7462fb0a86c597853bd06"/>
        <Part Type="papunktis" Nr="5.7" Abbr="5.7 pp." DocPartId="159c61bf497f49baa5e792034690f526" PartId="cd881c7a0dce4cd7981c6b3c2d630d87"/>
      </Part>
      <Part Type="skyrius" Nr="2" Title="BŪKLĖS ANALIZĖ" DocPartId="f68a707facfb4697a48aca3c7d04fe6b" PartId="8d6d16e97ce64d38af272bfa0c4aa907">
        <Part Type="punktas" Nr="6" Abbr="6 p." DocPartId="0da2f58e813b496c9cc98da0c405f264" PartId="f967ccb966db46c29f1a36052cbfb20f"/>
        <Part Type="punktas" Nr="7" Abbr="7 p." DocPartId="0ce9262391b44411865ea06a6ce1b36b" PartId="5c08207c598b4172ad16be17731ab143">
          <Part Type="papunktis" Nr="7.1" Abbr="7.1 pp." DocPartId="cf6b16f7c5d344e7a601c5615847bf68" PartId="fade045a2c5d439c92d219fefa114168"/>
          <Part Type="papunktis" Nr="7.2" Abbr="7.2 pp." DocPartId="ee78bdf081a24c8f96c560c23a995dfe" PartId="2f1fb06faa8c4a5f96aec06cb196110e"/>
          <Part Type="papunktis" Nr="7.3" Abbr="7.3 pp." DocPartId="684552e26edb4b649b5496132ecafc30" PartId="132e885070c4462eacf9d67ff7a78dff"/>
          <Part Type="papunktis" Nr="7.4" Abbr="7.4 pp." DocPartId="f468ec2c81d54379a1e60ba22029bdbb" PartId="497c24043e6e4f48b67a662e6ec1e69c"/>
          <Part Type="papunktis" Nr="7.5" Abbr="7.5 pp." DocPartId="0cd2c952fbe04ae5b18bab785d967fc3" PartId="52ce0d7707134cfabaee6d0e33c62939"/>
          <Part Type="papunktis" Nr="7.6" Abbr="7.6 pp." DocPartId="8c4c2d66dae64da5ae17b71ade1b984b" PartId="2f754b6134804bec9b1135890b5ac8f6"/>
        </Part>
        <Part Type="punktas" Nr="8" Abbr="8 p." DocPartId="3f6e1965f02248fcaee370ca5d0d6e2c" PartId="80f68b2e68054975be74eb120c92f0da"/>
        <Part Type="punktas" Nr="9" Abbr="9 p." DocPartId="9a4b23b5eb914fba8f203937c6fe5307" PartId="0378c0f027ec48e8a785ae22254bed3e"/>
        <Part Type="punktas" Nr="10" Abbr="10 p." DocPartId="a50e00f5f6034e208692681142141f6d" PartId="a020a81ba4ec41ee87080a35a9d7d8bd"/>
        <Part Type="punktas" Nr="11" Abbr="11 p." DocPartId="b9b857b3bda940b3aff007fbb796c2cc" PartId="4b05afadf1494c9f8d953a5d023dc92e"/>
        <Part Type="punktas" Nr="12" Abbr="12 p." DocPartId="15efc1c6a10a4951839f532d1f7335c5" PartId="cac6a4a3cbf4498b9f6ea6eec2b6a89f"/>
        <Part Type="punktas" Nr="13" Abbr="13 p." DocPartId="45858d9796414a3dac03ae3300e8aeb7" PartId="5c52aa674e064069bbc85e3db58cb0c6"/>
      </Part>
      <Part Type="skyrius" Nr="3" Title="PASLAUGŲ, PRIEMONIŲ IR FINANSAVIMO PLANAS" DocPartId="27b3c8b0b15645c1a232d10abef1bba2" PartId="3b4d4c877822405d8b17b15bfc562736">
        <Part Type="punktas" Nr="14" Abbr="14 p." DocPartId="4086756ef4974fbda3a435388e0eb01c" PartId="7a3bcc2941d244568a89665bdb9edacf"/>
        <Part Type="punktas" Nr="15" Abbr="15 p." DocPartId="70e92f5c2df844728e257de65c23a587" PartId="472ee87902dd4e259fc1ae54a02b1478"/>
        <Part Type="punktas" Nr="16" Abbr="16 p." DocPartId="c218199068dc4a3a919efc8e45135cc9" PartId="d1bd6315ef7248e3b94c15a7fa4cfab1">
          <Part Type="papunktis" Nr="16.1" Abbr="16.1 pp." DocPartId="9d59caf63e604c15973b9f4bf16b148c" PartId="320f5cdf23994dee9235f4725b485b1b"/>
          <Part Type="papunktis" Nr="16.2" Abbr="16.2 pp." DocPartId="a0999d379b63465b8056f76555ed672f" PartId="f19161ee6ae94e3e924017d8eabfdf90"/>
        </Part>
        <Part Type="punktas" Nr="17" Abbr="17 p." DocPartId="3acbb9778ab3492f93273f0d50ab90d5" PartId="af84d32ac18048169048298abc9bf98d"/>
        <Part Type="punktas" Nr="18" Abbr="18 p." DocPartId="8b719f0f2a3149efbbc061acd5382c88" PartId="f4ec85bd975a46c3a57d16bfd6fb1f65"/>
        <Part Type="punktas" Nr="19" Abbr="19 p." DocPartId="2d972f25d081468d97f37d380d2bd172" PartId="2db31d858cb84f2ab744120c7958d524">
          <Part Type="papunktis" Nr="19.1" Abbr="19.1 pp." DocPartId="7679b170c4224796a8ab731cc57264be" PartId="b98b4ea02965409c8cdcef9752e958cb"/>
          <Part Type="papunktis" Nr="19.2" Abbr="19.2 pp." DocPartId="972d1d5bceb249c296339fd3e2c7d0ee" PartId="476c4f5d46f2401d86f440a12ab9d72c"/>
          <Part Type="papunktis" Nr="19.3" Abbr="19.3 pp." DocPartId="903de72dc32446c5b49154e1d7052239" PartId="6708062340f0415eb1e9b07ef4599227"/>
        </Part>
        <Part Type="punktas" Nr="20" Abbr="20 p." DocPartId="f49dc79add3f4688b9894f984cf05f5b" PartId="e5cf3a05c33246358d3c277ffaf6043a"/>
        <Part Type="punktas" Nr="21" Abbr="21 p." DocPartId="5da29b4866054b158ba20d0313c8aa53" PartId="6d7adfb485c042b3a2050f965c415f94"/>
      </Part>
      <Part Type="skyrius" Nr="4" Title="UŽIMTUMO DIDINIMO PROGRAMOJE DALYVAUJANTYS SUBJEKTAI" DocPartId="a49090c4ff594efab0f9c8c93d778a30" PartId="b953d081ab634f0890e39ce9fa3058dd">
        <Part Type="punktas" Nr="22" Abbr="22 p." DocPartId="36890df73aa5492a819b8bbd3ef68e59" PartId="fa12c5d95dfd4e5faf69e59e9ef3fa11"/>
      </Part>
      <Part Type="skyrius" Nr="5" Title="UŽIMTUMO DIDINIMO PROGRAMOS ĮGYVENDINIMO ETAPAI" DocPartId="abcbeac0af4748c9aead32ea3666ddec" PartId="b80a5b970155478c8746a733050ed272">
        <Part Type="punktas" Nr="23" Abbr="23 p." DocPartId="a784585b51ff4f28be4a48883fe89e89" PartId="e24ce67cf92d4af5b4f345cec235e975"/>
        <Part Type="punktas" Nr="24" Abbr="24 p." DocPartId="3bfa78a7add449da968c27ed686b7001" PartId="6faac557d37b4f77a2e06cf0629c186b"/>
        <Part Type="punktas" Nr="25" Abbr="25 p." DocPartId="1012b6717a0b42f3957a9582f25ccbae" PartId="cbd298dadc814719a73fdf2030b121fa"/>
      </Part>
      <Part Type="skyrius" Nr="6" Title="PROGRAMOS ĮGYVENDINIMO PRIEŽIŪRA IR ĮVERTINIMAS" DocPartId="f89b09feac9045088937c0dc4b8d9637" PartId="811cbfda4eb345a4abaa12dbab01c350">
        <Part Type="punktas" Nr="26" Abbr="26 p." DocPartId="e4c3165f907a4c2a8ee847f1afbcb21d" PartId="538643a2cb424072bfe808643f2da08c"/>
        <Part Type="punktas" Nr="27" Abbr="27 p." DocPartId="46b60ce3be064c888053957feccbd93b" PartId="d1967d2bfe784245ac0ba076e6794981"/>
      </Part>
      <Part Type="skyrius" Nr="7" Title="VIEŠINIMAS" DocPartId="b52c21688f8449cd83fc73d68dc98ced" PartId="4fb4e9df0bb6428da68d90f9699c62bc">
        <Part Type="punktas" Nr="28" Abbr="28 p." DocPartId="9ee46af5ba334bf6bddd783d2e062712" PartId="2f93f4d82ba24f51ae5ed9daa0f7ccd3"/>
      </Part>
    </Part>
    <Part Type="pabaiga" DocPartId="fb500c881a8d4ca297075d8304dc0b29" PartId="37c59c3b72d9441eab7eae36235861a2"/>
  </Part>
  <Part Type="priedas" Abbr="pr." Title="RADVILIŠKIO RAJONO SAVIVALDYBĖS TARYBOS SPRENDIMO PROJEKTO „DĖL RADVILIŠKIO RAJONO SAVIVALDYBĖS 2025 METŲ UŽIMTUMO DIDINIMO PROGRAMOS PATVIRTINIMO“ AIŠKINAMASIS RAŠTAS" DocPartId="b1846db505bd4bd3aae23a604d09c8fb" PartId="68f02b6daff64b73b87c30ad14c77202"/>
</Parts>
</file>

<file path=customXml/itemProps1.xml><?xml version="1.0" encoding="utf-8"?>
<ds:datastoreItem xmlns:ds="http://schemas.openxmlformats.org/officeDocument/2006/customXml" ds:itemID="{F722636D-5B2E-4149-B6EA-15EA791B5A7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2272</Words>
  <Characters>16246</Characters>
  <Application>Microsoft Office Word</Application>
  <DocSecurity>4</DocSecurity>
  <Lines>477</Lines>
  <Paragraphs>234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18284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2025-02-11T07:21:00Z</dcterms:created>
  <dc:creator>Loreta Jocienė</dc:creator>
  <lastModifiedBy>adlibuser</lastModifiedBy>
  <lastPrinted>2025-01-27T14:26:00Z</lastPrinted>
  <dcterms:modified xsi:type="dcterms:W3CDTF">2025-02-11T07:21:00Z</dcterms:modified>
  <revision>2</revision>
</coreProperties>
</file>