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microsoft.com/office/2011/relationships/webextensiontaskpanes" Target="word/webextensions/taskpanes.xml"/>
  <Relationship Id="rId4" Type="http://schemas.openxmlformats.org/officeDocument/2006/relationships/extended-properties" Target="docProps/app.xml"/>
  <Relationship Id="rId5" Type="http://schemas.openxmlformats.org/officeDocument/2006/relationships/custom-properties" Target="docProps/custom.xml"/>
  <Relationship Id="rId6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ebce4b7e3054c15ac428596cba80fe9"/>
        <w:lock w:val="sdtLocked"/>
        <w:richText/>
      </w:sdtPr>
      <w:sdtContent>
        <w:p w14:paraId="562BDDD2" w14:textId="77777777">
          <w:pPr>
            <w:tabs>
              <w:tab w:val="center" w:pos="4819"/>
              <w:tab w:val="right" w:pos="9638"/>
            </w:tabs>
          </w:pPr>
        </w:p>
        <w:p w14:paraId="6A84EA59" w14:textId="567740F6">
          <w:pPr>
            <w:tabs>
              <w:tab w:val="left" w:pos="6732"/>
            </w:tabs>
            <w:ind w:firstLine="6732"/>
            <w:rPr>
              <w:b/>
              <w:bCs/>
            </w:rPr>
          </w:pPr>
          <w:r>
            <w:rPr>
              <w:b/>
              <w:bCs/>
            </w:rPr>
            <w:t>Projektas</w:t>
          </w:r>
        </w:p>
        <w:p w14:paraId="081F3672" w14:textId="77777777">
          <w:pPr>
            <w:tabs>
              <w:tab w:val="left" w:pos="6732"/>
            </w:tabs>
            <w:ind w:firstLine="6732"/>
          </w:pPr>
          <w:r>
            <w:t>Nr. TSP-</w:t>
          </w:r>
        </w:p>
        <w:p w14:paraId="4EF42A49" w14:textId="1E1BC646">
          <w:pPr>
            <w:tabs>
              <w:tab w:val="left" w:pos="7920"/>
            </w:tabs>
            <w:jc w:val="center"/>
            <w:rPr>
              <w:szCs w:val="24"/>
            </w:rPr>
          </w:pPr>
        </w:p>
        <w:p w14:paraId="08071CEC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13ED3A84" w14:textId="77777777">
          <w:pPr>
            <w:jc w:val="center"/>
            <w:rPr>
              <w:b/>
              <w:bCs/>
              <w:szCs w:val="24"/>
            </w:rPr>
          </w:pPr>
        </w:p>
        <w:p w14:paraId="0EEA96F3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1668565C" w14:textId="12EB2D5B">
          <w:pPr>
            <w:jc w:val="center"/>
            <w:rPr>
              <w:b/>
              <w:bCs/>
            </w:rPr>
          </w:pPr>
          <w:r>
            <w:rPr>
              <w:b/>
              <w:bCs/>
            </w:rPr>
            <w:t xml:space="preserve">DĖL RADVILIŠKIO RAJONO SAVIVALDYBĖS TARYBOS 2024 M. SPALIO 10 D. SPRENDIMO NR. T-484 „DĖL </w:t>
          </w:r>
          <w:r>
            <w:rPr>
              <w:b/>
            </w:rPr>
            <w:t>PRITARIMO</w:t>
          </w:r>
          <w:r>
            <w:rPr>
              <w:b/>
              <w:bCs/>
            </w:rPr>
            <w:t xml:space="preserve"> PROJEKTO </w:t>
          </w:r>
          <w:r>
            <w:rPr>
              <w:b/>
              <w:bCs/>
              <w:caps/>
            </w:rPr>
            <w:t>„Geriamojo vandens tiekimo ir nuotekų tvarkymo paslaugų prieinamumo didinimas Radviliškio rajono savivaldybėje</w:t>
          </w:r>
          <w:r>
            <w:rPr>
              <w:rFonts w:eastAsia="Calibri"/>
              <w:b/>
              <w:bCs/>
              <w:iCs/>
              <w:caps/>
            </w:rPr>
            <w:t xml:space="preserve">“ </w:t>
          </w:r>
          <w:r>
            <w:rPr>
              <w:b/>
              <w:bCs/>
            </w:rPr>
            <w:t xml:space="preserve">ĮGYVENDINIMUI IR LĖŠŲ </w:t>
          </w:r>
          <w:r>
            <w:rPr>
              <w:b/>
              <w:bCs/>
              <w:caps/>
            </w:rPr>
            <w:t xml:space="preserve">skyrimo“ </w:t>
          </w:r>
          <w:r>
            <w:rPr>
              <w:b/>
              <w:bCs/>
            </w:rPr>
            <w:t>PA</w:t>
          </w:r>
          <w:r>
            <w:rPr>
              <w:b/>
              <w:bCs/>
              <w:caps/>
            </w:rPr>
            <w:t>keitimo</w:t>
          </w:r>
          <w:r>
            <w:rPr>
              <w:b/>
              <w:bCs/>
            </w:rPr>
            <w:t xml:space="preserve"> </w:t>
          </w:r>
        </w:p>
        <w:p w14:paraId="13020F95" w14:textId="77777777">
          <w:pPr>
            <w:jc w:val="both"/>
            <w:rPr>
              <w:sz w:val="18"/>
              <w:szCs w:val="18"/>
            </w:rPr>
          </w:pPr>
        </w:p>
        <w:p w14:paraId="3BC5B880" w14:textId="6DFA0FA2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d. Nr. T-</w:t>
          </w:r>
        </w:p>
        <w:p w14:paraId="2B43DF5E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CB83FF3" w14:textId="77777777">
          <w:pPr>
            <w:jc w:val="both"/>
            <w:rPr>
              <w:szCs w:val="24"/>
            </w:rPr>
          </w:pPr>
        </w:p>
        <w:sdt>
          <w:sdtPr>
            <w:alias w:val="preambule"/>
            <w:tag w:val="part_0142177bd0fc42a6a4ca16d43f99044f"/>
            <w:lock w:val="sdtLocked"/>
            <w:richText/>
          </w:sdtPr>
          <w:sdtContent>
            <w:p w14:paraId="069982AB" w14:textId="19632CEF">
              <w:pPr>
                <w:tabs>
                  <w:tab w:val="left" w:pos="567"/>
                  <w:tab w:val="left" w:pos="709"/>
                </w:tabs>
                <w:ind w:firstLine="851"/>
                <w:jc w:val="both"/>
                <w:rPr>
                  <w:shd w:val="clear" w:color="auto" w:fill="FFFFFF"/>
                </w:rPr>
              </w:pPr>
              <w:r>
                <w:rPr>
                  <w:bCs/>
                  <w:szCs w:val="24"/>
                </w:rPr>
                <w:t xml:space="preserve">Radviliškio rajono savivaldybės taryba </w:t>
              </w:r>
              <w:r>
                <w:rPr>
                  <w:bCs/>
                  <w:spacing w:val="50"/>
                  <w:szCs w:val="24"/>
                </w:rPr>
                <w:t>nusprendži</w:t>
              </w:r>
              <w:r>
                <w:rPr>
                  <w:bCs/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7cbcb5ede580476f95cd80fb13d05144"/>
            <w:lock w:val="sdtLocked"/>
            <w:richText/>
          </w:sdtPr>
          <w:sdtContent>
            <w:p w14:paraId="7254ADEA" w14:textId="29796C5C">
              <w:pPr>
                <w:tabs>
                  <w:tab w:val="left" w:pos="993"/>
                  <w:tab w:val="left" w:pos="1134"/>
                  <w:tab w:val="left" w:pos="1276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</w:t>
              </w:r>
              <w:r>
                <w:t>Radviliškio rajono savivaldybės tarybos 2024 m. spalio 10 d. sprendimo Nr. T-484 „Dėl pritarimo projekto „Geriamojo vandens tiekimo ir nuotekų tvarkymo paslaugų prieinamumo didinimas Radviliškio rajono savivaldybėje“ įgyvendinimui ir lėšų skyrimo“ 3.1 papunktį ir jį išdėstyti taip:</w:t>
              </w:r>
            </w:p>
            <w:sdt>
              <w:sdtPr>
                <w:alias w:val="citata"/>
                <w:tag w:val="part_b83174ac0cf14b3d9a142f06296dda39"/>
                <w:lock w:val="sdtLocked"/>
                <w:richText/>
              </w:sdtPr>
              <w:sdtContent>
                <w:sdt>
                  <w:sdtPr>
                    <w:alias w:val="3.1 pp."/>
                    <w:tag w:val="part_2dc4abc718d94f7e837d56db87be5f5d"/>
                    <w:lock w:val="sdtLocked"/>
                    <w:richText/>
                  </w:sdtPr>
                  <w:sdtContent>
                    <w:p w14:paraId="7DDF3846" w14:textId="25971E08">
                      <w:pPr>
                        <w:tabs>
                          <w:tab w:val="left" w:pos="993"/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2dc4abc718d94f7e837d56db87be5f5d"/>
                          <w:lock w:val="sdtLocked"/>
                          <w:richText/>
                        </w:sdtPr>
                        <w:sdtContent>
                          <w:r>
                            <w:t>3.1</w:t>
                          </w:r>
                        </w:sdtContent>
                      </w:sdt>
                      <w:r>
                        <w:t>. ne mažiau 50 procentų visų tinkamų finansuoti;</w:t>
                      </w:r>
                      <w:r>
                        <w:rPr>
                          <w:szCs w:val="24"/>
                        </w:rPr>
                        <w:t>“.</w:t>
                      </w:r>
                    </w:p>
                    <w:p w14:paraId="2FB142E4" w14:textId="77777777">
                      <w:pPr>
                        <w:tabs>
                          <w:tab w:val="left" w:pos="7371"/>
                        </w:tabs>
                        <w:jc w:val="both"/>
                      </w:pPr>
                    </w:p>
                    <w:p w14:paraId="0127756A" w14:textId="77777777">
                      <w:pPr>
                        <w:tabs>
                          <w:tab w:val="left" w:pos="7371"/>
                        </w:tabs>
                        <w:jc w:val="both"/>
                      </w:pPr>
                    </w:p>
                    <w:p w14:paraId="04B00E83" w14:textId="77777777">
                      <w:pPr>
                        <w:tabs>
                          <w:tab w:val="left" w:pos="7371"/>
                        </w:tabs>
                        <w:jc w:val="both"/>
                      </w:pPr>
                    </w:p>
                  </w:sdtContent>
                </w:sdt>
              </w:sdtContent>
            </w:sdt>
            <w:sdt>
              <w:sdtPr>
                <w:alias w:val="pastraipa"/>
                <w:tag w:val="part_b78cea6a4c524746b735155b70bf9f52"/>
                <w:lock w:val="sdtLocked"/>
                <w:richText/>
              </w:sdtPr>
              <w:sdtContent>
                <w:p w14:paraId="0D4A24FB" w14:textId="55654561">
                  <w:pPr>
                    <w:tabs>
                      <w:tab w:val="left" w:pos="7371"/>
                    </w:tabs>
                    <w:jc w:val="both"/>
                  </w:pPr>
                  <w:r>
                    <w:t xml:space="preserve">Savivaldybės meras </w:t>
                    <w:tab/>
                  </w:r>
                </w:p>
                <w:p w14:paraId="70795E70" w14:textId="77777777">
                  <w:pPr>
                    <w:jc w:val="both"/>
                    <w:rPr>
                      <w:szCs w:val="24"/>
                    </w:rPr>
                  </w:pPr>
                </w:p>
                <w:p w14:paraId="7B28E3CC" w14:textId="77777777">
                  <w:pPr>
                    <w:jc w:val="both"/>
                    <w:rPr>
                      <w:sz w:val="22"/>
                      <w:szCs w:val="22"/>
                    </w:rPr>
                  </w:pPr>
                </w:p>
                <w:p w14:paraId="6AB805B6" w14:textId="77777777">
                  <w:pPr>
                    <w:rPr>
                      <w:b/>
                      <w:szCs w:val="24"/>
                    </w:rPr>
                    <w:sectPr>
                      <w:headerReference w:type="even" r:id="rId10"/>
                      <w:headerReference w:type="default" r:id="rId11"/>
                      <w:footerReference w:type="even" r:id="rId12"/>
                      <w:footerReference w:type="default" r:id="rId13"/>
                      <w:headerReference w:type="first" r:id="rId14"/>
                      <w:footerReference w:type="first" r:id="rId15"/>
                      <w:pgSz w:w="11907" w:h="16840" w:code="9"/>
                      <w:pgMar w:top="1134" w:right="567" w:bottom="1134" w:left="1701" w:header="567" w:footer="567" w:gutter="0"/>
                      <w:cols w:space="1296"/>
                      <w:titlePg/>
                      <w:docGrid w:linePitch="360"/>
                    </w:sectPr>
                  </w:pPr>
                </w:p>
                <w:p w14:paraId="7E91B465" w14:textId="77777777">
                  <w:pPr>
                    <w:tabs>
                      <w:tab w:val="center" w:pos="4819"/>
                      <w:tab w:val="right" w:pos="9638"/>
                    </w:tabs>
                  </w:pPr>
                </w:p>
              </w:sdtContent>
            </w:sdt>
          </w:sdtContent>
        </w:sdt>
        <w:sdt>
          <w:sdtPr>
            <w:alias w:val="skirsnis"/>
            <w:tag w:val="part_1d0cbda85fb14e1faa81b9c7b03f16b7"/>
            <w:lock w:val="sdtLocked"/>
            <w:richText/>
          </w:sdtPr>
          <w:sdtContent>
            <w:sdt>
              <w:sdtPr>
                <w:alias w:val="Pavadinimas"/>
                <w:tag w:val="title_1d0cbda85fb14e1faa81b9c7b03f16b7"/>
                <w:lock w:val="sdtLocked"/>
                <w:richText/>
              </w:sdtPr>
              <w:sdtContent>
                <w:p w14:paraId="18AEA52F" w14:textId="0572AAD5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RADVILIŠKIO RAJONO SAVIVALDYBĖS TARYBOS SPRENDIMO PROJEKTO</w:t>
                  </w:r>
                </w:p>
                <w:p w14:paraId="25E30FFA" w14:textId="55EDA3B8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„DĖL RADVILIŠKIO RAJONO SAVIVALDYBĖS TARYBOS 2024 M. SPALIO 10 D. SPRENDIMO NR. T-484 „DĖL </w:t>
                  </w:r>
                  <w:r>
                    <w:rPr>
                      <w:b/>
                    </w:rPr>
                    <w:t>PRITARIMO</w:t>
                  </w:r>
                  <w:r>
                    <w:rPr>
                      <w:b/>
                      <w:bCs/>
                    </w:rPr>
                    <w:t xml:space="preserve"> PROJEKTO </w:t>
                  </w:r>
                  <w:r>
                    <w:rPr>
                      <w:b/>
                      <w:bCs/>
                      <w:caps/>
                    </w:rPr>
                    <w:t>„Geriamojo vandens tiekimo ir nuotekų tvarkymo paslaugų prieinamumo didinimas Radviliškio rajono savivaldybėje</w:t>
                  </w:r>
                  <w:r>
                    <w:rPr>
                      <w:rFonts w:eastAsia="Calibri"/>
                      <w:b/>
                      <w:bCs/>
                      <w:iCs/>
                      <w:caps/>
                    </w:rPr>
                    <w:t xml:space="preserve">“ </w:t>
                  </w:r>
                  <w:r>
                    <w:rPr>
                      <w:b/>
                      <w:bCs/>
                    </w:rPr>
                    <w:t xml:space="preserve">ĮGYVENDINIMUI IR LĖŠŲ </w:t>
                  </w:r>
                  <w:r>
                    <w:rPr>
                      <w:b/>
                      <w:bCs/>
                      <w:caps/>
                    </w:rPr>
                    <w:t xml:space="preserve">skyrimo“ </w:t>
                  </w:r>
                  <w:r>
                    <w:rPr>
                      <w:b/>
                      <w:bCs/>
                    </w:rPr>
                    <w:t>PA</w:t>
                  </w:r>
                  <w:r>
                    <w:rPr>
                      <w:b/>
                      <w:bCs/>
                      <w:caps/>
                    </w:rPr>
                    <w:t>keitimo“</w:t>
                  </w:r>
                  <w:r>
                    <w:rPr>
                      <w:b/>
                      <w:bCs/>
                    </w:rPr>
                    <w:t xml:space="preserve"> </w:t>
                  </w:r>
                </w:p>
                <w:p w14:paraId="4CD81661" w14:textId="2D36AEF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 w14:paraId="7D533774" w14:textId="77777777">
              <w:pPr>
                <w:jc w:val="center"/>
                <w:rPr>
                  <w:szCs w:val="24"/>
                </w:rPr>
              </w:pPr>
            </w:p>
            <w:p w14:paraId="18DF6739" w14:textId="56238041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2025-02-05</w:t>
              </w:r>
            </w:p>
            <w:p w14:paraId="58A9133B" w14:textId="3D308B45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4D87C355" w14:textId="77777777">
              <w:pPr>
                <w:rPr>
                  <w:szCs w:val="24"/>
                </w:rPr>
              </w:pPr>
            </w:p>
            <w:sdt>
              <w:sdtPr>
                <w:alias w:val="1 p."/>
                <w:tag w:val="part_58168701684c4b69b03c991c95fa2c79"/>
                <w:lock w:val="sdtLocked"/>
                <w:richText/>
              </w:sdtPr>
              <w:sdtContent>
                <w:p w14:paraId="1005182D" w14:textId="72DA268E">
                  <w:pPr>
                    <w:tabs>
                      <w:tab w:val="left" w:pos="855"/>
                      <w:tab w:val="left" w:pos="1134"/>
                    </w:tabs>
                    <w:suppressAutoHyphens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58168701684c4b69b03c991c95fa2c7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szCs w:val="24"/>
                      <w:lang w:bidi="he-IL"/>
                    </w:rPr>
                    <w:t>Projekto rengimą paskatinusios priežastys, parengto sprendimo projekto tikslai ir uždaviniai</w:t>
                  </w:r>
                  <w:r>
                    <w:rPr>
                      <w:b/>
                      <w:szCs w:val="24"/>
                    </w:rPr>
                    <w:t>.</w:t>
                  </w:r>
                </w:p>
                <w:p w14:paraId="68F2E22F" w14:textId="6835A1D9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Viešoji įstaiga Centrinė projekto valdymo agentūra (toliau – CPVA) atlieka projekto </w:t>
                  </w:r>
                  <w:r>
                    <w:rPr>
                      <w:shd w:val="clear" w:color="auto" w:fill="FFFFFF"/>
                    </w:rPr>
                    <w:t xml:space="preserve">įgyvendinimo plano Nr.26-204-P-0001 „Vandens tiekimo ir nuotekų tvarkymo paslaugų infrastruktūros plėtra Radviliškio rajono savivaldybėje“ </w:t>
                  </w:r>
                  <w:r>
                    <w:rPr>
                      <w:szCs w:val="24"/>
                    </w:rPr>
                    <w:t xml:space="preserve">vertinimą. Vertinimo metu CPVA nustatė, kad Radviliškio rajono savivaldybės tarybos 2024 m. spalio 10 d. sprendime Nr. T-484 „Dėl pritarimo projekto </w:t>
                  </w:r>
                  <w:r>
                    <w:rPr>
                      <w:shd w:val="clear" w:color="auto" w:fill="FFFFFF"/>
                    </w:rPr>
                    <w:t xml:space="preserve">„Vandens tiekimo ir nuotekų tvarkymo paslaugų infrastruktūros plėtra Radviliškio rajono savivaldybėje“ įgyvendinimui ir lėšų skyrimo“ </w:t>
                  </w:r>
                  <w:r>
                    <w:rPr>
                      <w:szCs w:val="24"/>
                    </w:rPr>
                    <w:t xml:space="preserve">nėra užtikrinamas nuosavo įnašo finansavimo reikalavimas. CPVA 2025 m. vasario 5 d. raštu „Dėl projekto įgyvendinimo plano Nr. 26-204-p-0001 „vandens tiekimo ir nuotekų tvarkymo paslaugų infrastruktūros plėtra Radviliškio savivaldybėje”  vertinimo metu nustatytos sąlygos“ nurodė pateikti papildytą Radviliškio savivaldybės tarybos sprendimą.</w:t>
                  </w:r>
                </w:p>
              </w:sdtContent>
            </w:sdt>
            <w:sdt>
              <w:sdtPr>
                <w:alias w:val="2 p."/>
                <w:tag w:val="part_47c1e02eeeb44167893d05c5214e374b"/>
                <w:lock w:val="sdtLocked"/>
                <w:richText/>
              </w:sdtPr>
              <w:sdtContent>
                <w:p w14:paraId="3059B839" w14:textId="6C785A89">
                  <w:pPr>
                    <w:tabs>
                      <w:tab w:val="left" w:pos="851"/>
                      <w:tab w:val="left" w:pos="993"/>
                      <w:tab w:val="left" w:pos="1276"/>
                    </w:tabs>
                    <w:suppressAutoHyphens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7c1e02eeeb44167893d05c5214e374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Projekto iniciatoriai (institucija, asmenys ar piliečių atstovai) ir rengėjai.</w:t>
                  </w:r>
                </w:p>
                <w:p w14:paraId="7CFD3247" w14:textId="77777777"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Projekto iniciatorius ir rengėjas – Radviliškio rajono savivaldybės administracijos Investicijų ir turto valdymo skyrius.</w:t>
                  </w:r>
                </w:p>
              </w:sdtContent>
            </w:sdt>
            <w:sdt>
              <w:sdtPr>
                <w:alias w:val="3 p."/>
                <w:tag w:val="part_b28c2d733e9541e4b8ca7d7329983c47"/>
                <w:lock w:val="sdtLocked"/>
                <w:richText/>
              </w:sdtPr>
              <w:sdtContent>
                <w:p w14:paraId="1BD82387" w14:textId="206CB212">
                  <w:pPr>
                    <w:tabs>
                      <w:tab w:val="left" w:pos="851"/>
                      <w:tab w:val="left" w:pos="993"/>
                    </w:tabs>
                    <w:suppressAutoHyphens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28c2d733e9541e4b8ca7d7329983c4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61E6BBC8" w14:textId="19DCC07E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Šiuo metu galioja </w:t>
                  </w:r>
                  <w:r>
                    <w:rPr>
                      <w:shd w:val="clear" w:color="auto" w:fill="FFFFFF"/>
                    </w:rPr>
                    <w:t>2022–2030 metų plėtros programos valdytojos Lietuvos Respublikos aplinkos ministerijos aplinkos apsaugos ir klimato kaitos valdymo plėtros programos regioninės pažangos priemonės Nr. 02-001-06-07-02 (RE) „Didinti geriamojo vandens tiekimo ir nuotekų tvarkymo paslaugų prieinamumą“ finansavimo gairėmis, patvirtintomis Lietuvos Respublikos aplinkos ministro 2023 m. liepos 21 d. įsakymu Nr. D1-243 „Dėl 2022–2030 metų plėtros programos valdytojos Lietuvos Respublikos aplinkos ministerijos aplinkos apsaugos ir klimato kaitos valdymo plėtros programos regioninės pažangos priemonės Nr. 02-001-06-07-02 (RE) „Didinti geriamojo vandens tiekimo ir nuotekų tvarkymo paslaugų prieinamumą“ finansavimo gairių patvirtinimo“ (toliau – Gairės)</w:t>
                  </w:r>
                  <w:r>
                    <w:rPr>
                      <w:szCs w:val="24"/>
                    </w:rPr>
                    <w:t xml:space="preserve">. </w:t>
                  </w:r>
                </w:p>
              </w:sdtContent>
            </w:sdt>
            <w:sdt>
              <w:sdtPr>
                <w:alias w:val="4 p."/>
                <w:tag w:val="part_4a9abc2314684b1cbd2fed98f9eea888"/>
                <w:lock w:val="sdtLocked"/>
                <w:richText/>
              </w:sdtPr>
              <w:sdtContent>
                <w:p w14:paraId="6AC20661" w14:textId="09019BC3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a9abc2314684b1cbd2fed98f9eea88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Kokios siūlomos naujos teisinio reguliavimo nuostatos, kokių teigiamų rezultatų laukiama.</w:t>
                  </w:r>
                </w:p>
                <w:p w14:paraId="47EA8040" w14:textId="0B7588E8">
                  <w:pPr>
                    <w:tabs>
                      <w:tab w:val="left" w:pos="993"/>
                    </w:tabs>
                    <w:ind w:left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Naujos teisinio reguliavimo nuostatos nesiūlomos.</w:t>
                  </w:r>
                </w:p>
              </w:sdtContent>
            </w:sdt>
            <w:sdt>
              <w:sdtPr>
                <w:alias w:val="5 p."/>
                <w:tag w:val="part_49fac351bc524e6ab1540990c3d7965a"/>
                <w:lock w:val="sdtLocked"/>
                <w:richText/>
              </w:sdtPr>
              <w:sdtContent>
                <w:p w14:paraId="5B93FBBC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49fac351bc524e6ab1540990c3d7965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 w14:paraId="572D3702" w14:textId="77777777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9521c31bb2424af9a653fac6bfc6a8e7"/>
                <w:lock w:val="sdtLocked"/>
                <w:richText/>
              </w:sdtPr>
              <w:sdtContent>
                <w:p w14:paraId="7CA42E26" w14:textId="77777777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521c31bb2424af9a653fac6bfc6a8e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 xml:space="preserve">Kokius teisės aktus būtina priimti, kokius galiojančius teisės aktus būtina pakeisti ar pripažinti netekusiais galios priėmus sprendimo projektą. </w:t>
                  </w:r>
                </w:p>
                <w:p w14:paraId="1DDF7281" w14:textId="0BA9F18F">
                  <w:pPr>
                    <w:tabs>
                      <w:tab w:val="left" w:pos="1200"/>
                    </w:tabs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Priėmus sprendimo projektą, nebus pripažįstami negaliojančiais jokie teisės aktai. Sprendimui įgyvendinti papildomų teisės aktų priimti nereikia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7 p."/>
                <w:tag w:val="part_383f3ed228994f0f89dc7dbbf1035747"/>
                <w:lock w:val="sdtLocked"/>
                <w:richText/>
              </w:sdtPr>
              <w:sdtContent>
                <w:p w14:paraId="20388D3E" w14:textId="77777777">
                  <w:pPr>
                    <w:tabs>
                      <w:tab w:val="left" w:pos="855"/>
                    </w:tabs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383f3ed228994f0f89dc7dbbf103574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.</w:t>
                  </w:r>
                </w:p>
                <w:p w14:paraId="6AC5D12A" w14:textId="1B104E46"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 xml:space="preserve">Rengiant tarybos sprendimo projektą nebuvo pilnai atlikti projekto skaičiavimai. </w:t>
                  </w:r>
                  <w:r>
                    <w:t xml:space="preserve">Atlikus PĮP vertinimą pagal bendruosius atitikties kriterijus ir Gairėse numatytus ribojimus, nustatyta, kad PĮP bendra tinkamų finansuoti išlaidų suma 4 906 719,93 Eur, iš kurių 1 393 092,51 Eur (28,39 proc.) – ES lėšos, 3 513 627,42 Eur (71,61 proc.) – Radviliškio rajono savivaldybės administracijos lėšos. </w:t>
                  </w:r>
                </w:p>
              </w:sdtContent>
            </w:sdt>
            <w:sdt>
              <w:sdtPr>
                <w:alias w:val="8 p."/>
                <w:tag w:val="part_0a98136710a946d28105ae06ca10d6d3"/>
                <w:lock w:val="sdtLocked"/>
                <w:richText/>
              </w:sdtPr>
              <w:sdtContent>
                <w:p w14:paraId="3A85E1AE" w14:textId="77777777">
                  <w:pPr>
                    <w:tabs>
                      <w:tab w:val="left" w:pos="1200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a98136710a946d28105ae06ca10d6d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 w14:paraId="3D2FA09C" w14:textId="77777777">
                  <w:pPr>
                    <w:tabs>
                      <w:tab w:val="left" w:pos="1200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9 p."/>
                <w:tag w:val="part_9e80c5c2be07490983c17e3220aee88a"/>
                <w:lock w:val="sdtLocked"/>
                <w:richText/>
              </w:sdtPr>
              <w:sdtContent>
                <w:p w14:paraId="673156B0" w14:textId="77777777">
                  <w:pPr>
                    <w:tabs>
                      <w:tab w:val="left" w:pos="1200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9e80c5c2be07490983c17e3220aee88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 w14:paraId="6AD78BDB" w14:textId="77777777">
                  <w:pPr>
                    <w:tabs>
                      <w:tab w:val="left" w:pos="855"/>
                    </w:tabs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Neatlikta ir nenumatyta.</w:t>
                  </w:r>
                </w:p>
              </w:sdtContent>
            </w:sdt>
            <w:sdt>
              <w:sdtPr>
                <w:alias w:val="10 p."/>
                <w:tag w:val="part_f45fecfd9edf46c890610be9c635cc43"/>
                <w:lock w:val="sdtLocked"/>
                <w:richText/>
              </w:sdtPr>
              <w:sdtContent>
                <w:p w14:paraId="6A1D3C4E" w14:textId="77777777">
                  <w:pPr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f45fecfd9edf46c890610be9c635cc43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ar-SA"/>
                        </w:rPr>
                        <w:t>10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. Sprendimo projekto antikorupcinis vertinimas.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 xml:space="preserve"> </w:t>
                  </w:r>
                </w:p>
                <w:p w14:paraId="7E9F5DF7" w14:textId="77777777">
                  <w:pPr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>Korupcijos pasireiškimo tikimybė nenustatyta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</w:sdtContent>
            </w:sdt>
            <w:sdt>
              <w:sdtPr>
                <w:alias w:val="11 p."/>
                <w:tag w:val="part_e06cb5c9fd3b4389970259acafc52063"/>
                <w:lock w:val="sdtLocked"/>
                <w:richText/>
              </w:sdtPr>
              <w:sdtContent>
                <w:p w14:paraId="42E4C092" w14:textId="4A113DA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e06cb5c9fd3b4389970259acafc52063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 w14:paraId="5CBC73FC" w14:textId="77777777">
                  <w:pPr>
                    <w:ind w:firstLine="709"/>
                    <w:jc w:val="both"/>
                    <w:rPr>
                      <w:kern w:val="2"/>
                      <w:szCs w:val="24"/>
                      <w:shd w:val="clear" w:color="auto" w:fill="FFFFFF"/>
                    </w:rPr>
                  </w:pPr>
                  <w:r>
                    <w:rPr>
                      <w:kern w:val="2"/>
                      <w:szCs w:val="24"/>
                      <w:shd w:val="clear" w:color="auto" w:fill="FFFFFF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f9b6254b9dc04280ae649cc2806e811e"/>
                <w:lock w:val="sdtLocked"/>
                <w:richText/>
              </w:sdtPr>
              <w:sdtContent>
                <w:p w14:paraId="44BA674F" w14:textId="77777777">
                  <w:pPr>
                    <w:ind w:firstLine="709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f9b6254b9dc04280ae649cc2806e811e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kern w:val="2"/>
                          <w:szCs w:val="24"/>
                          <w:shd w:val="clear" w:color="auto" w:fill="FFFFFF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kern w:val="2"/>
                      <w:szCs w:val="24"/>
                      <w:shd w:val="clear" w:color="auto" w:fill="FFFFFF"/>
                    </w:rPr>
                    <w:t>.</w:t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 Pridedami dokumentai.</w:t>
                  </w:r>
                </w:p>
                <w:p w14:paraId="3E1A1698" w14:textId="77777777">
                  <w:pPr>
                    <w:ind w:firstLine="709"/>
                    <w:jc w:val="both"/>
                    <w:rPr>
                      <w:kern w:val="2"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lang w:eastAsia="lt-LT"/>
                    </w:rPr>
                    <w:t>Nėra</w:t>
                  </w:r>
                  <w:r>
                    <w:rPr>
                      <w:szCs w:val="24"/>
                    </w:rPr>
                    <w:t>.</w:t>
                  </w:r>
                </w:p>
                <w:p w14:paraId="59B61D10" w14:textId="77777777">
                  <w:pPr>
                    <w:tabs>
                      <w:tab w:val="left" w:pos="851"/>
                    </w:tabs>
                    <w:ind w:firstLine="567"/>
                    <w:jc w:val="both"/>
                    <w:rPr>
                      <w:bCs/>
                      <w:szCs w:val="24"/>
                    </w:rPr>
                  </w:pPr>
                </w:p>
                <w:p w14:paraId="0FBD8598" w14:textId="77777777">
                  <w:pPr>
                    <w:tabs>
                      <w:tab w:val="left" w:pos="851"/>
                    </w:tabs>
                    <w:ind w:firstLine="567"/>
                    <w:jc w:val="both"/>
                    <w:rPr>
                      <w:bCs/>
                      <w:szCs w:val="24"/>
                    </w:rPr>
                  </w:pPr>
                </w:p>
                <w:p w14:paraId="448FDE7E" w14:textId="77777777">
                  <w:pPr>
                    <w:tabs>
                      <w:tab w:val="left" w:pos="851"/>
                    </w:tabs>
                    <w:rPr>
                      <w:b/>
                      <w:bCs/>
                      <w:i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bc37f0e8fe84873a80d61bdd258ee90"/>
            <w:lock w:val="sdtLocked"/>
            <w:richText/>
          </w:sdtPr>
          <w:sdtContent>
            <w:p w14:paraId="1245C084" w14:textId="77777777">
              <w:pPr>
                <w:widowControl w:val="0"/>
                <w:tabs>
                  <w:tab w:val="right" w:pos="9638"/>
                </w:tabs>
                <w:suppressAutoHyphens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Investicijų ir turto valdymo skyriaus</w:t>
              </w:r>
            </w:p>
            <w:p w14:paraId="325CD0E2" w14:textId="6C3E0C77">
              <w:pPr>
                <w:widowControl w:val="0"/>
                <w:tabs>
                  <w:tab w:val="right" w:pos="9638"/>
                </w:tabs>
                <w:suppressAutoHyphens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vyriausioji specialistė                                                                                        Genovaitė Rutkauskienė</w:t>
              </w:r>
            </w:p>
          </w:sdtContent>
        </w:sdt>
      </w:sdtContent>
    </w:sdt>
    <w:sectPr>
      <w:pgSz w:w="11907" w:h="16840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F6BF74" w14:textId="77777777">
      <w:pPr>
        <w:spacing w:after="200" w:line="276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endnote>
  <w:endnote w:type="continuationSeparator" w:id="0">
    <w:p w14:paraId="69BCB1AD" w14:textId="77777777">
      <w:pPr>
        <w:spacing w:after="200" w:line="276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0DFD6B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0386D7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8E78A4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6F1BE9" w14:textId="77777777">
      <w:pPr>
        <w:spacing w:after="200" w:line="276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footnote>
  <w:footnote w:type="continuationSeparator" w:id="0">
    <w:p w14:paraId="1DDF4C2B" w14:textId="77777777">
      <w:pPr>
        <w:spacing w:after="200" w:line="276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22A56A" w14:textId="77777777">
    <w:pPr>
      <w:framePr w:wrap="auto" w:vAnchor="text" w:hAnchor="margin" w:xAlign="center" w:y="1"/>
      <w:tabs>
        <w:tab w:val="center" w:pos="4819"/>
        <w:tab w:val="right" w:pos="9638"/>
      </w:tabs>
      <w:spacing w:after="200" w:line="276" w:lineRule="auto"/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PAGE  </w:instrText>
    </w:r>
    <w:r>
      <w:rPr>
        <w:rFonts w:ascii="Calibri" w:hAnsi="Calibri"/>
        <w:sz w:val="22"/>
        <w:szCs w:val="22"/>
      </w:rPr>
      <w:fldChar w:fldCharType="end"/>
    </w:r>
  </w:p>
  <w:p w14:paraId="4E30B883" w14:textId="77777777">
    <w:pPr>
      <w:tabs>
        <w:tab w:val="center" w:pos="4819"/>
        <w:tab w:val="right" w:pos="9638"/>
      </w:tabs>
      <w:spacing w:after="200" w:line="276" w:lineRule="auto"/>
      <w:rPr>
        <w:rFonts w:ascii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69FE76" w14:textId="77777777">
    <w:pPr>
      <w:tabs>
        <w:tab w:val="center" w:pos="4819"/>
        <w:tab w:val="right" w:pos="9638"/>
      </w:tabs>
      <w:spacing w:after="200" w:line="276" w:lineRule="auto"/>
      <w:rPr>
        <w:rFonts w:ascii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C6AE0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8"/>
  <w:hyphenationZone w:val="396"/>
  <w:doNotHyphenateCaps/>
  <w:drawingGridHorizontalSpacing w:val="57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1A1EE16"/>
  <w15:docId w15:val="{CE0AF73E-7B70-42B5-B6DC-7DFD40F4EE4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29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99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344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23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1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26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05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8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57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091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931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473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74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08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457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00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492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227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2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9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6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14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0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7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087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69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?>

<Relationships xmlns="http://schemas.openxmlformats.org/package/2006/relationships">
  <Relationship Id="rId1" Type="http://schemas.microsoft.com/office/2011/relationships/webextension" Target="webextension1.xml"/>
</Relationships>

</file>

<file path=word/webextensions/taskpanes.xml><?xml version="1.0" encoding="utf-8"?>
<wetp:taskpanes xmlns:wetp="http://schemas.microsoft.com/office/webextensions/taskpanes/2010/11">
  <wetp:taskpane dockstate="right" visibility="0" width="350" row="3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8A515D9C-9480-4A16-A09B-478E79038E81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7060d9b-bffb-4f66-bb23-3a4dc827d5e5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6B8D84B405FF4FA25406FAEA36BDF8" ma:contentTypeVersion="15" ma:contentTypeDescription="Create a new document." ma:contentTypeScope="" ma:versionID="229330204fd903571f2387a57727b744">
  <xsd:schema xmlns:xsd="http://www.w3.org/2001/XMLSchema" xmlns:xs="http://www.w3.org/2001/XMLSchema" xmlns:p="http://schemas.microsoft.com/office/2006/metadata/properties" xmlns:ns3="87060d9b-bffb-4f66-bb23-3a4dc827d5e5" xmlns:ns4="ca1b324b-1bd1-45ea-a664-c98b8e38f502" targetNamespace="http://schemas.microsoft.com/office/2006/metadata/properties" ma:root="true" ma:fieldsID="5d94864e9f465d40883a09f2ca404f8b" ns3:_="" ns4:_="">
    <xsd:import namespace="87060d9b-bffb-4f66-bb23-3a4dc827d5e5"/>
    <xsd:import namespace="ca1b324b-1bd1-45ea-a664-c98b8e38f50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ystemTags" minOccurs="0"/>
                <xsd:element ref="ns3:MediaServiceOCR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060d9b-bffb-4f66-bb23-3a4dc827d5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1" nillable="true" ma:displayName="_activity" ma:hidden="true" ma:internalName="_activity">
      <xsd:simpleType>
        <xsd:restriction base="dms:Note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ystemTags" ma:index="20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1b324b-1bd1-45ea-a664-c98b8e38f50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arts xmlns="http://lrs.lt/TAIS/DocParts">
  <Part Type="pagrindine" DocPartId="e4c29dbf66b04ef0b71e5eb843bc5a01" PartId="8ebce4b7e3054c15ac428596cba80fe9">
    <Part Type="preambule" DocPartId="1169fb6901f240ce991e7f4e3370b065" PartId="0142177bd0fc42a6a4ca16d43f99044f"/>
    <Part Type="pastraipa" DocPartId="cafb047b5d024640be881a207d636ba3" PartId="7cbcb5ede580476f95cd80fb13d05144">
      <Part Type="citata" DocPartId="2bb7e47428fa4522a284e178f96a5500" PartId="b83174ac0cf14b3d9a142f06296dda39">
        <Part Type="papunktis" Nr="3.1" Abbr="3.1 pp." DocPartId="c8ac3e09235b46cca4cef2b5228fb04f" PartId="2dc4abc718d94f7e837d56db87be5f5d"/>
      </Part>
      <Part Type="pastraipa" DocPartId="987fec5f97b6475c8f7535039417fa12" PartId="b78cea6a4c524746b735155b70bf9f52"/>
    </Part>
    <Part Type="skirsnis" Title="RADVILIŠKIO RAJONO SAVIVALDYBĖS TARYBOS SPRENDIMO PROJEKTO „DĖL RADVILIŠKIO RAJONO SAVIVALDYBĖS TARYBOS 2024 M. SPALIO 10 D. SPRENDIMO NR. T-484 „DĖL PRITARIMO PROJEKTO „GERIAMOJO VANDENS TIEKIMO IR NUOTEKŲ TVARKYMO PASLAUGŲ PRIEINAMUMO DIDINIMAS RADVILIŠKIO RAJONO SAVIVALDYBĖJE“ ĮGYVENDINIMUI IR LĖŠŲ SKYRIMO“ PAKEITIMO“ AIŠKINAMASIS RAŠTAS" DocPartId="c4b243c13d69414498c6ad96aeca19ef" PartId="1d0cbda85fb14e1faa81b9c7b03f16b7">
      <Part Type="punktas" Nr="1" Abbr="1 p." DocPartId="5ecf2a9be750487f935ffcdae1f3fd1b" PartId="58168701684c4b69b03c991c95fa2c79"/>
      <Part Type="punktas" Nr="2" Abbr="2 p." DocPartId="1b505447976d4257bbf442daf6f1cb91" PartId="47c1e02eeeb44167893d05c5214e374b"/>
      <Part Type="punktas" Nr="3" Abbr="3 p." DocPartId="6a084b67c55d4103b06b1e4a1d21d4e7" PartId="b28c2d733e9541e4b8ca7d7329983c47"/>
      <Part Type="punktas" Nr="4" Abbr="4 p." DocPartId="5d1c606ca5f2433da265775f18a8181e" PartId="4a9abc2314684b1cbd2fed98f9eea888"/>
      <Part Type="punktas" Nr="5" Abbr="5 p." DocPartId="5806e97eee09485ca6bd2e7837ff1853" PartId="49fac351bc524e6ab1540990c3d7965a"/>
      <Part Type="punktas" Nr="6" Abbr="6 p." DocPartId="811b9ecaf9c04ecf9adcaae77eeda717" PartId="9521c31bb2424af9a653fac6bfc6a8e7"/>
      <Part Type="punktas" Nr="7" Abbr="7 p." DocPartId="c84e2686900b4eb78ea073c6c5b1960f" PartId="383f3ed228994f0f89dc7dbbf1035747"/>
      <Part Type="punktas" Nr="8" Abbr="8 p." DocPartId="155d17875f484f75aa276ef6208634bc" PartId="0a98136710a946d28105ae06ca10d6d3"/>
      <Part Type="punktas" Nr="9" Abbr="9 p." DocPartId="f9feb43f28f74b61832bae529cc2e305" PartId="9e80c5c2be07490983c17e3220aee88a"/>
      <Part Type="punktas" Nr="10" Abbr="10 p." DocPartId="ff4eea23eb914f3780c4f13dd435163c" PartId="f45fecfd9edf46c890610be9c635cc43"/>
      <Part Type="punktas" Nr="11" Abbr="11 p." DocPartId="4765326a2e724b33a48444eb7e4ec771" PartId="e06cb5c9fd3b4389970259acafc52063"/>
      <Part Type="punktas" Nr="12" Abbr="12 p." DocPartId="e97305f024d54c2ab3f1817d4f2b4dea" PartId="f9b6254b9dc04280ae649cc2806e811e"/>
    </Part>
    <Part Type="signatura" DocPartId="676338246969459996b7e25006e00e63" PartId="3bc37f0e8fe84873a80d61bdd258ee90"/>
  </Part>
</Parts>
</file>

<file path=customXml/itemProps1.xml><?xml version="1.0" encoding="utf-8"?>
<ds:datastoreItem xmlns:ds="http://schemas.openxmlformats.org/officeDocument/2006/customXml" ds:itemID="{5647432D-A1BA-45BB-86BA-533C506E80E0}">
  <ds:schemaRefs>
    <ds:schemaRef ds:uri="http://schemas.microsoft.com/office/2006/metadata/properties"/>
    <ds:schemaRef ds:uri="http://schemas.microsoft.com/office/infopath/2007/PartnerControls"/>
    <ds:schemaRef ds:uri="87060d9b-bffb-4f66-bb23-3a4dc827d5e5"/>
  </ds:schemaRefs>
</ds:datastoreItem>
</file>

<file path=customXml/itemProps2.xml><?xml version="1.0" encoding="utf-8"?>
<ds:datastoreItem xmlns:ds="http://schemas.openxmlformats.org/officeDocument/2006/customXml" ds:itemID="{D1D57057-5F01-4600-83EC-F5E43B64362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6A313CF-FB92-4F94-83CA-8C5CE76C84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060d9b-bffb-4f66-bb23-3a4dc827d5e5"/>
    <ds:schemaRef ds:uri="ca1b324b-1bd1-45ea-a664-c98b8e38f50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838673F-D5E0-420F-B0AC-DF3CBE04A377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AC02606-069E-45ED-97F6-8EEDB55657D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578</Words>
  <Characters>4209</Characters>
  <Application>Microsoft Office Word</Application>
  <DocSecurity>4</DocSecurity>
  <Lines>97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PATVIRTINTA</vt:lpstr>
    </vt:vector>
  </TitlesOfParts>
  <Company>Valdyba</Company>
  <LinksUpToDate>false</LinksUpToDate>
  <CharactersWithSpaces>4739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2025-02-07T09:09:00Z</dcterms:created>
  <dc:creator>L.Demidova</dc:creator>
  <lastModifiedBy>adlibuser</lastModifiedBy>
  <lastPrinted>2024-08-22T06:19:00Z</lastPrinted>
  <dcterms:modified xsi:type="dcterms:W3CDTF">2025-02-07T09:09:00Z</dcterms:modified>
  <revision>2</revision>
  <dc:title>PATVIRTINTA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0x010100816B8D84B405FF4FA25406FAEA36BDF8</vt:lpwstr>
  </property>
</Properties>
</file>