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b5cadaf125a4b97bf4f22526bcc8ce7"/>
        <w:lock w:val="sdtLocked"/>
        <w:richText/>
      </w:sdtPr>
      <w:sdtContent>
        <w:p>
          <w:pPr>
            <w:suppressAutoHyphens/>
            <w:jc w:val="right"/>
            <w:rPr>
              <w:b/>
              <w:spacing w:val="8"/>
              <w:lang w:eastAsia="lt-LT"/>
            </w:rPr>
          </w:pPr>
          <w:r>
            <w:rPr>
              <w:b/>
              <w:spacing w:val="8"/>
              <w:lang w:eastAsia="lt-LT"/>
            </w:rPr>
            <w:t>Projektas</w:t>
          </w:r>
        </w:p>
        <w:p>
          <w:pPr>
            <w:rPr>
              <w:sz w:val="10"/>
              <w:szCs w:val="10"/>
            </w:rPr>
          </w:pPr>
        </w:p>
        <w:p>
          <w:pPr>
            <w:suppressAutoHyphens/>
            <w:jc w:val="center"/>
            <w:rPr>
              <w:b/>
              <w:bCs/>
              <w:lang w:eastAsia="lt-LT"/>
            </w:rPr>
          </w:pPr>
          <w:r>
            <w:rPr>
              <w:b/>
              <w:bCs/>
              <w:lang w:eastAsia="lt-LT"/>
            </w:rPr>
            <w:t>LIETUVOS RESPUBLIKOS APLINKOS MINISTRAS</w:t>
          </w:r>
        </w:p>
        <w:p>
          <w:pPr>
            <w:rPr>
              <w:sz w:val="6"/>
              <w:szCs w:val="6"/>
            </w:rPr>
          </w:pPr>
        </w:p>
        <w:p>
          <w:pPr>
            <w:suppressAutoHyphens/>
            <w:jc w:val="center"/>
            <w:rPr>
              <w:b/>
              <w:bCs/>
              <w:lang w:eastAsia="lt-LT"/>
            </w:rPr>
          </w:pPr>
          <w:r>
            <w:rPr>
              <w:b/>
              <w:bCs/>
              <w:lang w:eastAsia="lt-LT"/>
            </w:rPr>
            <w:t>ĮSAKYMAS</w:t>
          </w:r>
        </w:p>
        <w:p>
          <w:pPr>
            <w:rPr>
              <w:sz w:val="6"/>
              <w:szCs w:val="6"/>
            </w:rPr>
          </w:pPr>
        </w:p>
        <w:p>
          <w:pPr>
            <w:suppressAutoHyphens/>
            <w:jc w:val="center"/>
            <w:rPr>
              <w:b/>
              <w:szCs w:val="24"/>
              <w:lang w:val="de-DE" w:eastAsia="lt-LT"/>
            </w:rPr>
          </w:pPr>
          <w:r>
            <w:rPr>
              <w:b/>
              <w:bCs/>
              <w:szCs w:val="24"/>
              <w:lang w:eastAsia="lt-LT"/>
            </w:rPr>
            <w:t xml:space="preserve">DĖL VEIKSMŲ PLANO UPIŲ VIENTISUMUI ATKURTI IR HIDROELEKTRINIŲ NEIGIAMAM POVEIKIUI MAŽINTI PATVIRTINIMO </w:t>
          </w:r>
        </w:p>
        <w:p>
          <w:pPr>
            <w:suppressAutoHyphens/>
            <w:jc w:val="center"/>
            <w:rPr>
              <w:b/>
              <w:lang w:eastAsia="lt-LT"/>
            </w:rPr>
          </w:pPr>
        </w:p>
        <w:p>
          <w:pPr>
            <w:suppressAutoHyphens/>
            <w:jc w:val="center"/>
            <w:rPr>
              <w:b/>
              <w:lang w:eastAsia="lt-LT"/>
            </w:rPr>
          </w:pPr>
        </w:p>
        <w:p>
          <w:pPr>
            <w:suppressAutoHyphens/>
            <w:jc w:val="center"/>
            <w:rPr>
              <w:lang w:eastAsia="lt-LT"/>
            </w:rPr>
          </w:pPr>
          <w:r>
            <w:rPr>
              <w:lang w:eastAsia="lt-LT"/>
            </w:rPr>
            <w:t>2021 m. &lt;mėnuo&gt;       d. Nr.      </w:t>
          </w:r>
        </w:p>
        <w:p>
          <w:pPr>
            <w:suppressAutoHyphens/>
            <w:jc w:val="center"/>
            <w:rPr>
              <w:lang w:eastAsia="lt-LT"/>
            </w:rPr>
          </w:pPr>
          <w:r>
            <w:rPr>
              <w:lang w:eastAsia="lt-LT"/>
            </w:rPr>
            <w:t>Vilnius</w:t>
            <w:br/>
          </w:r>
        </w:p>
        <w:p>
          <w:pPr>
            <w:suppressAutoHyphens/>
            <w:jc w:val="center"/>
            <w:rPr>
              <w:lang w:eastAsia="lt-LT"/>
            </w:rPr>
          </w:pPr>
        </w:p>
        <w:p>
          <w:pPr>
            <w:suppressAutoHyphens/>
            <w:jc w:val="center"/>
            <w:rPr>
              <w:lang w:eastAsia="lt-LT"/>
            </w:rPr>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5" w:h="16837"/>
              <w:pgMar w:top="2655" w:right="709" w:bottom="1032" w:left="1701" w:header="1140" w:footer="919" w:gutter="0"/>
              <w:cols w:space="1296"/>
              <w:titlePg/>
              <w:docGrid w:linePitch="360"/>
            </w:sectPr>
          </w:pPr>
        </w:p>
        <w:sdt>
          <w:sdtPr>
            <w:alias w:val="preambule"/>
            <w:tag w:val="part_9c39737ba492442aa27719b9c14b47d2"/>
            <w:lock w:val="sdtLocked"/>
            <w:richText/>
          </w:sdtPr>
          <w:sdtContent>
            <w:p>
              <w:pPr>
                <w:suppressAutoHyphens/>
                <w:spacing w:line="276" w:lineRule="auto"/>
                <w:ind w:firstLine="720"/>
                <w:jc w:val="both"/>
                <w:rPr>
                  <w:lang w:eastAsia="lt-LT"/>
                </w:rPr>
              </w:pPr>
              <w:r>
                <w:rPr>
                  <w:lang w:eastAsia="lt-LT"/>
                </w:rPr>
                <w:t xml:space="preserve">Įgyvendindamas Aštuonioliktosios Lietuvos Respublikos Vyriausybės programos nuostatų įgyvendinimo plano,  patvirtinto Lietuvos Respublikos Vyriausybės 2021 m. kovo 10 d. nutarimu Nr. 155 „Dėl Aštuonioliktosios Lietuvos Respublikos Vyriausybės programos nuostatų įgyvendinimo plano patvirtinimo“ 6.4.19 veiksmą, vadovaudamasis </w:t>
              </w:r>
              <w:r>
                <w:rPr>
                  <w:bCs/>
                  <w:color w:val="000000"/>
                  <w:lang w:eastAsia="lt-LT"/>
                </w:rPr>
                <w:t xml:space="preserve">Lietuvos Respublikos aplinkos ministerijos nuostatų, patvirtintų Lietuvos Respublikos Vyriausybės </w:t>
              </w:r>
              <w:r>
                <w:rPr>
                  <w:color w:val="000000"/>
                  <w:lang w:eastAsia="lt-LT"/>
                </w:rPr>
                <w:t>1998 m. rugsėjo 22 d. nutarimu Nr. 1138 „Dėl Lietuvos Respublikos aplinkos ministerijos nuostatų patvirtino",</w:t>
              </w:r>
              <w:r>
                <w:rPr>
                  <w:bCs/>
                  <w:color w:val="000000"/>
                  <w:lang w:eastAsia="lt-LT"/>
                </w:rPr>
                <w:t xml:space="preserve"> </w:t>
              </w:r>
              <w:r>
                <w:rPr>
                  <w:lang w:eastAsia="lt-LT"/>
                </w:rPr>
                <w:t xml:space="preserve"> 7.2. ir 7.9. papunkčiais:</w:t>
              </w:r>
            </w:p>
          </w:sdtContent>
        </w:sdt>
        <w:sdt>
          <w:sdtPr>
            <w:alias w:val="1 p."/>
            <w:tag w:val="part_13581413776f4168b77664a16687f1c4"/>
            <w:lock w:val="sdtLocked"/>
            <w:richText/>
          </w:sdtPr>
          <w:sdtContent>
            <w:p>
              <w:pPr>
                <w:spacing w:line="276" w:lineRule="auto"/>
                <w:ind w:left="720" w:hanging="360"/>
                <w:jc w:val="both"/>
                <w:rPr>
                  <w:lang w:eastAsia="lt-LT"/>
                </w:rPr>
              </w:pPr>
              <w:sdt>
                <w:sdtPr>
                  <w:alias w:val="Numeris"/>
                  <w:tag w:val="nr_13581413776f4168b77664a16687f1c4"/>
                  <w:lock w:val="sdtLocked"/>
                  <w:richText/>
                </w:sdtPr>
                <w:sdtContent>
                  <w:r>
                    <w:rPr>
                      <w:lang w:eastAsia="lt-LT"/>
                    </w:rPr>
                    <w:t>1</w:t>
                  </w:r>
                </w:sdtContent>
              </w:sdt>
              <w:r>
                <w:rPr>
                  <w:lang w:eastAsia="lt-LT"/>
                </w:rPr>
                <w:t>.</w:t>
                <w:tab/>
                <w:t>t v i r t i n u Veiksmų planą upių vientisumui atkurti ir hidroelektrinių neigiamam poveikiui mažinti (pridedama).</w:t>
              </w:r>
            </w:p>
          </w:sdtContent>
        </w:sdt>
        <w:sdt>
          <w:sdtPr>
            <w:alias w:val="2 p."/>
            <w:tag w:val="part_2f091d4633dc46aca99103089b56107b"/>
            <w:lock w:val="sdtLocked"/>
            <w:richText/>
          </w:sdtPr>
          <w:sdtContent>
            <w:p>
              <w:pPr>
                <w:spacing w:line="276" w:lineRule="auto"/>
                <w:ind w:left="720" w:hanging="360"/>
                <w:jc w:val="both"/>
                <w:rPr>
                  <w:lang w:eastAsia="lt-LT"/>
                </w:rPr>
              </w:pPr>
              <w:sdt>
                <w:sdtPr>
                  <w:alias w:val="Numeris"/>
                  <w:tag w:val="nr_2f091d4633dc46aca99103089b56107b"/>
                  <w:lock w:val="sdtLocked"/>
                  <w:richText/>
                </w:sdtPr>
                <w:sdtContent>
                  <w:r>
                    <w:rPr>
                      <w:lang w:eastAsia="lt-LT"/>
                    </w:rPr>
                    <w:t>2</w:t>
                  </w:r>
                </w:sdtContent>
              </w:sdt>
              <w:r>
                <w:rPr>
                  <w:lang w:eastAsia="lt-LT"/>
                </w:rPr>
                <w:t>.</w:t>
                <w:tab/>
                <w:t>p a v e d u Aplinkos ministerijos Strateginių pokyčių grupei ir Taršos prevencijos politikos grupei pagal kompetenciją koordinuoti įsakymo vykdymą.</w:t>
              </w:r>
            </w:p>
            <w:p>
              <w:pPr>
                <w:suppressAutoHyphens/>
                <w:spacing w:line="276" w:lineRule="auto"/>
                <w:ind w:left="720"/>
                <w:jc w:val="both"/>
                <w:rPr>
                  <w:lang w:eastAsia="lt-LT"/>
                </w:rPr>
              </w:pPr>
            </w:p>
            <w:p>
              <w:pPr>
                <w:suppressAutoHyphens/>
                <w:ind w:firstLine="567"/>
                <w:jc w:val="both"/>
                <w:rPr>
                  <w:lang w:eastAsia="lt-LT"/>
                </w:rPr>
              </w:pPr>
            </w:p>
            <w:p>
              <w:pPr>
                <w:suppressAutoHyphens/>
                <w:ind w:firstLine="567"/>
                <w:rPr>
                  <w:lang w:eastAsia="lt-LT"/>
                </w:rPr>
              </w:pPr>
            </w:p>
            <w:p>
              <w:pPr>
                <w:suppressAutoHyphens/>
                <w:ind w:firstLine="567"/>
                <w:rPr>
                  <w:lang w:eastAsia="lt-LT"/>
                </w:rPr>
              </w:pPr>
            </w:p>
            <w:p>
              <w:pPr>
                <w:suppressAutoHyphens/>
                <w:ind w:firstLine="567"/>
                <w:rPr>
                  <w:lang w:eastAsia="lt-LT"/>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trPr>
                  <w:trHeight w:val="340"/>
                </w:trPr>
                <w:tc>
                  <w:tcPr>
                    <w:tcW w:w="4817" w:type="dxa"/>
                    <w:vAlign w:val="bottom"/>
                  </w:tcPr>
                  <w:p>
                    <w:pPr>
                      <w:suppressLineNumbers/>
                      <w:suppressAutoHyphens/>
                      <w:rPr>
                        <w:lang w:eastAsia="lt-LT"/>
                      </w:rPr>
                    </w:pPr>
                    <w:r>
                      <w:rPr>
                        <w:lang w:eastAsia="lt-LT"/>
                      </w:rPr>
                      <w:t>Aplinkos ministras</w:t>
                    </w:r>
                  </w:p>
                  <w:p>
                    <w:pPr>
                      <w:suppressLineNumbers/>
                      <w:suppressAutoHyphens/>
                      <w:rPr>
                        <w:lang w:eastAsia="lt-LT"/>
                      </w:rPr>
                    </w:pPr>
                  </w:p>
                </w:tc>
                <w:tc>
                  <w:tcPr>
                    <w:tcW w:w="4826" w:type="dxa"/>
                    <w:gridSpan w:val="2"/>
                    <w:vAlign w:val="bottom"/>
                  </w:tcPr>
                  <w:p>
                    <w:pPr>
                      <w:suppressAutoHyphens/>
                      <w:ind w:right="34"/>
                      <w:jc w:val="right"/>
                      <w:rPr>
                        <w:lang w:eastAsia="lt-LT"/>
                      </w:rPr>
                    </w:pPr>
                  </w:p>
                </w:tc>
              </w:tr>
              <w:tr>
                <w:trPr>
                  <w:gridAfter w:val="1"/>
                  <w:wAfter w:w="147" w:type="dxa"/>
                  <w:trHeight w:val="297"/>
                </w:trPr>
                <w:tc>
                  <w:tcPr>
                    <w:tcW w:w="4817" w:type="dxa"/>
                    <w:vAlign w:val="bottom"/>
                  </w:tcPr>
                  <w:p>
                    <w:pPr>
                      <w:suppressAutoHyphens/>
                      <w:rPr>
                        <w:lang w:eastAsia="lt-LT"/>
                      </w:rPr>
                    </w:pPr>
                  </w:p>
                </w:tc>
                <w:tc>
                  <w:tcPr>
                    <w:tcW w:w="4679" w:type="dxa"/>
                    <w:vAlign w:val="bottom"/>
                  </w:tcPr>
                  <w:p>
                    <w:pPr>
                      <w:suppressAutoHyphens/>
                      <w:ind w:right="34"/>
                      <w:jc w:val="right"/>
                      <w:rPr>
                        <w:lang w:eastAsia="lt-LT"/>
                      </w:rPr>
                    </w:pPr>
                  </w:p>
                </w:tc>
              </w:tr>
            </w:tbl>
            <w:p/>
            <w:p>
              <w:pPr>
                <w:suppressAutoHyphens/>
                <w:ind w:firstLine="5103"/>
                <w:rPr>
                  <w:szCs w:val="24"/>
                  <w:lang w:eastAsia="en-GB"/>
                </w:rPr>
                <w:sectPr>
                  <w:footnotePr>
                    <w:pos w:val="beneathText"/>
                  </w:footnotePr>
                  <w:type w:val="continuous"/>
                  <w:pgSz w:w="11905" w:h="16837"/>
                  <w:pgMar w:top="2655" w:right="708" w:bottom="1032" w:left="1701" w:header="1142" w:footer="919" w:gutter="0"/>
                  <w:cols w:space="1296"/>
                  <w:formProt w:val="0"/>
                  <w:docGrid w:linePitch="360"/>
                </w:sectPr>
              </w:pPr>
            </w:p>
          </w:sdtContent>
        </w:sdt>
      </w:sdtContent>
    </w:sdt>
    <w:sdt>
      <w:sdtPr>
        <w:alias w:val="patvirtinta"/>
        <w:tag w:val="part_dc3e59ed0431481fb5c6b4111d0bff2c"/>
        <w:lock w:val="sdtLocked"/>
        <w:richText/>
      </w:sdtPr>
      <w:sdtContent>
        <w:p>
          <w:pPr>
            <w:ind w:left="8640" w:firstLine="720"/>
            <w:rPr>
              <w:szCs w:val="24"/>
              <w:lang w:eastAsia="en-GB"/>
            </w:rPr>
          </w:pPr>
          <w:r>
            <w:rPr>
              <w:szCs w:val="24"/>
              <w:lang w:eastAsia="en-GB"/>
            </w:rPr>
            <w:t>PATVIRTINTA</w:t>
          </w:r>
        </w:p>
        <w:p>
          <w:pPr>
            <w:ind w:left="8640" w:firstLine="720"/>
            <w:rPr>
              <w:szCs w:val="24"/>
              <w:lang w:eastAsia="en-GB"/>
            </w:rPr>
          </w:pPr>
          <w:r>
            <w:rPr>
              <w:szCs w:val="24"/>
              <w:lang w:eastAsia="en-GB"/>
            </w:rPr>
            <w:t xml:space="preserve">Lietuvos Respublikos aplinkos ministro </w:t>
          </w:r>
        </w:p>
        <w:p>
          <w:pPr>
            <w:ind w:left="8640" w:firstLine="720"/>
            <w:rPr>
              <w:szCs w:val="24"/>
              <w:lang w:eastAsia="en-GB"/>
            </w:rPr>
          </w:pPr>
          <w:r>
            <w:rPr>
              <w:szCs w:val="24"/>
              <w:lang w:eastAsia="en-GB"/>
            </w:rPr>
            <w:t xml:space="preserve">2021 m. </w:t>
          </w:r>
          <w:r>
            <w:rPr>
              <w:lang w:eastAsia="lt-LT"/>
            </w:rPr>
            <w:t>&lt;mėnuo&gt;       d. Nr.      </w:t>
          </w:r>
        </w:p>
        <w:p>
          <w:pPr>
            <w:jc w:val="center"/>
            <w:rPr>
              <w:lang w:eastAsia="lt-LT"/>
            </w:rPr>
          </w:pPr>
        </w:p>
        <w:p>
          <w:pPr>
            <w:jc w:val="center"/>
            <w:rPr>
              <w:lang w:eastAsia="lt-LT"/>
            </w:rPr>
          </w:pPr>
        </w:p>
        <w:p>
          <w:pPr>
            <w:jc w:val="center"/>
            <w:rPr>
              <w:b/>
              <w:bCs/>
              <w:szCs w:val="24"/>
              <w:lang w:eastAsia="lt-LT"/>
            </w:rPr>
          </w:pPr>
          <w:sdt>
            <w:sdtPr>
              <w:alias w:val="Pavadinimas"/>
              <w:tag w:val="title_dc3e59ed0431481fb5c6b4111d0bff2c"/>
              <w:lock w:val="sdtLocked"/>
              <w:richText/>
            </w:sdtPr>
            <w:sdtContent>
              <w:r>
                <w:rPr>
                  <w:b/>
                  <w:bCs/>
                  <w:szCs w:val="24"/>
                  <w:lang w:eastAsia="lt-LT"/>
                </w:rPr>
                <w:t>VEIKSMŲ PLANAS UPIŲ VIENTISUMUI ATKURTI IR HIDROELEKTRINIŲ NEIGIAMAM POVEIKIUI MAŽINTI</w:t>
              </w:r>
            </w:sdtContent>
          </w:sdt>
        </w:p>
        <w:p/>
        <w:tbl>
          <w:tblPr>
            <w:tblW w:w="1472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7634"/>
            <w:gridCol w:w="2126"/>
            <w:gridCol w:w="2410"/>
            <w:gridCol w:w="1842"/>
          </w:tblGrid>
          <w:tr>
            <w:tc>
              <w:tcPr>
                <w:tcW w:w="709" w:type="dxa"/>
              </w:tcPr>
              <w:p>
                <w:pPr>
                  <w:suppressAutoHyphens/>
                  <w:rPr>
                    <w:sz w:val="10"/>
                    <w:szCs w:val="10"/>
                    <w:lang w:eastAsia="lt-LT"/>
                  </w:rPr>
                </w:pPr>
              </w:p>
              <w:p>
                <w:pPr>
                  <w:suppressAutoHyphens/>
                  <w:rPr>
                    <w:b/>
                    <w:bCs/>
                    <w:szCs w:val="22"/>
                  </w:rPr>
                </w:pPr>
                <w:r>
                  <w:rPr>
                    <w:b/>
                    <w:bCs/>
                    <w:szCs w:val="22"/>
                  </w:rPr>
                  <w:t>Eil.Nr.</w:t>
                </w:r>
              </w:p>
            </w:tc>
            <w:tc>
              <w:tcPr>
                <w:tcW w:w="7634" w:type="dxa"/>
              </w:tcPr>
              <w:p>
                <w:pPr>
                  <w:rPr>
                    <w:sz w:val="10"/>
                    <w:szCs w:val="10"/>
                  </w:rPr>
                </w:pPr>
              </w:p>
              <w:p>
                <w:pPr>
                  <w:suppressAutoHyphens/>
                  <w:jc w:val="center"/>
                  <w:rPr>
                    <w:b/>
                    <w:bCs/>
                    <w:szCs w:val="22"/>
                  </w:rPr>
                </w:pPr>
                <w:r>
                  <w:rPr>
                    <w:b/>
                    <w:bCs/>
                    <w:szCs w:val="22"/>
                  </w:rPr>
                  <w:t>Priemonės pavadinimas</w:t>
                </w:r>
              </w:p>
            </w:tc>
            <w:tc>
              <w:tcPr>
                <w:tcW w:w="2126" w:type="dxa"/>
              </w:tcPr>
              <w:p>
                <w:pPr>
                  <w:rPr>
                    <w:sz w:val="10"/>
                    <w:szCs w:val="10"/>
                  </w:rPr>
                </w:pPr>
              </w:p>
              <w:p>
                <w:pPr>
                  <w:suppressAutoHyphens/>
                  <w:jc w:val="center"/>
                  <w:rPr>
                    <w:b/>
                    <w:bCs/>
                    <w:szCs w:val="22"/>
                  </w:rPr>
                </w:pPr>
                <w:r>
                  <w:rPr>
                    <w:b/>
                    <w:bCs/>
                    <w:szCs w:val="22"/>
                  </w:rPr>
                  <w:t>Atsakingi vykdytojai</w:t>
                </w:r>
              </w:p>
            </w:tc>
            <w:tc>
              <w:tcPr>
                <w:tcW w:w="2410" w:type="dxa"/>
              </w:tcPr>
              <w:p>
                <w:pPr>
                  <w:rPr>
                    <w:sz w:val="10"/>
                    <w:szCs w:val="10"/>
                  </w:rPr>
                </w:pPr>
              </w:p>
              <w:p>
                <w:pPr>
                  <w:suppressAutoHyphens/>
                  <w:jc w:val="center"/>
                  <w:rPr>
                    <w:b/>
                    <w:bCs/>
                    <w:szCs w:val="22"/>
                  </w:rPr>
                </w:pPr>
                <w:r>
                  <w:rPr>
                    <w:b/>
                    <w:bCs/>
                    <w:szCs w:val="22"/>
                  </w:rPr>
                  <w:t>Dalyvaujančios institucijos</w:t>
                </w:r>
              </w:p>
            </w:tc>
            <w:tc>
              <w:tcPr>
                <w:tcW w:w="1842" w:type="dxa"/>
              </w:tcPr>
              <w:p>
                <w:pPr>
                  <w:rPr>
                    <w:sz w:val="10"/>
                    <w:szCs w:val="10"/>
                  </w:rPr>
                </w:pPr>
              </w:p>
              <w:p>
                <w:pPr>
                  <w:suppressAutoHyphens/>
                  <w:jc w:val="center"/>
                  <w:rPr>
                    <w:b/>
                    <w:bCs/>
                    <w:szCs w:val="22"/>
                  </w:rPr>
                </w:pPr>
                <w:r>
                  <w:rPr>
                    <w:b/>
                    <w:bCs/>
                    <w:szCs w:val="22"/>
                  </w:rPr>
                  <w:t>Įvykdymo laikotarpis</w:t>
                </w:r>
              </w:p>
            </w:tc>
          </w:tr>
          <w:tr>
            <w:tc>
              <w:tcPr>
                <w:tcW w:w="14721" w:type="dxa"/>
                <w:gridSpan w:val="5"/>
              </w:tcPr>
              <w:p>
                <w:pPr>
                  <w:rPr>
                    <w:sz w:val="10"/>
                    <w:szCs w:val="10"/>
                  </w:rPr>
                </w:pPr>
              </w:p>
              <w:p>
                <w:pPr>
                  <w:suppressAutoHyphens/>
                  <w:jc w:val="both"/>
                  <w:rPr>
                    <w:b/>
                    <w:bCs/>
                    <w:szCs w:val="22"/>
                  </w:rPr>
                </w:pPr>
                <w:r>
                  <w:rPr>
                    <w:b/>
                    <w:bCs/>
                    <w:szCs w:val="22"/>
                  </w:rPr>
                  <w:t>Tikslas: Siekti kuo mažesnio hidroelektrinių neigiamo poveikio vandens telkiniams ir bioįvairovei.</w:t>
                </w:r>
              </w:p>
            </w:tc>
          </w:tr>
          <w:tr>
            <w:tc>
              <w:tcPr>
                <w:tcW w:w="14721" w:type="dxa"/>
                <w:gridSpan w:val="5"/>
              </w:tcPr>
              <w:p>
                <w:pPr>
                  <w:rPr>
                    <w:sz w:val="10"/>
                    <w:szCs w:val="10"/>
                  </w:rPr>
                </w:pPr>
              </w:p>
              <w:p>
                <w:pPr>
                  <w:suppressAutoHyphens/>
                  <w:jc w:val="both"/>
                  <w:rPr>
                    <w:b/>
                    <w:bCs/>
                    <w:color w:val="4F81BD"/>
                    <w:szCs w:val="22"/>
                  </w:rPr>
                </w:pPr>
                <w:r>
                  <w:rPr>
                    <w:b/>
                    <w:bCs/>
                    <w:szCs w:val="22"/>
                  </w:rPr>
                  <w:t xml:space="preserve">Uždavinys: Atnaujinti teisės aktus pagal pasikeitusias aplinkos sąlygas ir mokslo pažangą. </w:t>
                </w:r>
              </w:p>
            </w:tc>
          </w:tr>
          <w:tr>
            <w:tc>
              <w:tcPr>
                <w:tcW w:w="709" w:type="dxa"/>
              </w:tcPr>
              <w:p>
                <w:pPr>
                  <w:rPr>
                    <w:sz w:val="10"/>
                    <w:szCs w:val="10"/>
                  </w:rPr>
                </w:pPr>
              </w:p>
              <w:p>
                <w:pPr>
                  <w:suppressAutoHyphens/>
                  <w:rPr>
                    <w:szCs w:val="22"/>
                  </w:rPr>
                </w:pPr>
                <w:r>
                  <w:rPr>
                    <w:szCs w:val="22"/>
                  </w:rPr>
                  <w:t>1.</w:t>
                </w:r>
              </w:p>
            </w:tc>
            <w:tc>
              <w:tcPr>
                <w:tcW w:w="7634" w:type="dxa"/>
              </w:tcPr>
              <w:p>
                <w:pPr>
                  <w:rPr>
                    <w:sz w:val="10"/>
                    <w:szCs w:val="10"/>
                  </w:rPr>
                </w:pPr>
              </w:p>
              <w:p>
                <w:pPr>
                  <w:jc w:val="both"/>
                  <w:rPr>
                    <w:color w:val="000000"/>
                    <w:szCs w:val="24"/>
                  </w:rPr>
                </w:pPr>
                <w:r>
                  <w:rPr>
                    <w:color w:val="000000"/>
                    <w:szCs w:val="24"/>
                  </w:rPr>
                  <w:t>Parengti ir patvirtinti Vandens įstatymo pakeitimo projektą, siekiant sudaryti sąlygas upių vientisumo atkūrimui, geros vandens telkinių būklės pasiekimui ir numatant, kad visos hidroelektrinės privalo turėti vandens naudojimo leidimus.</w:t>
                </w:r>
              </w:p>
            </w:tc>
            <w:tc>
              <w:tcPr>
                <w:tcW w:w="2126" w:type="dxa"/>
              </w:tcPr>
              <w:p>
                <w:pPr>
                  <w:rPr>
                    <w:sz w:val="10"/>
                    <w:szCs w:val="10"/>
                  </w:rPr>
                </w:pPr>
              </w:p>
              <w:p>
                <w:pPr>
                  <w:suppressAutoHyphens/>
                  <w:rPr>
                    <w:szCs w:val="22"/>
                  </w:rPr>
                </w:pPr>
                <w:r>
                  <w:rPr>
                    <w:color w:val="000000"/>
                    <w:szCs w:val="22"/>
                  </w:rPr>
                  <w:t>Aplinkos ministerijos Taršos prevencijos politikos grupė (toliau – AM TPPG)</w:t>
                </w:r>
              </w:p>
            </w:tc>
            <w:tc>
              <w:tcPr>
                <w:tcW w:w="2410" w:type="dxa"/>
              </w:tcPr>
              <w:p>
                <w:pPr>
                  <w:rPr>
                    <w:sz w:val="10"/>
                    <w:szCs w:val="10"/>
                  </w:rPr>
                </w:pPr>
              </w:p>
              <w:p>
                <w:pPr>
                  <w:suppressAutoHyphens/>
                  <w:rPr>
                    <w:color w:val="000000"/>
                    <w:szCs w:val="22"/>
                    <w:lang w:val="en-GB"/>
                  </w:rPr>
                </w:pPr>
                <w:r>
                  <w:rPr>
                    <w:color w:val="000000"/>
                    <w:szCs w:val="22"/>
                  </w:rPr>
                  <w:t>Aplinkos ministerijos Strateginių pokyčių grupė (toliau – AM SPG), Energetikos ministerija (toliau – EM)</w:t>
                </w:r>
              </w:p>
            </w:tc>
            <w:tc>
              <w:tcPr>
                <w:tcW w:w="1842" w:type="dxa"/>
              </w:tcPr>
              <w:p>
                <w:pPr>
                  <w:rPr>
                    <w:sz w:val="10"/>
                    <w:szCs w:val="10"/>
                  </w:rPr>
                </w:pPr>
              </w:p>
              <w:p>
                <w:pPr>
                  <w:suppressAutoHyphens/>
                  <w:rPr>
                    <w:szCs w:val="22"/>
                  </w:rPr>
                </w:pPr>
                <w:r>
                  <w:rPr>
                    <w:color w:val="000000"/>
                    <w:szCs w:val="22"/>
                  </w:rPr>
                  <w:t>2021 m. IV ketv.</w:t>
                </w:r>
              </w:p>
            </w:tc>
          </w:tr>
          <w:tr>
            <w:tc>
              <w:tcPr>
                <w:tcW w:w="709" w:type="dxa"/>
              </w:tcPr>
              <w:p>
                <w:pPr>
                  <w:rPr>
                    <w:sz w:val="10"/>
                    <w:szCs w:val="10"/>
                  </w:rPr>
                </w:pPr>
              </w:p>
              <w:p>
                <w:pPr>
                  <w:suppressAutoHyphens/>
                  <w:rPr>
                    <w:szCs w:val="22"/>
                  </w:rPr>
                </w:pPr>
                <w:r>
                  <w:rPr>
                    <w:szCs w:val="22"/>
                  </w:rPr>
                  <w:t xml:space="preserve">2. </w:t>
                </w:r>
              </w:p>
            </w:tc>
            <w:tc>
              <w:tcPr>
                <w:tcW w:w="7634" w:type="dxa"/>
              </w:tcPr>
              <w:p>
                <w:pPr>
                  <w:rPr>
                    <w:sz w:val="10"/>
                    <w:szCs w:val="10"/>
                  </w:rPr>
                </w:pPr>
              </w:p>
              <w:p>
                <w:pPr>
                  <w:jc w:val="both"/>
                  <w:rPr>
                    <w:color w:val="000000"/>
                    <w:szCs w:val="24"/>
                  </w:rPr>
                </w:pPr>
                <w:r>
                  <w:rPr>
                    <w:color w:val="000000"/>
                    <w:szCs w:val="24"/>
                  </w:rPr>
                  <w:t xml:space="preserve">Parengti ir patvirtinti teisės aktus kuriuose įtvirtinamos nuostatos dėl Elektros gamybos leidimų sustabdymo ir panaikinimo dėl aplinkosauginių reikalavimų nesilaikymo.  </w:t>
                </w:r>
              </w:p>
            </w:tc>
            <w:tc>
              <w:tcPr>
                <w:tcW w:w="2126" w:type="dxa"/>
              </w:tcPr>
              <w:p>
                <w:pPr>
                  <w:rPr>
                    <w:sz w:val="10"/>
                    <w:szCs w:val="10"/>
                  </w:rPr>
                </w:pPr>
              </w:p>
              <w:p>
                <w:pPr>
                  <w:suppressAutoHyphens/>
                  <w:rPr>
                    <w:szCs w:val="22"/>
                  </w:rPr>
                </w:pPr>
                <w:r>
                  <w:rPr>
                    <w:szCs w:val="22"/>
                  </w:rPr>
                  <w:t xml:space="preserve">AM TPPG </w:t>
                </w:r>
              </w:p>
            </w:tc>
            <w:tc>
              <w:tcPr>
                <w:tcW w:w="2410" w:type="dxa"/>
              </w:tcPr>
              <w:p>
                <w:pPr>
                  <w:rPr>
                    <w:sz w:val="10"/>
                    <w:szCs w:val="10"/>
                  </w:rPr>
                </w:pPr>
              </w:p>
              <w:p>
                <w:pPr>
                  <w:suppressAutoHyphens/>
                  <w:rPr>
                    <w:color w:val="000000"/>
                    <w:szCs w:val="22"/>
                    <w:lang w:val="en-GB"/>
                  </w:rPr>
                </w:pPr>
                <w:r>
                  <w:rPr>
                    <w:szCs w:val="22"/>
                  </w:rPr>
                  <w:t>EM, Valstybinė energetikos reguliavimo taryba (toliau – VERT)</w:t>
                </w:r>
              </w:p>
            </w:tc>
            <w:tc>
              <w:tcPr>
                <w:tcW w:w="1842" w:type="dxa"/>
              </w:tcPr>
              <w:p>
                <w:pPr>
                  <w:rPr>
                    <w:sz w:val="10"/>
                    <w:szCs w:val="10"/>
                  </w:rPr>
                </w:pPr>
              </w:p>
              <w:p>
                <w:pPr>
                  <w:suppressAutoHyphens/>
                  <w:rPr>
                    <w:szCs w:val="22"/>
                  </w:rPr>
                </w:pPr>
                <w:r>
                  <w:rPr>
                    <w:color w:val="000000"/>
                    <w:szCs w:val="22"/>
                  </w:rPr>
                  <w:t>2021 m. IV ketv.</w:t>
                </w:r>
              </w:p>
            </w:tc>
          </w:tr>
          <w:tr>
            <w:tc>
              <w:tcPr>
                <w:tcW w:w="709" w:type="dxa"/>
              </w:tcPr>
              <w:p>
                <w:pPr>
                  <w:rPr>
                    <w:sz w:val="10"/>
                    <w:szCs w:val="10"/>
                  </w:rPr>
                </w:pPr>
              </w:p>
              <w:p>
                <w:pPr>
                  <w:suppressAutoHyphens/>
                  <w:rPr>
                    <w:szCs w:val="22"/>
                  </w:rPr>
                </w:pPr>
                <w:r>
                  <w:rPr>
                    <w:szCs w:val="22"/>
                  </w:rPr>
                  <w:t>3.</w:t>
                </w:r>
              </w:p>
            </w:tc>
            <w:tc>
              <w:tcPr>
                <w:tcW w:w="7634" w:type="dxa"/>
              </w:tcPr>
              <w:p>
                <w:pPr>
                  <w:rPr>
                    <w:sz w:val="10"/>
                    <w:szCs w:val="10"/>
                  </w:rPr>
                </w:pPr>
              </w:p>
              <w:p>
                <w:pPr>
                  <w:jc w:val="both"/>
                  <w:rPr>
                    <w:szCs w:val="24"/>
                  </w:rPr>
                </w:pPr>
                <w:r>
                  <w:rPr>
                    <w:szCs w:val="24"/>
                  </w:rPr>
                  <w:t xml:space="preserve">Numatyti finansavimą ir parengti  ekologinio nuotėkio skaičiavimo metodiką, parengti ir patvirtinti Lietuvos Respublikos aplinkos ministro 2005 m. liepos 29 d. įsakymo Nr. D1-382 „Dėl gamtosauginio vandens debito apskaičiavimo tvarkos aprašo patvirtinimo“ pakeitimo projektą gamtosauginio debito skaičiavimui, pritaikant ekologinio nuotėkio skaičiavimo koncepciją.</w:t>
                </w:r>
              </w:p>
            </w:tc>
            <w:tc>
              <w:tcPr>
                <w:tcW w:w="2126" w:type="dxa"/>
              </w:tcPr>
              <w:p>
                <w:pPr>
                  <w:rPr>
                    <w:sz w:val="10"/>
                    <w:szCs w:val="10"/>
                  </w:rPr>
                </w:pPr>
              </w:p>
              <w:p>
                <w:pPr>
                  <w:suppressAutoHyphens/>
                  <w:rPr>
                    <w:szCs w:val="22"/>
                  </w:rPr>
                </w:pPr>
                <w:r>
                  <w:rPr>
                    <w:szCs w:val="22"/>
                  </w:rPr>
                  <w:t>Lietuvos hidrometeorologijos tarnyba (toliau – LHMT), AM TPPG</w:t>
                </w:r>
              </w:p>
            </w:tc>
            <w:tc>
              <w:tcPr>
                <w:tcW w:w="2410" w:type="dxa"/>
              </w:tcPr>
              <w:p>
                <w:pPr>
                  <w:rPr>
                    <w:sz w:val="10"/>
                    <w:szCs w:val="10"/>
                  </w:rPr>
                </w:pPr>
              </w:p>
              <w:p>
                <w:pPr>
                  <w:suppressAutoHyphens/>
                  <w:spacing w:line="276" w:lineRule="auto"/>
                  <w:rPr>
                    <w:szCs w:val="22"/>
                  </w:rPr>
                </w:pPr>
                <w:r>
                  <w:rPr>
                    <w:szCs w:val="22"/>
                  </w:rPr>
                  <w:t>Aplinkos apsaugos agentūra (toliau – AAA)</w:t>
                </w:r>
              </w:p>
            </w:tc>
            <w:tc>
              <w:tcPr>
                <w:tcW w:w="1842" w:type="dxa"/>
              </w:tcPr>
              <w:p>
                <w:pPr>
                  <w:rPr>
                    <w:sz w:val="10"/>
                    <w:szCs w:val="10"/>
                  </w:rPr>
                </w:pPr>
              </w:p>
              <w:p>
                <w:pPr>
                  <w:suppressAutoHyphens/>
                  <w:spacing w:line="276" w:lineRule="auto"/>
                  <w:rPr>
                    <w:szCs w:val="22"/>
                    <w:highlight w:val="lightGray"/>
                  </w:rPr>
                </w:pPr>
                <w:r>
                  <w:rPr>
                    <w:szCs w:val="22"/>
                  </w:rPr>
                  <w:t>2022 m. II ketv.</w:t>
                </w:r>
              </w:p>
            </w:tc>
          </w:tr>
          <w:tr>
            <w:tc>
              <w:tcPr>
                <w:tcW w:w="709" w:type="dxa"/>
              </w:tcPr>
              <w:p>
                <w:pPr>
                  <w:rPr>
                    <w:sz w:val="10"/>
                    <w:szCs w:val="10"/>
                  </w:rPr>
                </w:pPr>
              </w:p>
              <w:p>
                <w:pPr>
                  <w:suppressAutoHyphens/>
                  <w:rPr>
                    <w:szCs w:val="22"/>
                  </w:rPr>
                </w:pPr>
                <w:r>
                  <w:rPr>
                    <w:szCs w:val="22"/>
                  </w:rPr>
                  <w:t xml:space="preserve">4. </w:t>
                </w:r>
              </w:p>
            </w:tc>
            <w:tc>
              <w:tcPr>
                <w:tcW w:w="7634" w:type="dxa"/>
              </w:tcPr>
              <w:p>
                <w:pPr>
                  <w:rPr>
                    <w:sz w:val="10"/>
                    <w:szCs w:val="10"/>
                  </w:rPr>
                </w:pPr>
              </w:p>
              <w:p>
                <w:pPr>
                  <w:jc w:val="both"/>
                  <w:rPr>
                    <w:color w:val="000000"/>
                    <w:szCs w:val="24"/>
                  </w:rPr>
                </w:pPr>
                <w:r>
                  <w:rPr>
                    <w:color w:val="000000"/>
                    <w:szCs w:val="24"/>
                    <w:shd w:val="clear" w:color="auto" w:fill="FFFFFF"/>
                  </w:rPr>
                  <w:t>Parengti ir patvirtinti Lietuvos Respublikos aplinkos ministro 2003 m. lapkričio 17 d. įsakymo Nr. 565 „Dėl Statybos techninio reglamento STR 2.02.03:2003 Žuvų pralaidos. Pagrindinės nuostatos“ patvirtinimo“ pakeitimo projektą, įvertinus 2020 m. Aplinkos ministerijos įgyvendinto projekto „Tinkamų sąlygų žuvims migruoti per kliūtis sudarymo galimybių studijos parengimas“ vykdytojų pasiūlymus dėl STR 2.02.03:2003 Žuvų pralaidos pakeitimų. </w:t>
                </w:r>
              </w:p>
            </w:tc>
            <w:tc>
              <w:tcPr>
                <w:tcW w:w="2126" w:type="dxa"/>
              </w:tcPr>
              <w:p>
                <w:pPr>
                  <w:rPr>
                    <w:sz w:val="10"/>
                    <w:szCs w:val="10"/>
                  </w:rPr>
                </w:pPr>
              </w:p>
              <w:p>
                <w:pPr>
                  <w:suppressAutoHyphens/>
                  <w:rPr>
                    <w:szCs w:val="22"/>
                  </w:rPr>
                </w:pPr>
                <w:r>
                  <w:rPr>
                    <w:color w:val="000000"/>
                    <w:szCs w:val="22"/>
                    <w:shd w:val="clear" w:color="auto" w:fill="FFFFFF"/>
                  </w:rPr>
                  <w:t xml:space="preserve">Aplinkos ministerijos Statybos ir teritorijų planavimo politikos grupė (toliau - AM STPPG) </w:t>
                </w:r>
              </w:p>
            </w:tc>
            <w:tc>
              <w:tcPr>
                <w:tcW w:w="2410" w:type="dxa"/>
              </w:tcPr>
              <w:p>
                <w:pPr>
                  <w:rPr>
                    <w:sz w:val="10"/>
                    <w:szCs w:val="10"/>
                  </w:rPr>
                </w:pPr>
              </w:p>
              <w:p>
                <w:pPr>
                  <w:suppressAutoHyphens/>
                  <w:rPr>
                    <w:szCs w:val="22"/>
                    <w:lang w:val="en-GB"/>
                  </w:rPr>
                </w:pPr>
                <w:r>
                  <w:rPr>
                    <w:color w:val="000000"/>
                    <w:szCs w:val="22"/>
                    <w:shd w:val="clear" w:color="auto" w:fill="FFFFFF"/>
                  </w:rPr>
                  <w:t>Aplinkos ministerijos Gamtos apsaugos politikos grupė (toliau - AM GAPG), AM TPPG</w:t>
                </w:r>
              </w:p>
            </w:tc>
            <w:tc>
              <w:tcPr>
                <w:tcW w:w="1842" w:type="dxa"/>
              </w:tcPr>
              <w:p>
                <w:pPr>
                  <w:rPr>
                    <w:sz w:val="10"/>
                    <w:szCs w:val="10"/>
                  </w:rPr>
                </w:pPr>
              </w:p>
              <w:p>
                <w:pPr>
                  <w:suppressAutoHyphens/>
                  <w:rPr>
                    <w:szCs w:val="22"/>
                  </w:rPr>
                </w:pPr>
                <w:r>
                  <w:rPr>
                    <w:szCs w:val="22"/>
                  </w:rPr>
                  <w:t xml:space="preserve">2022 m. II ketv. </w:t>
                </w:r>
              </w:p>
            </w:tc>
          </w:tr>
          <w:tr>
            <w:tc>
              <w:tcPr>
                <w:tcW w:w="709" w:type="dxa"/>
              </w:tcPr>
              <w:p>
                <w:pPr>
                  <w:rPr>
                    <w:sz w:val="10"/>
                    <w:szCs w:val="10"/>
                  </w:rPr>
                </w:pPr>
              </w:p>
              <w:p>
                <w:pPr>
                  <w:suppressAutoHyphens/>
                  <w:rPr>
                    <w:szCs w:val="22"/>
                  </w:rPr>
                </w:pPr>
                <w:r>
                  <w:rPr>
                    <w:szCs w:val="22"/>
                  </w:rPr>
                  <w:t>5.</w:t>
                </w:r>
              </w:p>
            </w:tc>
            <w:tc>
              <w:tcPr>
                <w:tcW w:w="7634" w:type="dxa"/>
              </w:tcPr>
              <w:p>
                <w:pPr>
                  <w:rPr>
                    <w:sz w:val="10"/>
                    <w:szCs w:val="10"/>
                  </w:rPr>
                </w:pPr>
              </w:p>
              <w:p>
                <w:pPr>
                  <w:jc w:val="both"/>
                  <w:textAlignment w:val="baseline"/>
                  <w:rPr>
                    <w:color w:val="000000"/>
                    <w:szCs w:val="24"/>
                    <w:lang w:eastAsia="en-GB"/>
                  </w:rPr>
                </w:pPr>
                <w:r>
                  <w:rPr>
                    <w:color w:val="000000"/>
                    <w:szCs w:val="24"/>
                    <w:lang w:eastAsia="en-GB"/>
                  </w:rPr>
                  <w:t>Parengti ir patvirtinti Lietuvos Respublikos aplinkos ministro 2006 m. birželio 23 d. įsakymo Nr. D1-313 „Dėl Lietuvos aplinkos apsaugos normatyvinio dokumento LAND 81-2006 „Vandens debito matavimo hidrometriniais suktukais ir plūdėmis metodika“ patvirtinimo“ pakeitimo projektą, siekiant aiškiau reglamentuoti vandens debito matavimus. </w:t>
                </w:r>
              </w:p>
            </w:tc>
            <w:tc>
              <w:tcPr>
                <w:tcW w:w="2126" w:type="dxa"/>
              </w:tcPr>
              <w:p>
                <w:pPr>
                  <w:rPr>
                    <w:sz w:val="10"/>
                    <w:szCs w:val="10"/>
                  </w:rPr>
                </w:pPr>
              </w:p>
              <w:p>
                <w:pPr>
                  <w:suppressAutoHyphens/>
                  <w:rPr>
                    <w:szCs w:val="22"/>
                  </w:rPr>
                </w:pPr>
                <w:r>
                  <w:rPr>
                    <w:color w:val="000000"/>
                    <w:szCs w:val="22"/>
                    <w:shd w:val="clear" w:color="auto" w:fill="FFFFFF"/>
                  </w:rPr>
                  <w:t xml:space="preserve">AM TPPG </w:t>
                </w:r>
              </w:p>
            </w:tc>
            <w:tc>
              <w:tcPr>
                <w:tcW w:w="2410" w:type="dxa"/>
              </w:tcPr>
              <w:p>
                <w:pPr>
                  <w:rPr>
                    <w:sz w:val="10"/>
                    <w:szCs w:val="10"/>
                  </w:rPr>
                </w:pPr>
              </w:p>
              <w:p>
                <w:pPr>
                  <w:suppressAutoHyphens/>
                  <w:rPr>
                    <w:szCs w:val="22"/>
                    <w:lang w:val="en-GB"/>
                  </w:rPr>
                </w:pPr>
                <w:r>
                  <w:rPr>
                    <w:color w:val="000000"/>
                    <w:szCs w:val="22"/>
                    <w:shd w:val="clear" w:color="auto" w:fill="FFFFFF"/>
                  </w:rPr>
                  <w:t>AAA, Aplinkos ministerijos Klimato kaitos grupė (toliau - AM KPG), LHMT</w:t>
                </w:r>
              </w:p>
            </w:tc>
            <w:tc>
              <w:tcPr>
                <w:tcW w:w="1842" w:type="dxa"/>
              </w:tcPr>
              <w:p>
                <w:pPr>
                  <w:rPr>
                    <w:sz w:val="10"/>
                    <w:szCs w:val="10"/>
                  </w:rPr>
                </w:pPr>
              </w:p>
              <w:p>
                <w:pPr>
                  <w:suppressAutoHyphens/>
                  <w:rPr>
                    <w:szCs w:val="22"/>
                  </w:rPr>
                </w:pPr>
                <w:r>
                  <w:rPr>
                    <w:szCs w:val="22"/>
                  </w:rPr>
                  <w:t>2021 m. IV ketv.</w:t>
                </w:r>
              </w:p>
            </w:tc>
          </w:tr>
          <w:tr>
            <w:tc>
              <w:tcPr>
                <w:tcW w:w="709" w:type="dxa"/>
              </w:tcPr>
              <w:p>
                <w:pPr>
                  <w:rPr>
                    <w:sz w:val="10"/>
                    <w:szCs w:val="10"/>
                  </w:rPr>
                </w:pPr>
              </w:p>
              <w:p>
                <w:pPr>
                  <w:suppressAutoHyphens/>
                  <w:rPr>
                    <w:szCs w:val="22"/>
                  </w:rPr>
                </w:pPr>
                <w:r>
                  <w:rPr>
                    <w:szCs w:val="22"/>
                  </w:rPr>
                  <w:t>6.</w:t>
                </w:r>
              </w:p>
            </w:tc>
            <w:tc>
              <w:tcPr>
                <w:tcW w:w="7634" w:type="dxa"/>
              </w:tcPr>
              <w:p>
                <w:pPr>
                  <w:rPr>
                    <w:sz w:val="10"/>
                    <w:szCs w:val="10"/>
                  </w:rPr>
                </w:pPr>
              </w:p>
              <w:p>
                <w:pPr>
                  <w:jc w:val="both"/>
                  <w:textAlignment w:val="baseline"/>
                  <w:rPr>
                    <w:szCs w:val="24"/>
                  </w:rPr>
                </w:pPr>
                <w:r>
                  <w:rPr>
                    <w:szCs w:val="24"/>
                    <w:lang w:eastAsia="en-GB"/>
                  </w:rPr>
                  <w:t xml:space="preserve">Nustatyti hidrologinės sausros kriterijų,  parengti metodiką jam skaičiuoti, parengti ir patvirtinti  </w:t>
                </w:r>
                <w:r>
                  <w:rPr>
                    <w:color w:val="000000"/>
                    <w:szCs w:val="24"/>
                    <w:lang w:eastAsia="en-GB"/>
                  </w:rPr>
                  <w:t xml:space="preserve"> </w:t>
                </w:r>
                <w:r>
                  <w:rPr>
                    <w:szCs w:val="24"/>
                    <w:lang w:eastAsia="en-GB"/>
                  </w:rPr>
                  <w:t xml:space="preserve">Lietuvos Respublikos aplinkos ministro 2011m. lapkričio 11 d. įsakymo Nr.D1-870 „Dėl Stichinių, katastrofinių meteorologinių ir hidrologinių reiškinių rodiklių patvirtinimo“ pakeitimo projektą, įtraukiant </w:t>
                </w:r>
                <w:r>
                  <w:rPr>
                    <w:color w:val="000000"/>
                    <w:szCs w:val="24"/>
                    <w:lang w:eastAsia="en-GB"/>
                  </w:rPr>
                  <w:t>hidrologinės sausros kriterijų. </w:t>
                </w:r>
              </w:p>
            </w:tc>
            <w:tc>
              <w:tcPr>
                <w:tcW w:w="2126" w:type="dxa"/>
              </w:tcPr>
              <w:p>
                <w:pPr>
                  <w:rPr>
                    <w:sz w:val="10"/>
                    <w:szCs w:val="10"/>
                  </w:rPr>
                </w:pPr>
              </w:p>
              <w:p>
                <w:pPr>
                  <w:suppressAutoHyphens/>
                  <w:rPr>
                    <w:szCs w:val="22"/>
                  </w:rPr>
                </w:pPr>
                <w:r>
                  <w:rPr>
                    <w:color w:val="000000"/>
                    <w:szCs w:val="22"/>
                    <w:shd w:val="clear" w:color="auto" w:fill="FFFFFF"/>
                  </w:rPr>
                  <w:t>AM KPG, AM TPPG</w:t>
                </w:r>
              </w:p>
            </w:tc>
            <w:tc>
              <w:tcPr>
                <w:tcW w:w="2410" w:type="dxa"/>
              </w:tcPr>
              <w:p>
                <w:pPr>
                  <w:rPr>
                    <w:sz w:val="10"/>
                    <w:szCs w:val="10"/>
                  </w:rPr>
                </w:pPr>
              </w:p>
              <w:p>
                <w:pPr>
                  <w:suppressAutoHyphens/>
                  <w:rPr>
                    <w:szCs w:val="22"/>
                    <w:lang w:val="en-GB"/>
                  </w:rPr>
                </w:pPr>
                <w:r>
                  <w:rPr>
                    <w:color w:val="000000"/>
                    <w:szCs w:val="22"/>
                    <w:shd w:val="clear" w:color="auto" w:fill="FFFFFF"/>
                  </w:rPr>
                  <w:t>AAA, LHMT</w:t>
                </w:r>
              </w:p>
            </w:tc>
            <w:tc>
              <w:tcPr>
                <w:tcW w:w="1842" w:type="dxa"/>
              </w:tcPr>
              <w:p>
                <w:pPr>
                  <w:rPr>
                    <w:sz w:val="10"/>
                    <w:szCs w:val="10"/>
                  </w:rPr>
                </w:pPr>
              </w:p>
              <w:p>
                <w:pPr>
                  <w:suppressAutoHyphens/>
                  <w:rPr>
                    <w:szCs w:val="22"/>
                  </w:rPr>
                </w:pPr>
                <w:r>
                  <w:rPr>
                    <w:szCs w:val="22"/>
                  </w:rPr>
                  <w:t>2022 m. I ketv.</w:t>
                </w:r>
              </w:p>
            </w:tc>
          </w:tr>
          <w:tr>
            <w:tc>
              <w:tcPr>
                <w:tcW w:w="709" w:type="dxa"/>
              </w:tcPr>
              <w:p>
                <w:pPr>
                  <w:rPr>
                    <w:sz w:val="10"/>
                    <w:szCs w:val="10"/>
                  </w:rPr>
                </w:pPr>
              </w:p>
              <w:p>
                <w:pPr>
                  <w:suppressAutoHyphens/>
                  <w:rPr>
                    <w:szCs w:val="22"/>
                  </w:rPr>
                </w:pPr>
                <w:r>
                  <w:rPr>
                    <w:szCs w:val="22"/>
                  </w:rPr>
                  <w:t>7.</w:t>
                </w:r>
              </w:p>
            </w:tc>
            <w:tc>
              <w:tcPr>
                <w:tcW w:w="7634" w:type="dxa"/>
              </w:tcPr>
              <w:p>
                <w:pPr>
                  <w:rPr>
                    <w:sz w:val="10"/>
                    <w:szCs w:val="10"/>
                  </w:rPr>
                </w:pPr>
              </w:p>
              <w:p>
                <w:pPr>
                  <w:jc w:val="both"/>
                  <w:textAlignment w:val="baseline"/>
                  <w:rPr>
                    <w:szCs w:val="24"/>
                    <w:lang w:eastAsia="en-GB"/>
                  </w:rPr>
                </w:pPr>
                <w:r>
                  <w:rPr>
                    <w:szCs w:val="24"/>
                    <w:lang w:eastAsia="en-GB"/>
                  </w:rPr>
                  <w:t xml:space="preserve">Kelių statybos taisykles papildyti upių vientisumą užtikrinančiais ir žuvims palankiais vandens pralaidų konstrukciniais sprendimais. </w:t>
                </w:r>
              </w:p>
            </w:tc>
            <w:tc>
              <w:tcPr>
                <w:tcW w:w="2126" w:type="dxa"/>
              </w:tcPr>
              <w:p>
                <w:pPr>
                  <w:rPr>
                    <w:sz w:val="10"/>
                    <w:szCs w:val="10"/>
                  </w:rPr>
                </w:pPr>
              </w:p>
              <w:p>
                <w:pPr>
                  <w:suppressAutoHyphens/>
                  <w:rPr>
                    <w:color w:val="000000"/>
                    <w:szCs w:val="22"/>
                    <w:shd w:val="clear" w:color="auto" w:fill="FFFFFF"/>
                  </w:rPr>
                </w:pPr>
                <w:r>
                  <w:rPr>
                    <w:szCs w:val="22"/>
                  </w:rPr>
                  <w:t xml:space="preserve">Susisiekimo ministerija </w:t>
                </w:r>
              </w:p>
            </w:tc>
            <w:tc>
              <w:tcPr>
                <w:tcW w:w="2410" w:type="dxa"/>
              </w:tcPr>
              <w:p>
                <w:pPr>
                  <w:rPr>
                    <w:sz w:val="10"/>
                    <w:szCs w:val="10"/>
                  </w:rPr>
                </w:pPr>
              </w:p>
              <w:p>
                <w:pPr>
                  <w:suppressAutoHyphens/>
                  <w:rPr>
                    <w:color w:val="000000"/>
                    <w:szCs w:val="22"/>
                    <w:lang w:val="en-GB"/>
                  </w:rPr>
                </w:pPr>
              </w:p>
            </w:tc>
            <w:tc>
              <w:tcPr>
                <w:tcW w:w="1842" w:type="dxa"/>
              </w:tcPr>
              <w:p>
                <w:pPr>
                  <w:rPr>
                    <w:sz w:val="10"/>
                    <w:szCs w:val="10"/>
                  </w:rPr>
                </w:pPr>
              </w:p>
              <w:p>
                <w:pPr>
                  <w:suppressAutoHyphens/>
                  <w:rPr>
                    <w:szCs w:val="22"/>
                  </w:rPr>
                </w:pPr>
                <w:r>
                  <w:rPr>
                    <w:color w:val="000000"/>
                    <w:szCs w:val="22"/>
                  </w:rPr>
                  <w:t>2022 m. II ketv.</w:t>
                </w:r>
              </w:p>
            </w:tc>
          </w:tr>
          <w:tr>
            <w:tc>
              <w:tcPr>
                <w:tcW w:w="709" w:type="dxa"/>
              </w:tcPr>
              <w:p>
                <w:pPr>
                  <w:rPr>
                    <w:sz w:val="10"/>
                    <w:szCs w:val="10"/>
                  </w:rPr>
                </w:pPr>
              </w:p>
              <w:p>
                <w:pPr>
                  <w:suppressAutoHyphens/>
                  <w:rPr>
                    <w:szCs w:val="22"/>
                  </w:rPr>
                </w:pPr>
                <w:r>
                  <w:rPr>
                    <w:szCs w:val="22"/>
                  </w:rPr>
                  <w:t>8.</w:t>
                </w:r>
              </w:p>
            </w:tc>
            <w:tc>
              <w:tcPr>
                <w:tcW w:w="7634" w:type="dxa"/>
              </w:tcPr>
              <w:p>
                <w:pPr>
                  <w:rPr>
                    <w:sz w:val="10"/>
                    <w:szCs w:val="10"/>
                  </w:rPr>
                </w:pPr>
              </w:p>
              <w:p>
                <w:pPr>
                  <w:jc w:val="both"/>
                  <w:textAlignment w:val="baseline"/>
                  <w:rPr>
                    <w:szCs w:val="24"/>
                    <w:lang w:eastAsia="en-GB"/>
                  </w:rPr>
                </w:pPr>
                <w:r>
                  <w:rPr>
                    <w:szCs w:val="24"/>
                    <w:lang w:eastAsia="en-GB"/>
                  </w:rPr>
                  <w:t>Parengti ir patvirtinti 2005 m. rugsėjo 15 d. Nr. 3D-437 žemės ūkio ministro įsakymo dėl „Migruojančių žuvų rūšių stebėsenos metodikos patvirtinimo“ pakeitimo projektą, pritaikant pasaulinės pažangos ir naujas žinias, įvertinus 2020 m. Aplinkos ministerijos įgyvendinto projekto „Tinkamų sąlygų žuvims migruoti per kliūtis sudarymo galimybių studijos parengimas“ vykdytojų pasiūlymus.</w:t>
                </w:r>
              </w:p>
            </w:tc>
            <w:tc>
              <w:tcPr>
                <w:tcW w:w="2126" w:type="dxa"/>
              </w:tcPr>
              <w:p>
                <w:pPr>
                  <w:rPr>
                    <w:sz w:val="10"/>
                    <w:szCs w:val="10"/>
                  </w:rPr>
                </w:pPr>
              </w:p>
              <w:p>
                <w:pPr>
                  <w:suppressAutoHyphens/>
                  <w:rPr>
                    <w:szCs w:val="22"/>
                  </w:rPr>
                </w:pPr>
                <w:r>
                  <w:rPr>
                    <w:szCs w:val="22"/>
                  </w:rPr>
                  <w:t>Žemės ūkio ministerija (toliau – ŽŪM)</w:t>
                </w:r>
              </w:p>
            </w:tc>
            <w:tc>
              <w:tcPr>
                <w:tcW w:w="2410" w:type="dxa"/>
              </w:tcPr>
              <w:p>
                <w:pPr>
                  <w:rPr>
                    <w:sz w:val="10"/>
                    <w:szCs w:val="10"/>
                  </w:rPr>
                </w:pPr>
              </w:p>
              <w:p>
                <w:pPr>
                  <w:suppressAutoHyphens/>
                  <w:rPr>
                    <w:color w:val="000000"/>
                    <w:szCs w:val="22"/>
                    <w:lang w:val="en-GB"/>
                  </w:rPr>
                </w:pPr>
                <w:r>
                  <w:rPr>
                    <w:color w:val="000000"/>
                    <w:szCs w:val="22"/>
                    <w:lang w:val="en-GB"/>
                  </w:rPr>
                  <w:t>AM GAPG</w:t>
                </w:r>
              </w:p>
            </w:tc>
            <w:tc>
              <w:tcPr>
                <w:tcW w:w="1842" w:type="dxa"/>
              </w:tcPr>
              <w:p>
                <w:pPr>
                  <w:rPr>
                    <w:sz w:val="10"/>
                    <w:szCs w:val="10"/>
                  </w:rPr>
                </w:pPr>
              </w:p>
              <w:p>
                <w:pPr>
                  <w:suppressAutoHyphens/>
                  <w:rPr>
                    <w:color w:val="000000"/>
                    <w:szCs w:val="22"/>
                  </w:rPr>
                </w:pPr>
                <w:r>
                  <w:rPr>
                    <w:color w:val="000000"/>
                    <w:szCs w:val="22"/>
                  </w:rPr>
                  <w:t>2022 m. II ketv.</w:t>
                </w:r>
              </w:p>
            </w:tc>
          </w:tr>
          <w:tr>
            <w:tc>
              <w:tcPr>
                <w:tcW w:w="709" w:type="dxa"/>
              </w:tcPr>
              <w:p>
                <w:pPr>
                  <w:rPr>
                    <w:sz w:val="10"/>
                    <w:szCs w:val="10"/>
                  </w:rPr>
                </w:pPr>
              </w:p>
              <w:p>
                <w:pPr>
                  <w:suppressAutoHyphens/>
                  <w:rPr>
                    <w:szCs w:val="22"/>
                  </w:rPr>
                </w:pPr>
                <w:r>
                  <w:rPr>
                    <w:szCs w:val="22"/>
                  </w:rPr>
                  <w:t>9.</w:t>
                </w:r>
              </w:p>
            </w:tc>
            <w:tc>
              <w:tcPr>
                <w:tcW w:w="7634" w:type="dxa"/>
              </w:tcPr>
              <w:p>
                <w:pPr>
                  <w:rPr>
                    <w:sz w:val="10"/>
                    <w:szCs w:val="10"/>
                  </w:rPr>
                </w:pPr>
              </w:p>
              <w:p>
                <w:pPr>
                  <w:jc w:val="both"/>
                  <w:textAlignment w:val="baseline"/>
                  <w:rPr>
                    <w:szCs w:val="24"/>
                    <w:lang w:eastAsia="en-GB"/>
                  </w:rPr>
                </w:pPr>
                <w:r>
                  <w:rPr>
                    <w:szCs w:val="24"/>
                    <w:lang w:eastAsia="en-GB"/>
                  </w:rPr>
                  <w:t>Parengti ir patvirtinti aplinkos ministro 2017 m. sausio 6 d. įsakymo Nr. D1-27 „Dėl vidaus vandenyse padarytos žalos žuvų ištekliams apskaičiavimo tvarkos aprašo patvirtinimo“ pakeitimo projektą pateikiant metodiką apskaičiuoti žuvų ištekliams hidroelektrinių daromą žalą.</w:t>
                </w:r>
              </w:p>
            </w:tc>
            <w:tc>
              <w:tcPr>
                <w:tcW w:w="2126" w:type="dxa"/>
              </w:tcPr>
              <w:p>
                <w:pPr>
                  <w:rPr>
                    <w:sz w:val="10"/>
                    <w:szCs w:val="10"/>
                  </w:rPr>
                </w:pPr>
              </w:p>
              <w:p>
                <w:pPr>
                  <w:suppressAutoHyphens/>
                  <w:rPr>
                    <w:szCs w:val="22"/>
                  </w:rPr>
                </w:pPr>
                <w:r>
                  <w:rPr>
                    <w:szCs w:val="22"/>
                  </w:rPr>
                  <w:t>AM GAPG</w:t>
                </w:r>
              </w:p>
            </w:tc>
            <w:tc>
              <w:tcPr>
                <w:tcW w:w="2410" w:type="dxa"/>
              </w:tcPr>
              <w:p>
                <w:pPr>
                  <w:rPr>
                    <w:sz w:val="10"/>
                    <w:szCs w:val="10"/>
                  </w:rPr>
                </w:pPr>
              </w:p>
              <w:p>
                <w:pPr>
                  <w:suppressAutoHyphens/>
                  <w:rPr>
                    <w:szCs w:val="22"/>
                    <w:lang w:val="en-GB"/>
                  </w:rPr>
                </w:pPr>
                <w:r>
                  <w:rPr>
                    <w:szCs w:val="22"/>
                    <w:lang w:val="en-GB"/>
                  </w:rPr>
                  <w:t>AM SPG</w:t>
                </w:r>
              </w:p>
            </w:tc>
            <w:tc>
              <w:tcPr>
                <w:tcW w:w="1842" w:type="dxa"/>
              </w:tcPr>
              <w:p>
                <w:pPr>
                  <w:rPr>
                    <w:sz w:val="10"/>
                    <w:szCs w:val="10"/>
                  </w:rPr>
                </w:pPr>
              </w:p>
              <w:p>
                <w:pPr>
                  <w:suppressAutoHyphens/>
                  <w:rPr>
                    <w:szCs w:val="22"/>
                  </w:rPr>
                </w:pPr>
                <w:r>
                  <w:rPr>
                    <w:szCs w:val="22"/>
                  </w:rPr>
                  <w:t>2021 IV ketv.</w:t>
                </w:r>
              </w:p>
            </w:tc>
          </w:tr>
          <w:tr>
            <w:tc>
              <w:tcPr>
                <w:tcW w:w="14721" w:type="dxa"/>
                <w:gridSpan w:val="5"/>
              </w:tcPr>
              <w:p>
                <w:pPr>
                  <w:rPr>
                    <w:sz w:val="10"/>
                    <w:szCs w:val="10"/>
                  </w:rPr>
                </w:pPr>
              </w:p>
              <w:p>
                <w:pPr>
                  <w:suppressAutoHyphens/>
                  <w:jc w:val="both"/>
                  <w:rPr>
                    <w:b/>
                    <w:bCs/>
                    <w:szCs w:val="22"/>
                  </w:rPr>
                </w:pPr>
                <w:r>
                  <w:rPr>
                    <w:b/>
                    <w:bCs/>
                    <w:szCs w:val="22"/>
                  </w:rPr>
                  <w:t xml:space="preserve">Uždavinys: sudaryti sąlygas hidroenergetikos atstovams pasitraukti iš rinkos arba pereiti prie mažiau taršių atsinaujinančios energetikos šakų. </w:t>
                </w:r>
              </w:p>
            </w:tc>
          </w:tr>
          <w:tr>
            <w:tc>
              <w:tcPr>
                <w:tcW w:w="709" w:type="dxa"/>
              </w:tcPr>
              <w:p>
                <w:pPr>
                  <w:rPr>
                    <w:sz w:val="10"/>
                    <w:szCs w:val="10"/>
                  </w:rPr>
                </w:pPr>
              </w:p>
              <w:p>
                <w:pPr>
                  <w:suppressAutoHyphens/>
                  <w:rPr>
                    <w:szCs w:val="22"/>
                  </w:rPr>
                </w:pPr>
                <w:r>
                  <w:rPr>
                    <w:szCs w:val="22"/>
                  </w:rPr>
                  <w:t>10.</w:t>
                </w:r>
              </w:p>
            </w:tc>
            <w:tc>
              <w:tcPr>
                <w:tcW w:w="7634" w:type="dxa"/>
              </w:tcPr>
              <w:p>
                <w:pPr>
                  <w:rPr>
                    <w:sz w:val="10"/>
                    <w:szCs w:val="10"/>
                  </w:rPr>
                </w:pPr>
              </w:p>
              <w:p>
                <w:pPr>
                  <w:jc w:val="both"/>
                  <w:rPr>
                    <w:color w:val="000000"/>
                    <w:szCs w:val="24"/>
                  </w:rPr>
                </w:pPr>
                <w:r>
                  <w:rPr>
                    <w:color w:val="000000"/>
                    <w:szCs w:val="24"/>
                  </w:rPr>
                  <w:t xml:space="preserve">Parengti finansinės paramos ir skatinimo schemą hidroelektrinių savininkams pereiti prie pažangių atsinaujinančios energetikos šaltinių (saulės, vėjo, biomasės) </w:t>
                </w:r>
              </w:p>
            </w:tc>
            <w:tc>
              <w:tcPr>
                <w:tcW w:w="2126" w:type="dxa"/>
              </w:tcPr>
              <w:p>
                <w:pPr>
                  <w:rPr>
                    <w:sz w:val="10"/>
                    <w:szCs w:val="10"/>
                  </w:rPr>
                </w:pPr>
              </w:p>
              <w:p>
                <w:pPr>
                  <w:suppressAutoHyphens/>
                  <w:rPr>
                    <w:szCs w:val="22"/>
                  </w:rPr>
                </w:pPr>
                <w:r>
                  <w:rPr>
                    <w:szCs w:val="22"/>
                  </w:rPr>
                  <w:t>EM</w:t>
                </w:r>
              </w:p>
            </w:tc>
            <w:tc>
              <w:tcPr>
                <w:tcW w:w="2410" w:type="dxa"/>
              </w:tcPr>
              <w:p>
                <w:pPr>
                  <w:rPr>
                    <w:sz w:val="10"/>
                    <w:szCs w:val="10"/>
                  </w:rPr>
                </w:pPr>
              </w:p>
              <w:p>
                <w:pPr>
                  <w:suppressAutoHyphens/>
                  <w:rPr>
                    <w:szCs w:val="22"/>
                    <w:lang w:val="en-GB"/>
                  </w:rPr>
                </w:pPr>
                <w:r>
                  <w:rPr>
                    <w:szCs w:val="22"/>
                    <w:lang w:val="en-GB"/>
                  </w:rPr>
                  <w:t>AM SPG, AM TPPG</w:t>
                </w:r>
              </w:p>
            </w:tc>
            <w:tc>
              <w:tcPr>
                <w:tcW w:w="1842" w:type="dxa"/>
              </w:tcPr>
              <w:p>
                <w:pPr>
                  <w:rPr>
                    <w:sz w:val="10"/>
                    <w:szCs w:val="10"/>
                  </w:rPr>
                </w:pPr>
              </w:p>
              <w:p>
                <w:pPr>
                  <w:suppressAutoHyphens/>
                  <w:rPr>
                    <w:szCs w:val="22"/>
                  </w:rPr>
                </w:pPr>
                <w:r>
                  <w:rPr>
                    <w:szCs w:val="22"/>
                  </w:rPr>
                  <w:t>2022 m. II ketv.</w:t>
                </w:r>
              </w:p>
            </w:tc>
          </w:tr>
          <w:tr>
            <w:tc>
              <w:tcPr>
                <w:tcW w:w="14721" w:type="dxa"/>
                <w:gridSpan w:val="5"/>
              </w:tcPr>
              <w:p>
                <w:pPr>
                  <w:rPr>
                    <w:sz w:val="10"/>
                    <w:szCs w:val="10"/>
                  </w:rPr>
                </w:pPr>
              </w:p>
              <w:p>
                <w:pPr>
                  <w:suppressAutoHyphens/>
                  <w:jc w:val="both"/>
                  <w:rPr>
                    <w:b/>
                    <w:bCs/>
                    <w:szCs w:val="22"/>
                  </w:rPr>
                </w:pPr>
                <w:r>
                  <w:rPr>
                    <w:b/>
                    <w:bCs/>
                    <w:szCs w:val="22"/>
                  </w:rPr>
                  <w:t>Uždavinys: užtikrinti efektyvią hidroelektrinių aplinkos apsaugos valstybinę kontrolę.</w:t>
                </w:r>
              </w:p>
            </w:tc>
          </w:tr>
          <w:tr>
            <w:tc>
              <w:tcPr>
                <w:tcW w:w="709" w:type="dxa"/>
              </w:tcPr>
              <w:p>
                <w:pPr>
                  <w:rPr>
                    <w:sz w:val="10"/>
                    <w:szCs w:val="10"/>
                  </w:rPr>
                </w:pPr>
              </w:p>
              <w:p>
                <w:pPr>
                  <w:suppressAutoHyphens/>
                  <w:rPr>
                    <w:szCs w:val="22"/>
                  </w:rPr>
                </w:pPr>
                <w:r>
                  <w:rPr>
                    <w:szCs w:val="22"/>
                  </w:rPr>
                  <w:t>11.</w:t>
                </w:r>
              </w:p>
            </w:tc>
            <w:tc>
              <w:tcPr>
                <w:tcW w:w="7634" w:type="dxa"/>
              </w:tcPr>
              <w:p>
                <w:pPr>
                  <w:rPr>
                    <w:sz w:val="10"/>
                    <w:szCs w:val="10"/>
                  </w:rPr>
                </w:pPr>
              </w:p>
              <w:p>
                <w:pPr>
                  <w:suppressAutoHyphens/>
                  <w:jc w:val="both"/>
                  <w:rPr>
                    <w:szCs w:val="22"/>
                  </w:rPr>
                </w:pPr>
                <w:r>
                  <w:rPr>
                    <w:szCs w:val="22"/>
                  </w:rPr>
                  <w:t xml:space="preserve">Užtikrinti, kad Aplinkos ministerijai pavaldžios įstaigos efektyviau vykdytų  veikiančių hidroelektrinių kontrolę ir užtikrintų, kad būtų laikomasi aplinkosauginių reikalavimų ir teisės aktų nuostatų įtraukiant hidroelektrines į kasmetinius ūkio subjektų patikrinimo planus.</w:t>
                </w:r>
              </w:p>
            </w:tc>
            <w:tc>
              <w:tcPr>
                <w:tcW w:w="2126" w:type="dxa"/>
              </w:tcPr>
              <w:p>
                <w:pPr>
                  <w:rPr>
                    <w:sz w:val="10"/>
                    <w:szCs w:val="10"/>
                  </w:rPr>
                </w:pPr>
              </w:p>
              <w:p>
                <w:pPr>
                  <w:suppressAutoHyphens/>
                  <w:rPr>
                    <w:szCs w:val="22"/>
                  </w:rPr>
                </w:pPr>
                <w:r>
                  <w:rPr>
                    <w:szCs w:val="22"/>
                  </w:rPr>
                  <w:t>Aplinkos apsaugos departamentas (toliau – AAD)</w:t>
                </w:r>
              </w:p>
            </w:tc>
            <w:tc>
              <w:tcPr>
                <w:tcW w:w="2410" w:type="dxa"/>
              </w:tcPr>
              <w:p>
                <w:pPr>
                  <w:rPr>
                    <w:sz w:val="10"/>
                    <w:szCs w:val="10"/>
                  </w:rPr>
                </w:pPr>
              </w:p>
              <w:p>
                <w:pPr>
                  <w:suppressAutoHyphens/>
                  <w:rPr>
                    <w:szCs w:val="22"/>
                    <w:lang w:val="en-GB"/>
                  </w:rPr>
                </w:pPr>
              </w:p>
            </w:tc>
            <w:tc>
              <w:tcPr>
                <w:tcW w:w="1842" w:type="dxa"/>
              </w:tcPr>
              <w:p>
                <w:pPr>
                  <w:rPr>
                    <w:sz w:val="10"/>
                    <w:szCs w:val="10"/>
                  </w:rPr>
                </w:pPr>
              </w:p>
              <w:p>
                <w:pPr>
                  <w:suppressAutoHyphens/>
                  <w:rPr>
                    <w:szCs w:val="22"/>
                    <w:highlight w:val="lightGray"/>
                  </w:rPr>
                </w:pPr>
                <w:r>
                  <w:rPr>
                    <w:szCs w:val="22"/>
                  </w:rPr>
                  <w:t>Nuolat</w:t>
                </w:r>
              </w:p>
            </w:tc>
          </w:tr>
          <w:tr>
            <w:tc>
              <w:tcPr>
                <w:tcW w:w="709" w:type="dxa"/>
              </w:tcPr>
              <w:p>
                <w:pPr>
                  <w:rPr>
                    <w:sz w:val="10"/>
                    <w:szCs w:val="10"/>
                  </w:rPr>
                </w:pPr>
              </w:p>
              <w:p>
                <w:pPr>
                  <w:suppressAutoHyphens/>
                  <w:rPr>
                    <w:szCs w:val="22"/>
                  </w:rPr>
                </w:pPr>
                <w:r>
                  <w:rPr>
                    <w:szCs w:val="22"/>
                  </w:rPr>
                  <w:t>12.</w:t>
                </w:r>
              </w:p>
            </w:tc>
            <w:tc>
              <w:tcPr>
                <w:tcW w:w="7634" w:type="dxa"/>
              </w:tcPr>
              <w:p>
                <w:pPr>
                  <w:rPr>
                    <w:sz w:val="10"/>
                    <w:szCs w:val="10"/>
                  </w:rPr>
                </w:pPr>
              </w:p>
              <w:p>
                <w:pPr>
                  <w:suppressAutoHyphens/>
                  <w:jc w:val="both"/>
                  <w:rPr>
                    <w:szCs w:val="22"/>
                  </w:rPr>
                </w:pPr>
                <w:r>
                  <w:rPr>
                    <w:szCs w:val="22"/>
                  </w:rPr>
                  <w:t>Vykdyti žuvitakių kontrolę siekiant užtikrinti, kad būtų laikomasi Tvenkinio naudojimo ir priežiūros taisyklėse nurodytų hidrotechninio statinio eksploatavimo reikalavimų ir užtikrinti, kad žuvų migracijos laikotarpiu žuvų pralaidos veikia taip, kad būtų užtikrintos sąlygos migruoti.</w:t>
                </w:r>
              </w:p>
            </w:tc>
            <w:tc>
              <w:tcPr>
                <w:tcW w:w="2126" w:type="dxa"/>
              </w:tcPr>
              <w:p>
                <w:pPr>
                  <w:rPr>
                    <w:sz w:val="10"/>
                    <w:szCs w:val="10"/>
                  </w:rPr>
                </w:pPr>
              </w:p>
              <w:p>
                <w:pPr>
                  <w:suppressAutoHyphens/>
                  <w:rPr>
                    <w:szCs w:val="22"/>
                  </w:rPr>
                </w:pPr>
                <w:r>
                  <w:rPr>
                    <w:szCs w:val="22"/>
                  </w:rPr>
                  <w:t>AAD</w:t>
                </w:r>
              </w:p>
            </w:tc>
            <w:tc>
              <w:tcPr>
                <w:tcW w:w="2410" w:type="dxa"/>
              </w:tcPr>
              <w:p>
                <w:pPr>
                  <w:rPr>
                    <w:sz w:val="10"/>
                    <w:szCs w:val="10"/>
                  </w:rPr>
                </w:pPr>
              </w:p>
              <w:p>
                <w:pPr>
                  <w:suppressAutoHyphens/>
                  <w:rPr>
                    <w:szCs w:val="22"/>
                    <w:lang w:val="en-GB"/>
                  </w:rPr>
                </w:pPr>
              </w:p>
            </w:tc>
            <w:tc>
              <w:tcPr>
                <w:tcW w:w="1842" w:type="dxa"/>
              </w:tcPr>
              <w:p>
                <w:pPr>
                  <w:rPr>
                    <w:sz w:val="10"/>
                    <w:szCs w:val="10"/>
                  </w:rPr>
                </w:pPr>
              </w:p>
              <w:p>
                <w:pPr>
                  <w:suppressAutoHyphens/>
                  <w:rPr>
                    <w:szCs w:val="22"/>
                  </w:rPr>
                </w:pPr>
                <w:r>
                  <w:rPr>
                    <w:szCs w:val="22"/>
                  </w:rPr>
                  <w:t>Nuolat</w:t>
                </w:r>
              </w:p>
            </w:tc>
          </w:tr>
          <w:tr>
            <w:tc>
              <w:tcPr>
                <w:tcW w:w="709" w:type="dxa"/>
              </w:tcPr>
              <w:p>
                <w:pPr>
                  <w:rPr>
                    <w:sz w:val="10"/>
                    <w:szCs w:val="10"/>
                  </w:rPr>
                </w:pPr>
              </w:p>
              <w:p>
                <w:pPr>
                  <w:suppressAutoHyphens/>
                  <w:rPr>
                    <w:szCs w:val="22"/>
                  </w:rPr>
                </w:pPr>
                <w:r>
                  <w:rPr>
                    <w:szCs w:val="22"/>
                  </w:rPr>
                  <w:t>13.</w:t>
                </w:r>
              </w:p>
            </w:tc>
            <w:tc>
              <w:tcPr>
                <w:tcW w:w="7634" w:type="dxa"/>
              </w:tcPr>
              <w:p>
                <w:pPr>
                  <w:rPr>
                    <w:sz w:val="10"/>
                    <w:szCs w:val="10"/>
                  </w:rPr>
                </w:pPr>
              </w:p>
              <w:p>
                <w:pPr>
                  <w:suppressAutoHyphens/>
                  <w:jc w:val="both"/>
                  <w:rPr>
                    <w:szCs w:val="22"/>
                  </w:rPr>
                </w:pPr>
                <w:r>
                  <w:rPr>
                    <w:szCs w:val="22"/>
                  </w:rPr>
                  <w:t xml:space="preserve">Vykdyti mokymus ir praktinius užsiėmimus Aplinkos apsaugos departamento darbuotojams ir inspektoriams apie aplinkosauginius reikalavimus hidroelektrinėms, vandens lygio stebėjimus ir vandens debito matavimus. </w:t>
                </w:r>
              </w:p>
            </w:tc>
            <w:tc>
              <w:tcPr>
                <w:tcW w:w="2126" w:type="dxa"/>
              </w:tcPr>
              <w:p>
                <w:pPr>
                  <w:rPr>
                    <w:sz w:val="10"/>
                    <w:szCs w:val="10"/>
                  </w:rPr>
                </w:pPr>
              </w:p>
              <w:p>
                <w:pPr>
                  <w:suppressAutoHyphens/>
                  <w:rPr>
                    <w:szCs w:val="22"/>
                  </w:rPr>
                </w:pPr>
                <w:r>
                  <w:rPr>
                    <w:szCs w:val="22"/>
                  </w:rPr>
                  <w:t>AAD</w:t>
                </w:r>
              </w:p>
            </w:tc>
            <w:tc>
              <w:tcPr>
                <w:tcW w:w="2410" w:type="dxa"/>
              </w:tcPr>
              <w:p>
                <w:pPr>
                  <w:rPr>
                    <w:sz w:val="10"/>
                    <w:szCs w:val="10"/>
                  </w:rPr>
                </w:pPr>
              </w:p>
              <w:p>
                <w:pPr>
                  <w:suppressAutoHyphens/>
                  <w:rPr>
                    <w:color w:val="000000"/>
                    <w:szCs w:val="22"/>
                    <w:lang w:val="en-GB"/>
                  </w:rPr>
                </w:pPr>
                <w:r>
                  <w:rPr>
                    <w:szCs w:val="22"/>
                    <w:lang w:val="en-GB"/>
                  </w:rPr>
                  <w:t>AAA,</w:t>
                </w:r>
                <w:r>
                  <w:rPr>
                    <w:szCs w:val="22"/>
                  </w:rPr>
                  <w:t xml:space="preserve"> Aplinkos ministerijos Aplinkos apsaugos politikos įgyvendinimo koordinavimo grupė, AM SPG, LHMT, VERT</w:t>
                </w:r>
              </w:p>
            </w:tc>
            <w:tc>
              <w:tcPr>
                <w:tcW w:w="1842" w:type="dxa"/>
              </w:tcPr>
              <w:p>
                <w:pPr>
                  <w:rPr>
                    <w:sz w:val="10"/>
                    <w:szCs w:val="10"/>
                  </w:rPr>
                </w:pPr>
              </w:p>
              <w:p>
                <w:pPr>
                  <w:suppressAutoHyphens/>
                  <w:rPr>
                    <w:color w:val="1F497D"/>
                    <w:szCs w:val="22"/>
                  </w:rPr>
                </w:pPr>
                <w:r>
                  <w:rPr>
                    <w:color w:val="000000"/>
                    <w:szCs w:val="22"/>
                  </w:rPr>
                  <w:t xml:space="preserve">2022 m. II ketv. </w:t>
                </w:r>
              </w:p>
            </w:tc>
          </w:tr>
          <w:tr>
            <w:tc>
              <w:tcPr>
                <w:tcW w:w="709" w:type="dxa"/>
              </w:tcPr>
              <w:p>
                <w:pPr>
                  <w:rPr>
                    <w:sz w:val="10"/>
                    <w:szCs w:val="10"/>
                  </w:rPr>
                </w:pPr>
              </w:p>
              <w:p>
                <w:pPr>
                  <w:suppressAutoHyphens/>
                  <w:rPr>
                    <w:szCs w:val="22"/>
                  </w:rPr>
                </w:pPr>
                <w:r>
                  <w:rPr>
                    <w:szCs w:val="22"/>
                  </w:rPr>
                  <w:t>14.</w:t>
                </w:r>
              </w:p>
            </w:tc>
            <w:tc>
              <w:tcPr>
                <w:tcW w:w="7634" w:type="dxa"/>
              </w:tcPr>
              <w:p>
                <w:pPr>
                  <w:rPr>
                    <w:sz w:val="10"/>
                    <w:szCs w:val="10"/>
                  </w:rPr>
                </w:pPr>
              </w:p>
              <w:p>
                <w:pPr>
                  <w:suppressAutoHyphens/>
                  <w:jc w:val="both"/>
                  <w:rPr>
                    <w:szCs w:val="22"/>
                  </w:rPr>
                </w:pPr>
                <w:r>
                  <w:rPr>
                    <w:szCs w:val="22"/>
                  </w:rPr>
                  <w:t xml:space="preserve">Sudaryti bendradarbiavimo sutartį tarp AAD ir VERT Valstybinės energetikos reguliavimo tarybos dėl efektyvesnės hidroelektrinių kontrolės. </w:t>
                </w:r>
              </w:p>
            </w:tc>
            <w:tc>
              <w:tcPr>
                <w:tcW w:w="2126" w:type="dxa"/>
              </w:tcPr>
              <w:p>
                <w:pPr>
                  <w:rPr>
                    <w:sz w:val="10"/>
                    <w:szCs w:val="10"/>
                  </w:rPr>
                </w:pPr>
              </w:p>
              <w:p>
                <w:pPr>
                  <w:suppressAutoHyphens/>
                  <w:rPr>
                    <w:szCs w:val="22"/>
                  </w:rPr>
                </w:pPr>
                <w:r>
                  <w:rPr>
                    <w:szCs w:val="22"/>
                  </w:rPr>
                  <w:t>AAD, VERT</w:t>
                </w:r>
              </w:p>
            </w:tc>
            <w:tc>
              <w:tcPr>
                <w:tcW w:w="2410" w:type="dxa"/>
              </w:tcPr>
              <w:p>
                <w:pPr>
                  <w:rPr>
                    <w:sz w:val="10"/>
                    <w:szCs w:val="10"/>
                  </w:rPr>
                </w:pPr>
              </w:p>
              <w:p>
                <w:pPr>
                  <w:suppressAutoHyphens/>
                  <w:rPr>
                    <w:color w:val="000000"/>
                    <w:szCs w:val="22"/>
                    <w:lang w:val="en-GB"/>
                  </w:rPr>
                </w:pPr>
              </w:p>
            </w:tc>
            <w:tc>
              <w:tcPr>
                <w:tcW w:w="1842" w:type="dxa"/>
              </w:tcPr>
              <w:p>
                <w:pPr>
                  <w:rPr>
                    <w:sz w:val="10"/>
                    <w:szCs w:val="10"/>
                  </w:rPr>
                </w:pPr>
              </w:p>
              <w:p>
                <w:pPr>
                  <w:suppressAutoHyphens/>
                  <w:rPr>
                    <w:color w:val="000000"/>
                    <w:szCs w:val="22"/>
                  </w:rPr>
                </w:pPr>
                <w:r>
                  <w:rPr>
                    <w:color w:val="000000"/>
                    <w:szCs w:val="22"/>
                  </w:rPr>
                  <w:t>2021 IV ketv.</w:t>
                </w:r>
              </w:p>
            </w:tc>
          </w:tr>
          <w:tr>
            <w:tc>
              <w:tcPr>
                <w:tcW w:w="14721" w:type="dxa"/>
                <w:gridSpan w:val="5"/>
              </w:tcPr>
              <w:p>
                <w:pPr>
                  <w:rPr>
                    <w:sz w:val="10"/>
                    <w:szCs w:val="10"/>
                  </w:rPr>
                </w:pPr>
              </w:p>
              <w:p>
                <w:pPr>
                  <w:suppressAutoHyphens/>
                  <w:jc w:val="both"/>
                  <w:rPr>
                    <w:b/>
                    <w:bCs/>
                    <w:szCs w:val="22"/>
                  </w:rPr>
                </w:pPr>
                <w:r>
                  <w:rPr>
                    <w:b/>
                    <w:bCs/>
                    <w:szCs w:val="22"/>
                  </w:rPr>
                  <w:t>Tikslas: padėti savivaldybėms sprendžiant įsisenėjusias valstybinių užtvankų ir tvenkinių problemas.</w:t>
                </w:r>
              </w:p>
            </w:tc>
          </w:tr>
          <w:tr>
            <w:tc>
              <w:tcPr>
                <w:tcW w:w="14721" w:type="dxa"/>
                <w:gridSpan w:val="5"/>
              </w:tcPr>
              <w:p>
                <w:pPr>
                  <w:rPr>
                    <w:sz w:val="10"/>
                    <w:szCs w:val="10"/>
                  </w:rPr>
                </w:pPr>
              </w:p>
              <w:p>
                <w:pPr>
                  <w:suppressAutoHyphens/>
                  <w:jc w:val="both"/>
                  <w:rPr>
                    <w:b/>
                    <w:bCs/>
                    <w:szCs w:val="22"/>
                  </w:rPr>
                </w:pPr>
                <w:r>
                  <w:rPr>
                    <w:b/>
                    <w:bCs/>
                    <w:szCs w:val="22"/>
                  </w:rPr>
                  <w:t>Uždavinys: ieškoti finansinių mechanizmų avarinės būklės ir nenaudojamų užtvankų šalinimui, bešeimininkio turto inventorizavimui ir perėmimui.</w:t>
                </w:r>
              </w:p>
            </w:tc>
          </w:tr>
          <w:tr>
            <w:tc>
              <w:tcPr>
                <w:tcW w:w="709" w:type="dxa"/>
              </w:tcPr>
              <w:p>
                <w:pPr>
                  <w:rPr>
                    <w:sz w:val="10"/>
                    <w:szCs w:val="10"/>
                  </w:rPr>
                </w:pPr>
              </w:p>
              <w:p>
                <w:pPr>
                  <w:suppressAutoHyphens/>
                  <w:rPr>
                    <w:szCs w:val="22"/>
                  </w:rPr>
                </w:pPr>
                <w:r>
                  <w:rPr>
                    <w:szCs w:val="22"/>
                  </w:rPr>
                  <w:t>15.</w:t>
                </w:r>
              </w:p>
            </w:tc>
            <w:tc>
              <w:tcPr>
                <w:tcW w:w="7634" w:type="dxa"/>
              </w:tcPr>
              <w:p>
                <w:pPr>
                  <w:rPr>
                    <w:sz w:val="10"/>
                    <w:szCs w:val="10"/>
                  </w:rPr>
                </w:pPr>
              </w:p>
              <w:p>
                <w:pPr>
                  <w:suppressAutoHyphens/>
                  <w:jc w:val="both"/>
                  <w:rPr>
                    <w:szCs w:val="22"/>
                  </w:rPr>
                </w:pPr>
                <w:r>
                  <w:rPr>
                    <w:szCs w:val="22"/>
                  </w:rPr>
                  <w:t>Skatinti savivaldybes vykdyti hidrotechninių statinių pripažinimo bešeimininkiais procedūras.</w:t>
                </w:r>
              </w:p>
            </w:tc>
            <w:tc>
              <w:tcPr>
                <w:tcW w:w="2126" w:type="dxa"/>
              </w:tcPr>
              <w:p>
                <w:pPr>
                  <w:rPr>
                    <w:sz w:val="10"/>
                    <w:szCs w:val="10"/>
                  </w:rPr>
                </w:pPr>
              </w:p>
              <w:p>
                <w:pPr>
                  <w:suppressAutoHyphens/>
                  <w:rPr>
                    <w:szCs w:val="22"/>
                  </w:rPr>
                </w:pPr>
                <w:r>
                  <w:rPr>
                    <w:szCs w:val="22"/>
                  </w:rPr>
                  <w:t>Vidaus reikalų ministerija (toliau –VRM)</w:t>
                </w:r>
              </w:p>
            </w:tc>
            <w:tc>
              <w:tcPr>
                <w:tcW w:w="2410" w:type="dxa"/>
              </w:tcPr>
              <w:p>
                <w:pPr>
                  <w:rPr>
                    <w:sz w:val="10"/>
                    <w:szCs w:val="10"/>
                  </w:rPr>
                </w:pPr>
              </w:p>
              <w:p>
                <w:pPr>
                  <w:suppressAutoHyphens/>
                  <w:rPr>
                    <w:color w:val="000000"/>
                    <w:szCs w:val="22"/>
                    <w:lang w:val="en-GB"/>
                  </w:rPr>
                </w:pPr>
              </w:p>
            </w:tc>
            <w:tc>
              <w:tcPr>
                <w:tcW w:w="1842" w:type="dxa"/>
              </w:tcPr>
              <w:p>
                <w:pPr>
                  <w:rPr>
                    <w:sz w:val="10"/>
                    <w:szCs w:val="10"/>
                  </w:rPr>
                </w:pPr>
              </w:p>
              <w:p>
                <w:pPr>
                  <w:suppressAutoHyphens/>
                  <w:rPr>
                    <w:szCs w:val="22"/>
                  </w:rPr>
                </w:pPr>
                <w:r>
                  <w:rPr>
                    <w:color w:val="000000"/>
                    <w:szCs w:val="22"/>
                  </w:rPr>
                  <w:t>2021 m. IV ketv.</w:t>
                </w:r>
              </w:p>
            </w:tc>
          </w:tr>
          <w:tr>
            <w:tc>
              <w:tcPr>
                <w:tcW w:w="709" w:type="dxa"/>
              </w:tcPr>
              <w:p>
                <w:pPr>
                  <w:rPr>
                    <w:sz w:val="10"/>
                    <w:szCs w:val="10"/>
                  </w:rPr>
                </w:pPr>
              </w:p>
              <w:p>
                <w:pPr>
                  <w:suppressAutoHyphens/>
                  <w:rPr>
                    <w:szCs w:val="22"/>
                  </w:rPr>
                </w:pPr>
                <w:r>
                  <w:rPr>
                    <w:szCs w:val="22"/>
                  </w:rPr>
                  <w:t>16.</w:t>
                </w:r>
              </w:p>
            </w:tc>
            <w:tc>
              <w:tcPr>
                <w:tcW w:w="7634" w:type="dxa"/>
              </w:tcPr>
              <w:p>
                <w:pPr>
                  <w:rPr>
                    <w:sz w:val="10"/>
                    <w:szCs w:val="10"/>
                  </w:rPr>
                </w:pPr>
              </w:p>
              <w:p>
                <w:pPr>
                  <w:suppressAutoHyphens/>
                  <w:jc w:val="both"/>
                  <w:rPr>
                    <w:szCs w:val="22"/>
                  </w:rPr>
                </w:pPr>
                <w:r>
                  <w:rPr>
                    <w:bCs/>
                    <w:szCs w:val="22"/>
                  </w:rPr>
                  <w:t xml:space="preserve">Sukurti finansinės paramos mechanizmą savivaldybėms šalinti  ekonominės naudos neturinčias, nenaudojamas ar avarinės būklės valstybei priklausančias užtvankas.</w:t>
                </w:r>
              </w:p>
            </w:tc>
            <w:tc>
              <w:tcPr>
                <w:tcW w:w="2126" w:type="dxa"/>
              </w:tcPr>
              <w:p>
                <w:pPr>
                  <w:rPr>
                    <w:sz w:val="10"/>
                    <w:szCs w:val="10"/>
                  </w:rPr>
                </w:pPr>
              </w:p>
              <w:p>
                <w:pPr>
                  <w:suppressAutoHyphens/>
                  <w:rPr>
                    <w:szCs w:val="22"/>
                  </w:rPr>
                </w:pPr>
                <w:r>
                  <w:rPr>
                    <w:szCs w:val="22"/>
                  </w:rPr>
                  <w:t xml:space="preserve">VRM, Finansų ministerija </w:t>
                </w:r>
              </w:p>
            </w:tc>
            <w:tc>
              <w:tcPr>
                <w:tcW w:w="2410" w:type="dxa"/>
              </w:tcPr>
              <w:p>
                <w:pPr>
                  <w:rPr>
                    <w:sz w:val="10"/>
                    <w:szCs w:val="10"/>
                  </w:rPr>
                </w:pPr>
              </w:p>
              <w:p>
                <w:pPr>
                  <w:suppressAutoHyphens/>
                  <w:rPr>
                    <w:color w:val="000000"/>
                    <w:szCs w:val="22"/>
                    <w:lang w:val="en-GB"/>
                  </w:rPr>
                </w:pPr>
                <w:r>
                  <w:rPr>
                    <w:szCs w:val="22"/>
                  </w:rPr>
                  <w:t>AM SPG, AM TPPG, ŽŪM</w:t>
                </w:r>
              </w:p>
            </w:tc>
            <w:tc>
              <w:tcPr>
                <w:tcW w:w="1842" w:type="dxa"/>
              </w:tcPr>
              <w:p>
                <w:pPr>
                  <w:rPr>
                    <w:sz w:val="10"/>
                    <w:szCs w:val="10"/>
                  </w:rPr>
                </w:pPr>
              </w:p>
              <w:p>
                <w:pPr>
                  <w:suppressAutoHyphens/>
                  <w:rPr>
                    <w:color w:val="000000"/>
                    <w:szCs w:val="22"/>
                  </w:rPr>
                </w:pPr>
                <w:r>
                  <w:rPr>
                    <w:color w:val="000000"/>
                    <w:szCs w:val="22"/>
                  </w:rPr>
                  <w:t>2022 I ketv.</w:t>
                </w:r>
              </w:p>
            </w:tc>
          </w:tr>
          <w:tr>
            <w:tc>
              <w:tcPr>
                <w:tcW w:w="14721" w:type="dxa"/>
                <w:gridSpan w:val="5"/>
              </w:tcPr>
              <w:p>
                <w:pPr>
                  <w:rPr>
                    <w:sz w:val="10"/>
                    <w:szCs w:val="10"/>
                  </w:rPr>
                </w:pPr>
              </w:p>
              <w:p>
                <w:pPr>
                  <w:suppressAutoHyphens/>
                  <w:jc w:val="both"/>
                  <w:rPr>
                    <w:szCs w:val="22"/>
                  </w:rPr>
                </w:pPr>
                <w:r>
                  <w:rPr>
                    <w:b/>
                    <w:bCs/>
                    <w:szCs w:val="22"/>
                  </w:rPr>
                  <w:t>Tikslas: Užtikrinti upių vientisumo atkūrimo įgyvendinimo efektyvumą, tęstinumą, koordinavimą ir teisinį pagrindą.</w:t>
                </w:r>
              </w:p>
            </w:tc>
          </w:tr>
          <w:tr>
            <w:tc>
              <w:tcPr>
                <w:tcW w:w="14721" w:type="dxa"/>
                <w:gridSpan w:val="5"/>
              </w:tcPr>
              <w:p>
                <w:pPr>
                  <w:rPr>
                    <w:sz w:val="10"/>
                    <w:szCs w:val="10"/>
                  </w:rPr>
                </w:pPr>
              </w:p>
              <w:p>
                <w:pPr>
                  <w:suppressAutoHyphens/>
                  <w:jc w:val="both"/>
                  <w:rPr>
                    <w:b/>
                    <w:bCs/>
                    <w:szCs w:val="22"/>
                  </w:rPr>
                </w:pPr>
                <w:r>
                  <w:rPr>
                    <w:b/>
                    <w:bCs/>
                    <w:szCs w:val="22"/>
                  </w:rPr>
                  <w:t>Uždavinys: Sukurti teisinį ir institucinį mechanizmą upių vientisumo atkūrimo projektų įgyvendinimui.</w:t>
                </w:r>
              </w:p>
            </w:tc>
          </w:tr>
          <w:tr>
            <w:tc>
              <w:tcPr>
                <w:tcW w:w="709" w:type="dxa"/>
              </w:tcPr>
              <w:p>
                <w:pPr>
                  <w:rPr>
                    <w:sz w:val="10"/>
                    <w:szCs w:val="10"/>
                  </w:rPr>
                </w:pPr>
              </w:p>
              <w:p>
                <w:pPr>
                  <w:suppressAutoHyphens/>
                  <w:rPr>
                    <w:szCs w:val="22"/>
                  </w:rPr>
                </w:pPr>
                <w:r>
                  <w:rPr>
                    <w:szCs w:val="22"/>
                  </w:rPr>
                  <w:t>17.</w:t>
                </w:r>
              </w:p>
            </w:tc>
            <w:tc>
              <w:tcPr>
                <w:tcW w:w="7634" w:type="dxa"/>
              </w:tcPr>
              <w:p>
                <w:pPr>
                  <w:rPr>
                    <w:sz w:val="10"/>
                    <w:szCs w:val="10"/>
                  </w:rPr>
                </w:pPr>
              </w:p>
              <w:p>
                <w:pPr>
                  <w:suppressAutoHyphens/>
                  <w:jc w:val="both"/>
                  <w:rPr>
                    <w:color w:val="000000"/>
                    <w:szCs w:val="22"/>
                    <w:bdr w:val="none" w:sz="0" w:space="0" w:color="auto" w:frame="1"/>
                  </w:rPr>
                </w:pPr>
                <w:r>
                  <w:rPr>
                    <w:szCs w:val="22"/>
                  </w:rPr>
                  <w:t xml:space="preserve">Sudaryti tarpinstitucinę užtvankų įvertinimo ekologiniu ir socioekonominiu požiūriu studijos priežiūros grupę. </w:t>
                </w:r>
              </w:p>
            </w:tc>
            <w:tc>
              <w:tcPr>
                <w:tcW w:w="2126" w:type="dxa"/>
              </w:tcPr>
              <w:p>
                <w:pPr>
                  <w:rPr>
                    <w:sz w:val="10"/>
                    <w:szCs w:val="10"/>
                  </w:rPr>
                </w:pPr>
              </w:p>
              <w:p>
                <w:pPr>
                  <w:suppressAutoHyphens/>
                  <w:rPr>
                    <w:szCs w:val="22"/>
                  </w:rPr>
                </w:pPr>
                <w:r>
                  <w:rPr>
                    <w:szCs w:val="22"/>
                  </w:rPr>
                  <w:t>AM SPG</w:t>
                </w:r>
              </w:p>
            </w:tc>
            <w:tc>
              <w:tcPr>
                <w:tcW w:w="2410" w:type="dxa"/>
              </w:tcPr>
              <w:p>
                <w:pPr>
                  <w:rPr>
                    <w:sz w:val="10"/>
                    <w:szCs w:val="10"/>
                  </w:rPr>
                </w:pPr>
              </w:p>
              <w:p>
                <w:pPr>
                  <w:suppressAutoHyphens/>
                  <w:rPr>
                    <w:szCs w:val="22"/>
                    <w:lang w:val="en-GB"/>
                  </w:rPr>
                </w:pPr>
              </w:p>
            </w:tc>
            <w:tc>
              <w:tcPr>
                <w:tcW w:w="1842" w:type="dxa"/>
              </w:tcPr>
              <w:p>
                <w:pPr>
                  <w:rPr>
                    <w:sz w:val="10"/>
                    <w:szCs w:val="10"/>
                  </w:rPr>
                </w:pPr>
              </w:p>
              <w:p>
                <w:pPr>
                  <w:suppressAutoHyphens/>
                  <w:rPr>
                    <w:szCs w:val="22"/>
                  </w:rPr>
                </w:pPr>
                <w:r>
                  <w:rPr>
                    <w:szCs w:val="22"/>
                  </w:rPr>
                  <w:t xml:space="preserve">2021 m. III ketv. </w:t>
                </w:r>
              </w:p>
            </w:tc>
          </w:tr>
          <w:tr>
            <w:tc>
              <w:tcPr>
                <w:tcW w:w="709" w:type="dxa"/>
              </w:tcPr>
              <w:p>
                <w:pPr>
                  <w:rPr>
                    <w:sz w:val="10"/>
                    <w:szCs w:val="10"/>
                  </w:rPr>
                </w:pPr>
              </w:p>
              <w:p>
                <w:pPr>
                  <w:suppressAutoHyphens/>
                  <w:rPr>
                    <w:szCs w:val="22"/>
                  </w:rPr>
                </w:pPr>
                <w:r>
                  <w:rPr>
                    <w:szCs w:val="22"/>
                  </w:rPr>
                  <w:t>18.</w:t>
                </w:r>
              </w:p>
            </w:tc>
            <w:tc>
              <w:tcPr>
                <w:tcW w:w="7634" w:type="dxa"/>
              </w:tcPr>
              <w:p>
                <w:pPr>
                  <w:rPr>
                    <w:sz w:val="10"/>
                    <w:szCs w:val="10"/>
                  </w:rPr>
                </w:pPr>
              </w:p>
              <w:p>
                <w:pPr>
                  <w:suppressAutoHyphens/>
                  <w:jc w:val="both"/>
                  <w:rPr>
                    <w:color w:val="4F81BD"/>
                    <w:szCs w:val="22"/>
                  </w:rPr>
                </w:pPr>
                <w:r>
                  <w:rPr>
                    <w:szCs w:val="22"/>
                  </w:rPr>
                  <w:t>Sukurti pajėgumus ir kompetenciją upių vientisumo atkūrimo projektų įgyvendinimui aplinkos ministro įgaliotoje institucijoje.</w:t>
                </w:r>
              </w:p>
            </w:tc>
            <w:tc>
              <w:tcPr>
                <w:tcW w:w="2126" w:type="dxa"/>
              </w:tcPr>
              <w:p>
                <w:pPr>
                  <w:rPr>
                    <w:sz w:val="10"/>
                    <w:szCs w:val="10"/>
                  </w:rPr>
                </w:pPr>
              </w:p>
              <w:p>
                <w:pPr>
                  <w:suppressAutoHyphens/>
                  <w:rPr>
                    <w:szCs w:val="22"/>
                  </w:rPr>
                </w:pPr>
                <w:r>
                  <w:rPr>
                    <w:szCs w:val="22"/>
                  </w:rPr>
                  <w:t>AM GAPG, AM SPG, AM TPPG</w:t>
                </w:r>
              </w:p>
            </w:tc>
            <w:tc>
              <w:tcPr>
                <w:tcW w:w="2410" w:type="dxa"/>
              </w:tcPr>
              <w:p>
                <w:pPr>
                  <w:rPr>
                    <w:sz w:val="10"/>
                    <w:szCs w:val="10"/>
                  </w:rPr>
                </w:pPr>
              </w:p>
              <w:p>
                <w:pPr>
                  <w:suppressAutoHyphens/>
                  <w:rPr>
                    <w:szCs w:val="22"/>
                    <w:lang w:val="en-GB"/>
                  </w:rPr>
                </w:pPr>
              </w:p>
            </w:tc>
            <w:tc>
              <w:tcPr>
                <w:tcW w:w="1842" w:type="dxa"/>
              </w:tcPr>
              <w:p>
                <w:pPr>
                  <w:rPr>
                    <w:sz w:val="10"/>
                    <w:szCs w:val="10"/>
                  </w:rPr>
                </w:pPr>
              </w:p>
              <w:p>
                <w:pPr>
                  <w:suppressAutoHyphens/>
                  <w:rPr>
                    <w:szCs w:val="22"/>
                  </w:rPr>
                </w:pPr>
                <w:r>
                  <w:rPr>
                    <w:szCs w:val="22"/>
                  </w:rPr>
                  <w:t>2022 m. IV ketv.</w:t>
                </w:r>
              </w:p>
            </w:tc>
          </w:tr>
          <w:tr>
            <w:tc>
              <w:tcPr>
                <w:tcW w:w="709" w:type="dxa"/>
              </w:tcPr>
              <w:p>
                <w:pPr>
                  <w:rPr>
                    <w:sz w:val="10"/>
                    <w:szCs w:val="10"/>
                  </w:rPr>
                </w:pPr>
              </w:p>
              <w:p>
                <w:pPr>
                  <w:suppressAutoHyphens/>
                  <w:rPr>
                    <w:szCs w:val="22"/>
                  </w:rPr>
                </w:pPr>
                <w:r>
                  <w:rPr>
                    <w:szCs w:val="22"/>
                  </w:rPr>
                  <w:t>19.</w:t>
                </w:r>
              </w:p>
            </w:tc>
            <w:tc>
              <w:tcPr>
                <w:tcW w:w="7634" w:type="dxa"/>
              </w:tcPr>
              <w:p>
                <w:pPr>
                  <w:rPr>
                    <w:sz w:val="10"/>
                    <w:szCs w:val="10"/>
                  </w:rPr>
                </w:pPr>
              </w:p>
              <w:p>
                <w:pPr>
                  <w:suppressAutoHyphens/>
                  <w:jc w:val="both"/>
                  <w:rPr>
                    <w:szCs w:val="22"/>
                  </w:rPr>
                </w:pPr>
                <w:r>
                  <w:rPr>
                    <w:szCs w:val="22"/>
                  </w:rPr>
                  <w:t>Parengti rekomendacinį dokumentą upių vientisumo atkūrimo projektų įgyvendinimo koordinatoriams.</w:t>
                </w:r>
              </w:p>
            </w:tc>
            <w:tc>
              <w:tcPr>
                <w:tcW w:w="2126" w:type="dxa"/>
              </w:tcPr>
              <w:p>
                <w:pPr>
                  <w:rPr>
                    <w:sz w:val="10"/>
                    <w:szCs w:val="10"/>
                  </w:rPr>
                </w:pPr>
              </w:p>
              <w:p>
                <w:pPr>
                  <w:suppressAutoHyphens/>
                  <w:rPr>
                    <w:szCs w:val="22"/>
                  </w:rPr>
                </w:pPr>
                <w:r>
                  <w:rPr>
                    <w:szCs w:val="22"/>
                  </w:rPr>
                  <w:t>AM SPG</w:t>
                </w:r>
              </w:p>
            </w:tc>
            <w:tc>
              <w:tcPr>
                <w:tcW w:w="2410" w:type="dxa"/>
              </w:tcPr>
              <w:p>
                <w:pPr>
                  <w:rPr>
                    <w:sz w:val="10"/>
                    <w:szCs w:val="10"/>
                  </w:rPr>
                </w:pPr>
              </w:p>
              <w:p>
                <w:pPr>
                  <w:suppressAutoHyphens/>
                  <w:rPr>
                    <w:szCs w:val="22"/>
                    <w:lang w:val="en-GB"/>
                  </w:rPr>
                </w:pPr>
              </w:p>
            </w:tc>
            <w:tc>
              <w:tcPr>
                <w:tcW w:w="1842" w:type="dxa"/>
              </w:tcPr>
              <w:p>
                <w:pPr>
                  <w:rPr>
                    <w:sz w:val="10"/>
                    <w:szCs w:val="10"/>
                  </w:rPr>
                </w:pPr>
              </w:p>
              <w:p>
                <w:pPr>
                  <w:suppressAutoHyphens/>
                  <w:rPr>
                    <w:szCs w:val="22"/>
                  </w:rPr>
                </w:pPr>
                <w:r>
                  <w:rPr>
                    <w:szCs w:val="22"/>
                  </w:rPr>
                  <w:t xml:space="preserve">2022 m. III ketv. </w:t>
                </w:r>
              </w:p>
            </w:tc>
          </w:tr>
          <w:tr>
            <w:tc>
              <w:tcPr>
                <w:tcW w:w="709" w:type="dxa"/>
              </w:tcPr>
              <w:p>
                <w:pPr>
                  <w:rPr>
                    <w:sz w:val="10"/>
                    <w:szCs w:val="10"/>
                  </w:rPr>
                </w:pPr>
              </w:p>
              <w:p>
                <w:pPr>
                  <w:suppressAutoHyphens/>
                  <w:rPr>
                    <w:szCs w:val="22"/>
                  </w:rPr>
                </w:pPr>
                <w:r>
                  <w:rPr>
                    <w:szCs w:val="22"/>
                  </w:rPr>
                  <w:t xml:space="preserve">20. </w:t>
                </w:r>
              </w:p>
            </w:tc>
            <w:tc>
              <w:tcPr>
                <w:tcW w:w="7634" w:type="dxa"/>
              </w:tcPr>
              <w:p>
                <w:pPr>
                  <w:rPr>
                    <w:sz w:val="10"/>
                    <w:szCs w:val="10"/>
                  </w:rPr>
                </w:pPr>
              </w:p>
              <w:p>
                <w:pPr>
                  <w:suppressAutoHyphens/>
                  <w:jc w:val="both"/>
                  <w:rPr>
                    <w:szCs w:val="22"/>
                  </w:rPr>
                </w:pPr>
                <w:r>
                  <w:rPr>
                    <w:szCs w:val="22"/>
                  </w:rPr>
                  <w:t>Sukurti finansavimo pajėgumus upių vientisumo atkūrimo projektams įgyvendinti aplinkos ministro įgaliotai institucijai.</w:t>
                </w:r>
              </w:p>
            </w:tc>
            <w:tc>
              <w:tcPr>
                <w:tcW w:w="2126" w:type="dxa"/>
              </w:tcPr>
              <w:p>
                <w:pPr>
                  <w:rPr>
                    <w:sz w:val="10"/>
                    <w:szCs w:val="10"/>
                  </w:rPr>
                </w:pPr>
              </w:p>
              <w:p>
                <w:pPr>
                  <w:suppressAutoHyphens/>
                  <w:rPr>
                    <w:szCs w:val="22"/>
                  </w:rPr>
                </w:pPr>
                <w:r>
                  <w:rPr>
                    <w:szCs w:val="22"/>
                  </w:rPr>
                  <w:t>AM GAPG, AM SPG, AM TPPG</w:t>
                </w:r>
              </w:p>
            </w:tc>
            <w:tc>
              <w:tcPr>
                <w:tcW w:w="2410" w:type="dxa"/>
              </w:tcPr>
              <w:p>
                <w:pPr>
                  <w:rPr>
                    <w:sz w:val="10"/>
                    <w:szCs w:val="10"/>
                  </w:rPr>
                </w:pPr>
              </w:p>
              <w:p>
                <w:pPr>
                  <w:suppressAutoHyphens/>
                  <w:rPr>
                    <w:szCs w:val="22"/>
                    <w:lang w:val="en-GB"/>
                  </w:rPr>
                </w:pPr>
              </w:p>
            </w:tc>
            <w:tc>
              <w:tcPr>
                <w:tcW w:w="1842" w:type="dxa"/>
              </w:tcPr>
              <w:p>
                <w:pPr>
                  <w:rPr>
                    <w:sz w:val="10"/>
                    <w:szCs w:val="10"/>
                  </w:rPr>
                </w:pPr>
              </w:p>
              <w:p>
                <w:pPr>
                  <w:suppressAutoHyphens/>
                  <w:rPr>
                    <w:szCs w:val="22"/>
                  </w:rPr>
                </w:pPr>
                <w:r>
                  <w:rPr>
                    <w:szCs w:val="22"/>
                  </w:rPr>
                  <w:t>2022 II ketv.</w:t>
                </w:r>
              </w:p>
            </w:tc>
          </w:tr>
        </w:tbl>
        <w:p>
          <w:pPr>
            <w:rPr>
              <w:lang w:val="en-GB" w:eastAsia="lt-LT"/>
            </w:rPr>
          </w:pPr>
        </w:p>
        <w:p>
          <w:pPr>
            <w:rPr>
              <w:lang w:val="en-GB" w:eastAsia="lt-LT"/>
            </w:rPr>
          </w:pPr>
        </w:p>
        <w:p>
          <w:pPr>
            <w:rPr>
              <w:lang w:val="en-GB" w:eastAsia="lt-LT"/>
            </w:rPr>
          </w:pPr>
        </w:p>
      </w:sdtContent>
    </w:sdt>
    <w:sectPr>
      <w:footnotePr>
        <w:pos w:val="beneathText"/>
      </w:footnotePr>
      <w:pgSz w:w="16837" w:h="11905" w:orient="landscape"/>
      <w:pgMar w:top="2654" w:right="709" w:bottom="1032" w:left="1701" w:header="1140" w:footer="919" w:gutter="0"/>
      <w:cols w:space="1296"/>
      <w:formProt w:val="0"/>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59393"/>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08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
        <AccountId xsi:nil="true"/>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0" ma:contentTypeDescription="Create a new document." ma:contentTypeScope="" ma:versionID="4fdfa99c19e46e54380ea7d0d8415786">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004e27f967578980c4dd2626d93c0c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b40e2c7be1fb4abb870b71674787a665" PartId="3b5cadaf125a4b97bf4f22526bcc8ce7">
    <Part Type="preambule" DocPartId="9923bb67f64e480daa6063d3f8c98418" PartId="9c39737ba492442aa27719b9c14b47d2"/>
    <Part Type="punktas" Nr="1" Abbr="1 p." DocPartId="3e0c7ff1a2c44048b5656df922876bcd" PartId="13581413776f4168b77664a16687f1c4"/>
    <Part Type="punktas" Nr="2" Abbr="2 p." DocPartId="d6e8edacf88a4040be02ceaeca8875f4" PartId="2f091d4633dc46aca99103089b56107b"/>
  </Part>
  <Part Type="patvirtinta" Title="VEIKSMŲ PLANAS UPIŲ VIENTISUMUI ATKURTI IR HIDROELEKTRINIŲ NEIGIAMAM POVEIKIUI MAŽINTI" DocPartId="bc42ab1400a149aebd2fe54908572309" PartId="dc3e59ed0431481fb5c6b4111d0bff2c"/>
</Parts>
</file>

<file path=customXml/itemProps1.xml><?xml version="1.0" encoding="utf-8"?>
<ds:datastoreItem xmlns:ds="http://schemas.openxmlformats.org/officeDocument/2006/customXml" ds:itemID="{2E0433FB-BEC0-40FD-BD00-FC95BD30D0CB}">
  <ds:schemaRefs>
    <ds:schemaRef ds:uri="http://schemas.microsoft.com/office/2006/metadata/properties"/>
    <ds:schemaRef ds:uri="http://purl.org/dc/elements/1.1/"/>
    <ds:schemaRef ds:uri="http://schemas.openxmlformats.org/package/2006/metadata/core-properties"/>
    <ds:schemaRef ds:uri="http://purl.org/dc/terms/"/>
    <ds:schemaRef ds:uri="2ad30025-d0d5-4532-b26e-26983efa1e1c"/>
    <ds:schemaRef ds:uri="http://schemas.microsoft.com/office/infopath/2007/PartnerControls"/>
    <ds:schemaRef ds:uri="http://schemas.microsoft.com/office/2006/documentManagement/types"/>
    <ds:schemaRef ds:uri="58c6f6df-7e1f-4a2e-8979-e3f4c92e56f2"/>
    <ds:schemaRef ds:uri="http://www.w3.org/XML/1998/namespace"/>
    <ds:schemaRef ds:uri="http://purl.org/dc/dcmitype/"/>
  </ds:schemaRefs>
</ds:datastoreItem>
</file>

<file path=customXml/itemProps2.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3.xml><?xml version="1.0" encoding="utf-8"?>
<ds:datastoreItem xmlns:ds="http://schemas.openxmlformats.org/officeDocument/2006/customXml" ds:itemID="{97BE8531-D26E-4196-BC2C-66973E6327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420716-52F6-4008-A79A-62B8603FEFAB}">
  <ds:schemaRefs>
    <ds:schemaRef ds:uri="http://schemas.openxmlformats.org/officeDocument/2006/bibliography"/>
  </ds:schemaRefs>
</ds:datastoreItem>
</file>

<file path=customXml/itemProps5.xml><?xml version="1.0" encoding="utf-8"?>
<ds:datastoreItem xmlns:ds="http://schemas.openxmlformats.org/officeDocument/2006/customXml" ds:itemID="{BEC7FB46-140A-4729-ACCA-E0ECD1ABBD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1028</Words>
  <Characters>7284</Characters>
  <Application>Microsoft Office Word</Application>
  <DocSecurity>4</DocSecurity>
  <Lines>280</Lines>
  <Paragraphs>136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8176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2021-05-25T06:27:00Z</dcterms:created>
  <dcterms:modified xsi:type="dcterms:W3CDTF">2021-05-25T06:27:00Z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ies>
</file>