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9b4500d8de54365ba41c8a4f519ad0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textAlignment w:val="baseline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</w:p>
        <w:p>
          <w:pPr>
            <w:suppressAutoHyphens/>
            <w:spacing w:line="276" w:lineRule="auto"/>
            <w:jc w:val="center"/>
            <w:textAlignment w:val="baseline"/>
            <w:rPr>
              <w:rFonts w:eastAsia="Calibri"/>
              <w:b/>
              <w:szCs w:val="24"/>
            </w:rPr>
          </w:pPr>
        </w:p>
        <w:p>
          <w:pPr>
            <w:suppressAutoHyphens/>
            <w:spacing w:line="276" w:lineRule="auto"/>
            <w:jc w:val="center"/>
            <w:textAlignment w:val="baseline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VIDAUS REIKALŲ MINISTRAS</w:t>
          </w:r>
        </w:p>
        <w:p>
          <w:pPr>
            <w:suppressAutoHyphens/>
            <w:spacing w:line="276" w:lineRule="auto"/>
            <w:jc w:val="center"/>
            <w:textAlignment w:val="baseline"/>
            <w:rPr>
              <w:rFonts w:eastAsia="Calibri"/>
              <w:b/>
              <w:szCs w:val="24"/>
            </w:rPr>
          </w:pPr>
        </w:p>
        <w:p>
          <w:pPr>
            <w:suppressAutoHyphens/>
            <w:jc w:val="center"/>
            <w:textAlignment w:val="baseline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tbl>
          <w:tblPr>
            <w:tblW w:w="9003" w:type="dxa"/>
            <w:jc w:val="center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9003"/>
          </w:tblGrid>
          <w:tr>
            <w:trPr>
              <w:jc w:val="center"/>
            </w:trPr>
            <w:tc>
              <w:tcPr>
                <w:tcW w:w="9003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uppressAutoHyphens/>
                  <w:jc w:val="center"/>
                  <w:textAlignment w:val="baseline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b/>
                    <w:bCs/>
                    <w:caps/>
                    <w:szCs w:val="24"/>
                  </w:rPr>
                  <w:t>dėl VIDAUS REIKALŲ MINISTRO 2015 M. SPALIO 19 D. ĮSAKYMO NR. 1V-830 „d</w:t>
                </w:r>
                <w:r>
                  <w:rPr>
                    <w:rFonts w:eastAsia="Calibri"/>
                    <w:b/>
                    <w:bCs/>
                    <w:caps/>
                    <w:color w:val="000000"/>
                    <w:szCs w:val="24"/>
                  </w:rPr>
                  <w:t xml:space="preserve">ėl 2014–2020 METŲ EUROPOS SĄJUNGOS FONDŲ INVESTICIJŲ VEIKSMŲ PROGRAMOS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10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PRIORITETO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 „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VISUOMENĖS POREIKIUS ATITINKANTIS IR PAŽANGUS VIEŠASIS VALDYMAS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“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NR. 10.1.1-ESFA-V-912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PRIEMONĖS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 „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</w:rPr>
                  <w:t>NACIONALINIŲ REFORMŲ SKATINIMAS IR VIEŠOJO VALDYMO INSTITUCIJŲ VEIKLOS GERINIMAS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“ </w:t>
                </w:r>
                <w:r>
                  <w:rPr>
                    <w:rFonts w:eastAsia="Calibri"/>
                    <w:b/>
                    <w:bCs/>
                    <w:caps/>
                    <w:color w:val="000000"/>
                    <w:szCs w:val="24"/>
                  </w:rPr>
                  <w:t>PROJEKTŲ FINANSAVIMO SĄLYGŲ APRAŠO patvirtinimo</w:t>
                </w:r>
                <w:r>
                  <w:rPr>
                    <w:b/>
                    <w:bCs/>
                    <w:caps/>
                    <w:szCs w:val="24"/>
                  </w:rPr>
                  <w:t>“ PAKEITIMO</w:t>
                </w:r>
              </w:p>
            </w:tc>
          </w:tr>
        </w:tbl>
        <w:p>
          <w:pPr>
            <w:suppressAutoHyphens/>
            <w:jc w:val="center"/>
            <w:textAlignment w:val="baseline"/>
          </w:pPr>
        </w:p>
        <w:p>
          <w:pPr>
            <w:suppressAutoHyphens/>
            <w:ind w:firstLine="62"/>
            <w:jc w:val="center"/>
            <w:textAlignment w:val="baseline"/>
          </w:pPr>
          <w:r>
            <w:t xml:space="preserve">Nr. </w:t>
          </w:r>
        </w:p>
        <w:p>
          <w:pPr>
            <w:suppressAutoHyphens/>
            <w:jc w:val="center"/>
            <w:textAlignment w:val="baseline"/>
          </w:pPr>
          <w:r>
            <w:t>Vilnius</w:t>
          </w:r>
        </w:p>
        <w:p>
          <w:pPr>
            <w:tabs>
              <w:tab w:val="left" w:pos="4257"/>
            </w:tabs>
            <w:suppressAutoHyphens/>
            <w:textAlignment w:val="baseline"/>
          </w:pPr>
        </w:p>
        <w:p>
          <w:pPr>
            <w:suppressAutoHyphens/>
            <w:spacing w:line="360" w:lineRule="auto"/>
            <w:ind w:firstLine="720"/>
            <w:jc w:val="both"/>
            <w:textAlignment w:val="center"/>
            <w:rPr>
              <w:color w:val="000000"/>
              <w:szCs w:val="24"/>
            </w:rPr>
          </w:pPr>
          <w:r>
            <w:rPr>
              <w:rFonts w:eastAsia="Calibri"/>
              <w:spacing w:val="100"/>
              <w:szCs w:val="24"/>
            </w:rPr>
            <w:t>Pakeičiu</w:t>
          </w:r>
          <w:r>
            <w:rPr>
              <w:rFonts w:eastAsia="Calibri"/>
              <w:szCs w:val="24"/>
            </w:rPr>
            <w:t xml:space="preserve"> </w:t>
          </w:r>
          <w:r>
            <w:rPr>
              <w:color w:val="000000"/>
              <w:szCs w:val="24"/>
            </w:rPr>
            <w:t>2014–2020 metų Europos Sąjungos fondų investicijų veiksmų programos 10 prioriteto „Visuomenės poreikius atitinkantis ir pažangus viešasis valdymas“ Nr. 10.1.1-ESFA-V-912 priemonės „</w:t>
          </w:r>
          <w:r>
            <w:rPr>
              <w:rFonts w:eastAsia="Calibri"/>
              <w:color w:val="000000"/>
              <w:szCs w:val="24"/>
            </w:rPr>
            <w:t>Nacionalinių reformų skatinimas ir viešojo valdymo institucijų veiklos gerinimas</w:t>
          </w:r>
          <w:r>
            <w:rPr>
              <w:color w:val="000000"/>
              <w:szCs w:val="24"/>
            </w:rPr>
            <w:t>“ projektų finansavimo sąlygų aprašą, patvirtintą Lietuvos Respublikos vidaus reikalų ministro 2015 m. spalio 19 d. įsakymu Nr. 1V-830 „Dėl 2014–2020 metų Europos Sąjungos fondų investicijų veiksmų programos 10 prioriteto „Visuomenės poreikius atitinkantis ir pažangus viešasis valdymas“ Nr. 10.1.1-ESFA-V-912 priemonės „</w:t>
          </w:r>
          <w:r>
            <w:rPr>
              <w:rFonts w:eastAsia="Calibri"/>
              <w:color w:val="000000"/>
              <w:szCs w:val="24"/>
            </w:rPr>
            <w:t>Nacionalinių reformų skatinimas ir viešojo valdymo institucijų veiklos gerinimas</w:t>
          </w:r>
          <w:r>
            <w:rPr>
              <w:color w:val="000000"/>
              <w:szCs w:val="24"/>
            </w:rPr>
            <w:t>“ projektų finansavimo sąlygų aprašo patvirtinimo“:</w:t>
          </w:r>
        </w:p>
        <w:sdt>
          <w:sdtPr>
            <w:alias w:val="1 p."/>
            <w:tag w:val="part_ed03f0da71a147d6bf79456743dfc90a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rFonts w:eastAsia="Calibri"/>
                  <w:sz w:val="22"/>
                  <w:szCs w:val="22"/>
                </w:rPr>
              </w:pPr>
              <w:sdt>
                <w:sdtPr>
                  <w:alias w:val="Numeris"/>
                  <w:tag w:val="nr_ed03f0da71a147d6bf79456743dfc90a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</w:r>
              <w:r>
                <w:rPr>
                  <w:szCs w:val="24"/>
                </w:rPr>
                <w:t xml:space="preserve"> </w:t>
              </w:r>
              <w:r>
                <w:rPr>
                  <w:rFonts w:eastAsia="Calibri"/>
                  <w:szCs w:val="24"/>
                </w:rPr>
                <w:t>Pakeičiu</w:t>
              </w:r>
              <w:r>
                <w:rPr>
                  <w:rFonts w:eastAsia="Calibri"/>
                  <w:sz w:val="22"/>
                  <w:szCs w:val="22"/>
                </w:rPr>
                <w:t xml:space="preserve"> </w:t>
              </w:r>
              <w:r>
                <w:rPr>
                  <w:rFonts w:eastAsia="Calibri"/>
                  <w:szCs w:val="24"/>
                </w:rPr>
                <w:t>10.4 pa</w:t>
              </w:r>
              <w:r>
                <w:rPr>
                  <w:color w:val="000000"/>
                  <w:szCs w:val="24"/>
                </w:rPr>
                <w:t>punktį ir jį išdėstau taip:</w:t>
              </w:r>
            </w:p>
            <w:sdt>
              <w:sdtPr>
                <w:alias w:val="citata"/>
                <w:tag w:val="part_f27f9f97d48740408d8ea84db80c042a"/>
                <w:lock w:val="sdtLocked"/>
                <w:richText/>
              </w:sdtPr>
              <w:sdtContent>
                <w:sdt>
                  <w:sdtPr>
                    <w:alias w:val="10.4 pp."/>
                    <w:tag w:val="part_9b745b5a5e1e40b8b8325f94cca83d8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spacing w:line="360" w:lineRule="auto"/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b745b5a5e1e40b8b8325f94cca83d8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10.4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priemonių (įrankių) valstybės ir (ar) savivaldybių ištekliams efektyviau valdyti kūrimas, tobulinimas, diegimas;“.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e18b5cc2d0d41b287c458a668360ab1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rFonts w:eastAsia="Calibri"/>
                  <w:sz w:val="22"/>
                  <w:szCs w:val="22"/>
                </w:rPr>
              </w:pPr>
              <w:sdt>
                <w:sdtPr>
                  <w:alias w:val="Numeris"/>
                  <w:tag w:val="nr_2e18b5cc2d0d41b287c458a668360ab1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</w:r>
              <w:r>
                <w:rPr>
                  <w:szCs w:val="24"/>
                </w:rPr>
                <w:t>Pakeičiu 13 punktą ir jį išdėstau taip:</w:t>
              </w:r>
            </w:p>
            <w:sdt>
              <w:sdtPr>
                <w:alias w:val="citata"/>
                <w:tag w:val="part_c1eecc97d13c4f20a629f18dd8c40b19"/>
                <w:lock w:val="sdtLocked"/>
                <w:richText/>
              </w:sdtPr>
              <w:sdtContent>
                <w:sdt>
                  <w:sdtPr>
                    <w:alias w:val="13 p."/>
                    <w:tag w:val="part_f4901be59f9d4733848e9ae848da7b76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spacing w:line="360" w:lineRule="auto"/>
                        <w:ind w:firstLine="851"/>
                        <w:jc w:val="both"/>
                        <w:textAlignment w:val="center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4901be59f9d4733848e9ae848da7b7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Pagal Aprašą galimi pareiškėjai (konkretūs galimi pareiškėjai yra nurodyti Aprašo 17.1–17.2 papunkčiuose nurodytuose dokumentuose):</w:t>
                      </w:r>
                    </w:p>
                    <w:sdt>
                      <w:sdtPr>
                        <w:alias w:val="13.1 pp."/>
                        <w:tag w:val="part_07cf467fd7fa4bb4a30e602bd4aabe5a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7cf467fd7fa4bb4a30e602bd4aabe5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13.1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. valstybės institucijos ir įstaigos, taip pat kitos biudžetinės įstaigos, kurių savininkė – valstybė ir kurios dalyvauja formuojant arba įgyvendina valstybės politiką atskirose viešojo valdymo srityse;</w:t>
                          </w:r>
                        </w:p>
                      </w:sdtContent>
                    </w:sdt>
                    <w:sdt>
                      <w:sdtPr>
                        <w:alias w:val="13.2 pp."/>
                        <w:tag w:val="part_c3866221b834421c9fccd454a331e4bb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3866221b834421c9fccd454a331e4b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13.2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. viešosios įstaigos, kurioms suteikti viešojo administravimo įgaliojimai;</w:t>
                          </w:r>
                        </w:p>
                      </w:sdtContent>
                    </w:sdt>
                    <w:sdt>
                      <w:sdtPr>
                        <w:alias w:val="13.3 pp."/>
                        <w:tag w:val="part_fdf20e155c2e46d49b68122f0d491924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df20e155c2e46d49b68122f0d49192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13.3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. valstybės įmonės, kurioms suteikti viešojo administravimo įgaliojimai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3.4 pp."/>
                        <w:tag w:val="part_5b255266774641a2bfe8de156dc73d6f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b255266774641a2bfe8de156dc73d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13.4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savivaldybių institucijos ir įstaigos;</w:t>
                          </w:r>
                        </w:p>
                      </w:sdtContent>
                    </w:sdt>
                    <w:sdt>
                      <w:sdtPr>
                        <w:alias w:val="13.5 pp."/>
                        <w:tag w:val="part_31a31868ec5846859d22d3385b0f4713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1a31868ec5846859d22d3385b0f471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13.5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Lietuvos savivaldybių asociacija, Savivaldybių kontrolierių asociacija.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9c62b152e0d042eaa511055131a641a2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rFonts w:eastAsia="Calibri"/>
                  <w:sz w:val="22"/>
                  <w:szCs w:val="22"/>
                </w:rPr>
              </w:pPr>
              <w:sdt>
                <w:sdtPr>
                  <w:alias w:val="Numeris"/>
                  <w:tag w:val="nr_9c62b152e0d042eaa511055131a641a2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  <w:t>Pakeičiu</w:t>
              </w:r>
              <w:r>
                <w:rPr>
                  <w:rFonts w:eastAsia="Calibri"/>
                  <w:sz w:val="22"/>
                  <w:szCs w:val="22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14 </w:t>
              </w:r>
              <w:r>
                <w:rPr>
                  <w:color w:val="000000"/>
                  <w:szCs w:val="24"/>
                </w:rPr>
                <w:t>punktą ir jį išdėstau taip:</w:t>
              </w:r>
            </w:p>
            <w:sdt>
              <w:sdtPr>
                <w:alias w:val="citata"/>
                <w:tag w:val="part_cac3e14abfe24e8dacd80c510ad44f98"/>
                <w:lock w:val="sdtLocked"/>
                <w:richText/>
              </w:sdtPr>
              <w:sdtContent>
                <w:sdt>
                  <w:sdtPr>
                    <w:alias w:val="14 p."/>
                    <w:tag w:val="part_b58a2dca24ea4038864c562ea785af12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spacing w:line="360" w:lineRule="auto"/>
                        <w:ind w:firstLine="851"/>
                        <w:jc w:val="both"/>
                        <w:textAlignment w:val="center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58a2dca24ea4038864c562ea785af1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Pagal Aprašą galimi partneriai:</w:t>
                      </w:r>
                    </w:p>
                    <w:sdt>
                      <w:sdtPr>
                        <w:alias w:val="14.1 pp."/>
                        <w:tag w:val="part_bc77eeeaf47f4ff4952f139c637ac783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c77eeeaf47f4ff4952f139c637ac78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14.1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. biudžetinės įstaigos, kurių savininkė – valstybė;</w:t>
                          </w:r>
                        </w:p>
                      </w:sdtContent>
                    </w:sdt>
                    <w:sdt>
                      <w:sdtPr>
                        <w:alias w:val="14.2 pp."/>
                        <w:tag w:val="part_a18c1dd489804c7e91e5c728596b3977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18c1dd489804c7e91e5c728596b397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14.2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viešosios įstaigos, kurių savininkė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valstybė ir (arba) kurioms suteikti viešojo administravimo įgaliojimai;</w:t>
                          </w:r>
                        </w:p>
                      </w:sdtContent>
                    </w:sdt>
                    <w:sdt>
                      <w:sdtPr>
                        <w:alias w:val="14.3 pp."/>
                        <w:tag w:val="part_a11866603bd94b0e9ec4b870429b2ad1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11866603bd94b0e9ec4b870429b2ad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14.3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valstybės įmonės;</w:t>
                          </w:r>
                        </w:p>
                      </w:sdtContent>
                    </w:sdt>
                    <w:sdt>
                      <w:sdtPr>
                        <w:alias w:val="14.4 pp."/>
                        <w:tag w:val="part_b114635dd1c84d26b4d652d5fddd91a7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114635dd1c84d26b4d652d5fddd91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14.4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savivaldybių institucijos ir įstaigos;</w:t>
                          </w:r>
                        </w:p>
                      </w:sdtContent>
                    </w:sdt>
                    <w:sdt>
                      <w:sdtPr>
                        <w:alias w:val="14.5 pp."/>
                        <w:tag w:val="part_f58bee490fc047fdb23b120d924f27d2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851"/>
                            <w:jc w:val="both"/>
                            <w:textAlignment w:val="center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58bee490fc047fdb23b120d924f27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14.5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Lietuvos savivaldybių asociacija, Savivaldybių kontrolierių asociacija;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 p."/>
                    <w:tag w:val="part_ef60466fffcd4efe978475d0375ae78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spacing w:line="360" w:lineRule="auto"/>
                        <w:ind w:firstLine="851"/>
                        <w:jc w:val="both"/>
                        <w:textAlignment w:val="center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f60466fffcd4efe978475d0375ae78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6. nevyriausybinės organizacijos.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“</w:t>
                      </w:r>
                    </w:p>
                    <w:p>
                      <w:pPr>
                        <w:tabs>
                          <w:tab w:val="left" w:pos="851"/>
                          <w:tab w:val="left" w:pos="1134"/>
                          <w:tab w:val="left" w:pos="1418"/>
                          <w:tab w:val="left" w:pos="1843"/>
                        </w:tabs>
                        <w:jc w:val="both"/>
                        <w:rPr>
                          <w:rFonts w:eastAsia="Calibri"/>
                          <w:bCs/>
                          <w:color w:val="000000"/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797"/>
                        </w:tabs>
                        <w:suppressAutoHyphens/>
                        <w:ind w:firstLine="709"/>
                        <w:jc w:val="both"/>
                        <w:textAlignment w:val="center"/>
                        <w:rPr>
                          <w:rFonts w:eastAsia="Calibri"/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797"/>
                        </w:tabs>
                        <w:suppressAutoHyphens/>
                        <w:ind w:firstLine="709"/>
                        <w:jc w:val="both"/>
                        <w:textAlignment w:val="center"/>
                        <w:rPr>
                          <w:rFonts w:eastAsia="Calibri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7a8ceaf8b1d4773ba04927dc50a25af"/>
            <w:lock w:val="sdtLocked"/>
            <w:richText/>
          </w:sdtPr>
          <w:sdtContent>
            <w:p>
              <w:pPr>
                <w:tabs>
                  <w:tab w:val="left" w:pos="7797"/>
                </w:tabs>
                <w:suppressAutoHyphens/>
                <w:textAlignment w:val="baseline"/>
                <w:rPr>
                  <w:rFonts w:eastAsia="Calibri"/>
                  <w:sz w:val="22"/>
                  <w:szCs w:val="22"/>
                </w:rPr>
              </w:pPr>
              <w:r>
                <w:rPr>
                  <w:rFonts w:eastAsia="Calibri"/>
                  <w:szCs w:val="24"/>
                </w:rPr>
                <w:t>Vidaus reikalų ministras</w:t>
                <w:tab/>
              </w:r>
            </w:p>
            <w:p>
              <w:pPr>
                <w:suppressAutoHyphens/>
                <w:spacing w:line="276" w:lineRule="auto"/>
                <w:textAlignment w:val="baseline"/>
                <w:rPr>
                  <w:rFonts w:eastAsia="Calibri"/>
                  <w:sz w:val="22"/>
                  <w:szCs w:val="22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uppressAutoHyphens/>
        <w:textAlignment w:val="baseline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uppressAutoHyphens/>
        <w:textAlignment w:val="baseline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uppressAutoHyphens/>
        <w:textAlignment w:val="baseline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color w:val="000000"/>
          <w:sz w:val="22"/>
          <w:szCs w:val="22"/>
        </w:rPr>
        <w:separator/>
      </w:r>
    </w:p>
  </w:footnote>
  <w:footnote w:type="continuationSeparator" w:id="0">
    <w:p>
      <w:pPr>
        <w:suppressAutoHyphens/>
        <w:textAlignment w:val="baseline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jc w:val="center"/>
      <w:textAlignment w:val="baseline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 xml:space="preserve"> PAGE </w:instrText>
    </w:r>
    <w:r>
      <w:rPr>
        <w:rFonts w:eastAsia="Calibri"/>
        <w:szCs w:val="24"/>
      </w:rPr>
      <w:fldChar w:fldCharType="separate"/>
    </w:r>
    <w:r>
      <w:rPr>
        <w:rFonts w:eastAsia="Calibri"/>
        <w:szCs w:val="24"/>
      </w:rPr>
      <w:t>2</w:t>
    </w:r>
    <w:r>
      <w:rPr>
        <w:rFonts w:eastAsia="Calibri"/>
        <w:szCs w:val="24"/>
      </w:rPr>
      <w:fldChar w:fldCharType="end"/>
    </w:r>
  </w:p>
  <w:p>
    <w:pPr>
      <w:tabs>
        <w:tab w:val="center" w:pos="4819"/>
        <w:tab w:val="right" w:pos="9638"/>
      </w:tabs>
      <w:suppressAutoHyphens/>
      <w:jc w:val="right"/>
      <w:textAlignment w:val="baseline"/>
      <w:rPr>
        <w:rFonts w:eastAsia="Calibri"/>
        <w:b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503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1c55beac6544ea2aa3437a53f560053" PartId="d9b4500d8de54365ba41c8a4f519ad07">
    <Part Type="punktas" Nr="1" Abbr="1 p." DocPartId="c00d6122b68746468a6abfaa5f965981" PartId="ed03f0da71a147d6bf79456743dfc90a">
      <Part Type="citata" DocPartId="3df45164ee0c4dcba21bac16af6c8aee" PartId="f27f9f97d48740408d8ea84db80c042a">
        <Part Type="papunktis" Nr="10.4" Abbr="10.4 pp." DocPartId="c1060587d0a74b6cbd3e7549225a7787" PartId="9b745b5a5e1e40b8b8325f94cca83d8b"/>
      </Part>
    </Part>
    <Part Type="punktas" Nr="2" Abbr="2 p." DocPartId="2b674163b6444fee9071f6b9abb55f49" PartId="2e18b5cc2d0d41b287c458a668360ab1">
      <Part Type="citata" DocPartId="7ee515a0c47740a6967dc5fe734c9df1" PartId="c1eecc97d13c4f20a629f18dd8c40b19">
        <Part Type="punktas" Nr="13" Abbr="13 p." DocPartId="8e1dd4c81d4a450abdb4d58527945cfe" PartId="f4901be59f9d4733848e9ae848da7b76">
          <Part Type="papunktis" Nr="13.1" Abbr="13.1 pp." DocPartId="d41960460c1f4afeb4abb59478ba6a86" PartId="07cf467fd7fa4bb4a30e602bd4aabe5a"/>
          <Part Type="papunktis" Nr="13.2" Abbr="13.2 pp." DocPartId="83cf3de765d644ddb523d9cad01a318e" PartId="c3866221b834421c9fccd454a331e4bb"/>
          <Part Type="papunktis" Nr="13.3" Abbr="13.3 pp." DocPartId="130bdac46a1849ae87917ab007a2dc45" PartId="fdf20e155c2e46d49b68122f0d491924"/>
          <Part Type="papunktis" Nr="13.4" Abbr="13.4 pp." DocPartId="e654a92a1a9847be8e09a70600bc9a09" PartId="5b255266774641a2bfe8de156dc73d6f"/>
          <Part Type="papunktis" Nr="13.5" Abbr="13.5 pp." DocPartId="c683dfbbbc514c22a3d6ae4964439284" PartId="31a31868ec5846859d22d3385b0f4713"/>
        </Part>
      </Part>
    </Part>
    <Part Type="punktas" Nr="3" Abbr="3 p." DocPartId="79ed6f1aa4a847b49e13cca9a33501af" PartId="9c62b152e0d042eaa511055131a641a2">
      <Part Type="citata" DocPartId="d7d94f08d54b43f79672a9e081b51cf8" PartId="cac3e14abfe24e8dacd80c510ad44f98">
        <Part Type="punktas" Nr="14" Abbr="14 p." DocPartId="b2ddd440874c4af7b3753e20cd33575f" PartId="b58a2dca24ea4038864c562ea785af12">
          <Part Type="papunktis" Nr="14.1" Abbr="14.1 pp." DocPartId="8c2e49c3490842e4b7b96bfe5b510bef" PartId="bc77eeeaf47f4ff4952f139c637ac783"/>
          <Part Type="papunktis" Nr="14.2" Abbr="14.2 pp." DocPartId="f1ea148b70dc4deeadf70897d82d8e1f" PartId="a18c1dd489804c7e91e5c728596b3977"/>
          <Part Type="papunktis" Nr="14.3" Abbr="14.3 pp." DocPartId="7282ca39f7634a8b8c59bc8417907719" PartId="a11866603bd94b0e9ec4b870429b2ad1"/>
          <Part Type="papunktis" Nr="14.4" Abbr="14.4 pp." DocPartId="395fb7bc12f14f0f9e4f0d6108f32504" PartId="b114635dd1c84d26b4d652d5fddd91a7"/>
          <Part Type="papunktis" Nr="14.5" Abbr="14.5 pp." DocPartId="a911c53bf0e949e8b3e1db21c027a96d" PartId="f58bee490fc047fdb23b120d924f27d2"/>
        </Part>
        <Part Type="punktas" Nr="14" Abbr="14 p." Notes="Numeris ne iš eilės. Trūksta dalių? [DocDalys]" DocPartId="c85ed0fdbb49432a840027c6047de05b" PartId="ef60466fffcd4efe978475d0375ae78c"/>
      </Part>
    </Part>
    <Part Type="signatura" DocPartId="877d7cde05824b678568ca128071f04f" PartId="b7a8ceaf8b1d4773ba04927dc50a25af"/>
  </Part>
</Parts>
</file>

<file path=customXml/itemProps1.xml><?xml version="1.0" encoding="utf-8"?>
<ds:datastoreItem xmlns:ds="http://schemas.openxmlformats.org/officeDocument/2006/customXml" ds:itemID="{2BAB14FE-9B1A-4DBF-996F-0596E51D1B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D95329-0C89-475A-AC23-86E425FB4D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2210</Characters>
  <Application>Microsoft Office Word</Application>
  <DocSecurity>4</DocSecurity>
  <Lines>51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2019-11-28T09:35:00Z</dcterms:created>
  <dc:creator>Aušra Jankauskaitė</dc:creator>
  <lastModifiedBy>adlibuser</lastModifiedBy>
  <dcterms:modified xsi:type="dcterms:W3CDTF">2019-11-28T09:35:00Z</dcterms:modified>
  <revision>2</revision>
</coreProperties>
</file>