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926be8cef9a41c48d3f2d8adfee0146"/>
        <w:lock w:val="sdtLocked"/>
        <w:richText/>
      </w:sdtPr>
      <w:sdtContent>
        <w:p>
          <w:pPr>
            <w:tabs>
              <w:tab w:val="center" w:pos="4819"/>
              <w:tab w:val="right" w:pos="9638"/>
            </w:tabs>
            <w:spacing w:line="276" w:lineRule="auto"/>
            <w:rPr>
              <w:rFonts w:eastAsia="Arial Unicode MS"/>
              <w:szCs w:val="24"/>
            </w:rPr>
          </w:pPr>
        </w:p>
        <w:p>
          <w:pPr>
            <w:rPr>
              <w:sz w:val="18"/>
              <w:szCs w:val="18"/>
            </w:rPr>
          </w:pPr>
        </w:p>
        <w:p>
          <w:pPr>
            <w:ind w:left="6480" w:firstLine="720"/>
            <w:jc w:val="right"/>
            <w:rPr>
              <w:b/>
              <w:szCs w:val="24"/>
            </w:rPr>
          </w:pPr>
          <w:r>
            <w:rPr>
              <w:b/>
              <w:szCs w:val="24"/>
            </w:rPr>
            <w:t>Projektas</w:t>
          </w:r>
        </w:p>
        <w:p>
          <w:pPr>
            <w:ind w:firstLine="720"/>
            <w:jc w:val="both"/>
            <w:rPr>
              <w:b/>
              <w:szCs w:val="24"/>
            </w:rPr>
          </w:pPr>
        </w:p>
        <w:p>
          <w:pPr>
            <w:jc w:val="center"/>
            <w:rPr>
              <w:b/>
              <w:szCs w:val="24"/>
            </w:rPr>
          </w:pPr>
          <w:r>
            <w:rPr>
              <w:b/>
              <w:szCs w:val="24"/>
            </w:rPr>
            <w:t>LIETUVOS RESPUBLIKOS</w:t>
          </w:r>
        </w:p>
        <w:p>
          <w:pPr>
            <w:jc w:val="center"/>
            <w:rPr>
              <w:b/>
              <w:szCs w:val="24"/>
            </w:rPr>
          </w:pPr>
          <w:r>
            <w:rPr>
              <w:b/>
              <w:szCs w:val="24"/>
            </w:rPr>
            <w:t>VIDAUS TARNYBOS STATUTO 2, 40 IR 49 STRAIPSNIŲ PAKEITIMO IR 41 STRAIPSNIO PRIPAŽINIMO NETEKUSIU GALIOS</w:t>
          </w:r>
        </w:p>
        <w:p>
          <w:pPr>
            <w:jc w:val="center"/>
            <w:rPr>
              <w:b/>
              <w:szCs w:val="24"/>
            </w:rPr>
          </w:pPr>
          <w:r>
            <w:rPr>
              <w:b/>
              <w:szCs w:val="24"/>
            </w:rPr>
            <w:t>ĮSTATYMAS</w:t>
          </w:r>
        </w:p>
        <w:p>
          <w:pPr>
            <w:jc w:val="center"/>
            <w:rPr>
              <w:szCs w:val="24"/>
            </w:rPr>
          </w:pPr>
        </w:p>
        <w:p>
          <w:pPr>
            <w:ind w:left="284"/>
            <w:jc w:val="center"/>
            <w:rPr>
              <w:rFonts w:ascii="TimesLT" w:hAnsi="TimesLT"/>
              <w:szCs w:val="24"/>
            </w:rPr>
          </w:pPr>
          <w:r>
            <w:rPr>
              <w:rFonts w:ascii="TimesLT" w:hAnsi="TimesLT"/>
              <w:szCs w:val="24"/>
            </w:rPr>
            <w:t xml:space="preserve">2015 m.                  d. Nr.</w:t>
          </w:r>
        </w:p>
        <w:p>
          <w:pPr>
            <w:jc w:val="center"/>
            <w:rPr>
              <w:rFonts w:ascii="TimesLT" w:hAnsi="TimesLT"/>
              <w:szCs w:val="24"/>
            </w:rPr>
          </w:pPr>
          <w:r>
            <w:rPr>
              <w:rFonts w:ascii="TimesLT" w:hAnsi="TimesLT"/>
              <w:szCs w:val="24"/>
            </w:rPr>
            <w:t>Vilnius</w:t>
          </w:r>
        </w:p>
        <w:p>
          <w:pPr>
            <w:ind w:firstLine="720"/>
            <w:jc w:val="both"/>
            <w:rPr>
              <w:szCs w:val="24"/>
            </w:rPr>
          </w:pPr>
        </w:p>
        <w:sdt>
          <w:sdtPr>
            <w:alias w:val="1 str."/>
            <w:tag w:val="part_80398069afb34302bbdc8b2cb30b23b4"/>
            <w:lock w:val="sdtLocked"/>
            <w:richText/>
          </w:sdtPr>
          <w:sdtContent>
            <w:p>
              <w:pPr>
                <w:tabs>
                  <w:tab w:val="left" w:pos="567"/>
                </w:tabs>
                <w:ind w:firstLine="720"/>
                <w:jc w:val="both"/>
                <w:rPr>
                  <w:b/>
                  <w:szCs w:val="24"/>
                </w:rPr>
              </w:pPr>
              <w:sdt>
                <w:sdtPr>
                  <w:alias w:val="Numeris"/>
                  <w:tag w:val="nr_80398069afb34302bbdc8b2cb30b23b4"/>
                  <w:lock w:val="sdtLocked"/>
                  <w:richText/>
                </w:sdtPr>
                <w:sdtContent>
                  <w:r>
                    <w:rPr>
                      <w:b/>
                      <w:szCs w:val="24"/>
                    </w:rPr>
                    <w:t>1</w:t>
                  </w:r>
                </w:sdtContent>
              </w:sdt>
              <w:r>
                <w:rPr>
                  <w:b/>
                  <w:szCs w:val="24"/>
                </w:rPr>
                <w:t xml:space="preserve"> straipsnis. </w:t>
              </w:r>
              <w:sdt>
                <w:sdtPr>
                  <w:alias w:val="Pavadinimas"/>
                  <w:tag w:val="title_80398069afb34302bbdc8b2cb30b23b4"/>
                  <w:lock w:val="sdtLocked"/>
                  <w:richText/>
                </w:sdtPr>
                <w:sdtContent>
                  <w:r>
                    <w:rPr>
                      <w:b/>
                      <w:szCs w:val="24"/>
                    </w:rPr>
                    <w:t>2 straipsnio pakeitimas</w:t>
                  </w:r>
                </w:sdtContent>
              </w:sdt>
            </w:p>
            <w:sdt>
              <w:sdtPr>
                <w:alias w:val="1 str. 1 d."/>
                <w:tag w:val="part_d7320e6ac5e04e17988ce6960688b284"/>
                <w:lock w:val="sdtLocked"/>
                <w:richText/>
              </w:sdtPr>
              <w:sdtContent>
                <w:p>
                  <w:pPr>
                    <w:tabs>
                      <w:tab w:val="left" w:pos="567"/>
                    </w:tabs>
                    <w:ind w:firstLine="720"/>
                    <w:jc w:val="both"/>
                    <w:rPr>
                      <w:szCs w:val="24"/>
                    </w:rPr>
                  </w:pPr>
                  <w:r>
                    <w:rPr>
                      <w:szCs w:val="24"/>
                    </w:rPr>
                    <w:t>Pakeisti 2 straipsnio 9 dalį ir ją išdėstyti taip:</w:t>
                  </w:r>
                </w:p>
                <w:sdt>
                  <w:sdtPr>
                    <w:alias w:val="citata"/>
                    <w:tag w:val="part_25e02af661f646b594b240b185220a98"/>
                    <w:lock w:val="sdtLocked"/>
                    <w:richText/>
                  </w:sdtPr>
                  <w:sdtContent>
                    <w:sdt>
                      <w:sdtPr>
                        <w:alias w:val="9 d."/>
                        <w:tag w:val="part_7a779bd5b8614b27b645bd762793afe9"/>
                        <w:lock w:val="sdtLocked"/>
                        <w:richText/>
                      </w:sdtPr>
                      <w:sdtContent>
                        <w:p>
                          <w:pPr>
                            <w:tabs>
                              <w:tab w:val="left" w:pos="567"/>
                            </w:tabs>
                            <w:ind w:firstLine="720"/>
                            <w:jc w:val="both"/>
                            <w:rPr>
                              <w:color w:val="000000"/>
                              <w:szCs w:val="24"/>
                              <w:lang w:eastAsia="lt-LT"/>
                            </w:rPr>
                          </w:pPr>
                          <w:r>
                            <w:rPr>
                              <w:szCs w:val="24"/>
                            </w:rPr>
                            <w:t>„</w:t>
                          </w:r>
                          <w:sdt>
                            <w:sdtPr>
                              <w:alias w:val="Numeris"/>
                              <w:tag w:val="nr_7a779bd5b8614b27b645bd762793afe9"/>
                              <w:lock w:val="sdtLocked"/>
                              <w:richText/>
                            </w:sdtPr>
                            <w:sdtContent>
                              <w:r>
                                <w:rPr>
                                  <w:szCs w:val="24"/>
                                </w:rPr>
                                <w:t>9</w:t>
                              </w:r>
                            </w:sdtContent>
                          </w:sdt>
                          <w:r>
                            <w:rPr>
                              <w:szCs w:val="24"/>
                            </w:rPr>
                            <w:t xml:space="preserve">. </w:t>
                          </w:r>
                          <w:r>
                            <w:rPr>
                              <w:b/>
                              <w:szCs w:val="24"/>
                            </w:rPr>
                            <w:t>Nelaimingas atsitikimas vykstant į tarnybą ar grįžtant iš jos</w:t>
                          </w:r>
                          <w:r>
                            <w:rPr>
                              <w:szCs w:val="24"/>
                            </w:rPr>
                            <w:t xml:space="preserve"> – kaip ši sąvoka apibrėžta Lietuvos Respublikos nelaimingų atsitikimų darbe ir profesinių ligų socialinio draudimo įstatyme.“</w:t>
                          </w:r>
                        </w:p>
                        <w:p>
                          <w:pPr>
                            <w:shd w:val="clear" w:color="auto" w:fill="FFFFFF"/>
                            <w:tabs>
                              <w:tab w:val="left" w:pos="567"/>
                            </w:tabs>
                            <w:ind w:firstLine="720"/>
                            <w:jc w:val="both"/>
                            <w:rPr>
                              <w:rFonts w:ascii="TimesLT" w:hAnsi="TimesLT"/>
                              <w:color w:val="000000"/>
                              <w:szCs w:val="24"/>
                              <w:lang w:eastAsia="lt-LT"/>
                            </w:rPr>
                          </w:pPr>
                        </w:p>
                      </w:sdtContent>
                    </w:sdt>
                  </w:sdtContent>
                </w:sdt>
              </w:sdtContent>
            </w:sdt>
          </w:sdtContent>
        </w:sdt>
        <w:sdt>
          <w:sdtPr>
            <w:alias w:val="2 str."/>
            <w:tag w:val="part_aeb48bf1df1847cdbe62ef36ede9bdf3"/>
            <w:lock w:val="sdtLocked"/>
            <w:richText/>
          </w:sdtPr>
          <w:sdtContent>
            <w:p>
              <w:pPr>
                <w:tabs>
                  <w:tab w:val="left" w:pos="567"/>
                </w:tabs>
                <w:ind w:firstLine="720"/>
                <w:jc w:val="both"/>
                <w:rPr>
                  <w:b/>
                  <w:szCs w:val="24"/>
                </w:rPr>
              </w:pPr>
              <w:sdt>
                <w:sdtPr>
                  <w:alias w:val="Numeris"/>
                  <w:tag w:val="nr_aeb48bf1df1847cdbe62ef36ede9bdf3"/>
                  <w:lock w:val="sdtLocked"/>
                  <w:richText/>
                </w:sdtPr>
                <w:sdtContent>
                  <w:r>
                    <w:rPr>
                      <w:b/>
                      <w:szCs w:val="24"/>
                    </w:rPr>
                    <w:t>2</w:t>
                  </w:r>
                </w:sdtContent>
              </w:sdt>
              <w:r>
                <w:rPr>
                  <w:b/>
                  <w:szCs w:val="24"/>
                </w:rPr>
                <w:t xml:space="preserve"> straipsnis. </w:t>
              </w:r>
              <w:sdt>
                <w:sdtPr>
                  <w:alias w:val="Pavadinimas"/>
                  <w:tag w:val="title_aeb48bf1df1847cdbe62ef36ede9bdf3"/>
                  <w:lock w:val="sdtLocked"/>
                  <w:richText/>
                </w:sdtPr>
                <w:sdtContent>
                  <w:r>
                    <w:rPr>
                      <w:b/>
                      <w:szCs w:val="24"/>
                    </w:rPr>
                    <w:t>40 straipsnio pakeitimas</w:t>
                  </w:r>
                </w:sdtContent>
              </w:sdt>
            </w:p>
            <w:sdt>
              <w:sdtPr>
                <w:alias w:val="2 str. 1 d."/>
                <w:tag w:val="part_632d7f10dac74f81aae4e0343cfe2c57"/>
                <w:lock w:val="sdtLocked"/>
                <w:richText/>
              </w:sdtPr>
              <w:sdtContent>
                <w:p>
                  <w:pPr>
                    <w:tabs>
                      <w:tab w:val="left" w:pos="567"/>
                    </w:tabs>
                    <w:ind w:firstLine="720"/>
                    <w:jc w:val="both"/>
                    <w:rPr>
                      <w:szCs w:val="24"/>
                    </w:rPr>
                  </w:pPr>
                  <w:sdt>
                    <w:sdtPr>
                      <w:alias w:val="Numeris"/>
                      <w:tag w:val="nr_632d7f10dac74f81aae4e0343cfe2c57"/>
                      <w:lock w:val="sdtLocked"/>
                      <w:richText/>
                    </w:sdtPr>
                    <w:sdtContent>
                      <w:r>
                        <w:rPr>
                          <w:szCs w:val="24"/>
                        </w:rPr>
                        <w:t>1</w:t>
                      </w:r>
                    </w:sdtContent>
                  </w:sdt>
                  <w:r>
                    <w:rPr>
                      <w:szCs w:val="24"/>
                    </w:rPr>
                    <w:t>. Pakeisti 40 straipsnio 1 dalį ir ją išdėstyti taip:</w:t>
                  </w:r>
                </w:p>
                <w:sdt>
                  <w:sdtPr>
                    <w:alias w:val="citata"/>
                    <w:tag w:val="part_0acc09bddf104def9471569d1f4458ab"/>
                    <w:lock w:val="sdtLocked"/>
                    <w:richText/>
                  </w:sdtPr>
                  <w:sdtContent>
                    <w:sdt>
                      <w:sdtPr>
                        <w:alias w:val="1 d."/>
                        <w:tag w:val="part_394cfa3b434348a799ea3cc5834c78c1"/>
                        <w:lock w:val="sdtLocked"/>
                        <w:richText/>
                      </w:sdtPr>
                      <w:sdtContent>
                        <w:p>
                          <w:pPr>
                            <w:tabs>
                              <w:tab w:val="left" w:pos="567"/>
                            </w:tabs>
                            <w:ind w:firstLine="720"/>
                            <w:jc w:val="both"/>
                            <w:rPr>
                              <w:szCs w:val="24"/>
                              <w:lang w:eastAsia="lt-LT"/>
                            </w:rPr>
                          </w:pPr>
                          <w:r>
                            <w:rPr>
                              <w:szCs w:val="24"/>
                            </w:rPr>
                            <w:t>„</w:t>
                          </w:r>
                          <w:sdt>
                            <w:sdtPr>
                              <w:alias w:val="Numeris"/>
                              <w:tag w:val="nr_394cfa3b434348a799ea3cc5834c78c1"/>
                              <w:lock w:val="sdtLocked"/>
                              <w:richText/>
                            </w:sdtPr>
                            <w:sdtContent>
                              <w:r>
                                <w:rPr>
                                  <w:szCs w:val="24"/>
                                </w:rPr>
                                <w:t>1</w:t>
                              </w:r>
                            </w:sdtContent>
                          </w:sdt>
                          <w:r>
                            <w:rPr>
                              <w:szCs w:val="24"/>
                            </w:rPr>
                            <w:t xml:space="preserve">. </w:t>
                          </w:r>
                          <w:r>
                            <w:rPr>
                              <w:szCs w:val="24"/>
                              <w:lang w:eastAsia="lt-LT"/>
                            </w:rPr>
                            <w:t xml:space="preserve">Žuvus tarnybines pareigas vykdžiusiam pareigūnui, jei tarnybinių pareigų atlikimas buvo susijęs su padidėjusiu pavojumi ar padidėjusia rizika pareigūno gyvybei ar sveikatai, taip pat tais atvejais, kai pareigūno mirties priežastis yra susijusi su jo tarnybinių pareigų atlikimu, jei tarnybinių pareigų atlikimas buvo susijęs su padidėjusiu pavojumi ar padidėjusia rizika pareigūno gyvybei ar sveikatai, taip pat tais atvejais, kai pareigūnas nužudytas dėl tarnybinių pareigų atlikimo ar pareigūno statuso, jo šeimai – vaikams (įvaikiams, taip pat vaikams, gimusiems po pareigūno mirties), kol jiems sukaks 18 metų, taip pat vaikams (įvaikiams), kurie mokosi nustatyta tvarka įregistruotose bendrojo ugdymo mokyklose, profesinio mokymo įstaigose, aukštosiose mokyklose pagal nuolatinės ar ištęstinės studijų formų programas, kol jiems sukaks 24 metai, sutuoktiniui, sugyventiniui (partneriui), tėvui ar motinai – ir nedarbingiems asmenims, kurie buvo žuvusiojo išlaikomi arba jo mirties dieną turėjo teisę gauti jo išlaikymą, per vienus metus nuo pareigūno mirties lygiomis dalimis išmokama jo 120 mėnesių vidutinio darbo užmokesčio dydžio vienkartinė kompensacija, </w:t>
                          </w:r>
                          <w:r>
                            <w:rPr>
                              <w:szCs w:val="24"/>
                            </w:rPr>
                            <w:t>sumažinta priklausančios išmokėti Lietuvos Respublikos nelaimingų atsitikimų darbe ir profesinių ligų socialinio draudimo įstatyme nustatytos vienkartinės socialinio draudimo išmokos apdraustajam mirus dydžiu</w:t>
                          </w:r>
                          <w:r>
                            <w:rPr>
                              <w:szCs w:val="24"/>
                              <w:lang w:eastAsia="lt-LT"/>
                            </w:rPr>
                            <w:t>.“</w:t>
                          </w:r>
                        </w:p>
                      </w:sdtContent>
                    </w:sdt>
                  </w:sdtContent>
                </w:sdt>
              </w:sdtContent>
            </w:sdt>
            <w:sdt>
              <w:sdtPr>
                <w:alias w:val="2 str. 2 d."/>
                <w:tag w:val="part_b2a0601d757742b6af8eac07f30767b7"/>
                <w:lock w:val="sdtLocked"/>
                <w:richText/>
              </w:sdtPr>
              <w:sdtContent>
                <w:p>
                  <w:pPr>
                    <w:tabs>
                      <w:tab w:val="left" w:pos="567"/>
                    </w:tabs>
                    <w:ind w:left="720"/>
                    <w:jc w:val="both"/>
                    <w:rPr>
                      <w:szCs w:val="24"/>
                    </w:rPr>
                  </w:pPr>
                  <w:sdt>
                    <w:sdtPr>
                      <w:alias w:val="Numeris"/>
                      <w:tag w:val="nr_b2a0601d757742b6af8eac07f30767b7"/>
                      <w:lock w:val="sdtLocked"/>
                      <w:richText/>
                    </w:sdtPr>
                    <w:sdtContent>
                      <w:r>
                        <w:rPr>
                          <w:szCs w:val="24"/>
                        </w:rPr>
                        <w:t>2</w:t>
                      </w:r>
                    </w:sdtContent>
                  </w:sdt>
                  <w:r>
                    <w:rPr>
                      <w:szCs w:val="24"/>
                    </w:rPr>
                    <w:t>. Pakeisti 40 straipsnio 3 dalį ir ją išdėstyti taip:</w:t>
                  </w:r>
                </w:p>
                <w:sdt>
                  <w:sdtPr>
                    <w:alias w:val="citata"/>
                    <w:tag w:val="part_c4bf79b264f44188b34d284404baf964"/>
                    <w:lock w:val="sdtLocked"/>
                    <w:richText/>
                  </w:sdtPr>
                  <w:sdtContent>
                    <w:sdt>
                      <w:sdtPr>
                        <w:alias w:val="3 d."/>
                        <w:tag w:val="part_e41d8b29e076464ea154c069bbacf9ed"/>
                        <w:lock w:val="sdtLocked"/>
                        <w:richText/>
                      </w:sdtPr>
                      <w:sdtContent>
                        <w:p>
                          <w:pPr>
                            <w:tabs>
                              <w:tab w:val="left" w:pos="567"/>
                            </w:tabs>
                            <w:ind w:firstLine="720"/>
                            <w:jc w:val="both"/>
                            <w:rPr>
                              <w:rFonts w:eastAsia="Arial Unicode MS"/>
                              <w:szCs w:val="24"/>
                            </w:rPr>
                          </w:pPr>
                          <w:r>
                            <w:rPr>
                              <w:szCs w:val="24"/>
                            </w:rPr>
                            <w:t>„</w:t>
                          </w:r>
                          <w:sdt>
                            <w:sdtPr>
                              <w:alias w:val="Numeris"/>
                              <w:tag w:val="nr_e41d8b29e076464ea154c069bbacf9ed"/>
                              <w:lock w:val="sdtLocked"/>
                              <w:richText/>
                            </w:sdtPr>
                            <w:sdtContent>
                              <w:r>
                                <w:rPr>
                                  <w:szCs w:val="24"/>
                                </w:rPr>
                                <w:t>3</w:t>
                              </w:r>
                            </w:sdtContent>
                          </w:sdt>
                          <w:r>
                            <w:rPr>
                              <w:szCs w:val="24"/>
                            </w:rPr>
                            <w:t xml:space="preserve">. </w:t>
                          </w:r>
                          <w:r>
                            <w:rPr>
                              <w:rFonts w:eastAsia="Arial Unicode MS"/>
                              <w:szCs w:val="24"/>
                            </w:rPr>
                            <w:t xml:space="preserve">Pareigūnui, kuris buvo sužalotas, susižalojo arba jo sveikata buvo sutrikdyta atliekant tarnybines pareigas, jei tarnybinių pareigų atlikimas buvo susijęs su padidėjusiu pavojumi ar padidėjusia rizika pareigūno gyvybei ar sveikatai, arba kai jo sužalojimas, susižalojimas ar sveikatos sutrikdymas yra susijęs su jo tarnybinių pareigų atlikimu, jei tarnybinių pareigų atlikimas buvo susijęs su padidėjusiu pavojumi ar padidėjusia rizika pareigūno gyvybei ar sveikatai, arba kai jo sveikata sutrikdyta dėl tarnybinių pareigų atlikimo ar pareigūno statuso, išmokama </w:t>
                          </w:r>
                          <w:r>
                            <w:rPr>
                              <w:szCs w:val="24"/>
                            </w:rPr>
                            <w:t>kompensacija (sumažinta priklausančios išmokėti Lietuvos Respublikos nelaimingų atsitikimų darbe ir profesinių ligų socialinio draudimo įstatyme nustatytos netekto darbingumo vienkartinės kompensacijos ar netekto darbingumo periodinės kompensacijos, mokėtinos ne daugiau kaip 12 mėnesių, dydžiu), atsižvelgiant į darbingumo lygį ir sveikatos sutrikdymo mastą</w:t>
                          </w:r>
                          <w:r>
                            <w:rPr>
                              <w:rFonts w:eastAsia="Arial Unicode MS"/>
                              <w:szCs w:val="24"/>
                            </w:rPr>
                            <w:t>:</w:t>
                          </w:r>
                        </w:p>
                        <w:sdt>
                          <w:sdtPr>
                            <w:alias w:val="3 d. 1 p."/>
                            <w:tag w:val="part_f5b864e800c549a3a1daee4a1df75150"/>
                            <w:lock w:val="sdtLocked"/>
                            <w:richText/>
                          </w:sdtPr>
                          <w:sdtContent>
                            <w:p>
                              <w:pPr>
                                <w:ind w:firstLine="720"/>
                                <w:jc w:val="both"/>
                                <w:rPr>
                                  <w:szCs w:val="24"/>
                                  <w:lang w:eastAsia="lt-LT"/>
                                </w:rPr>
                              </w:pPr>
                              <w:sdt>
                                <w:sdtPr>
                                  <w:alias w:val="Numeris"/>
                                  <w:tag w:val="nr_f5b864e800c549a3a1daee4a1df75150"/>
                                  <w:lock w:val="sdtLocked"/>
                                  <w:richText/>
                                </w:sdtPr>
                                <w:sdtContent>
                                  <w:r>
                                    <w:rPr>
                                      <w:szCs w:val="24"/>
                                      <w:lang w:eastAsia="lt-LT"/>
                                    </w:rPr>
                                    <w:t>1</w:t>
                                  </w:r>
                                </w:sdtContent>
                              </w:sdt>
                              <w:r>
                                <w:rPr>
                                  <w:szCs w:val="24"/>
                                  <w:lang w:eastAsia="lt-LT"/>
                                </w:rPr>
                                <w:t>) netekusiems 75–100 procentų darbingumo dėl sužalojimo ar susižalojimo – 60 mėnesių vidutinio darbo užmokesčio dydžio;</w:t>
                              </w:r>
                            </w:p>
                          </w:sdtContent>
                        </w:sdt>
                        <w:sdt>
                          <w:sdtPr>
                            <w:alias w:val="3 d. 2 p."/>
                            <w:tag w:val="part_51f0de328c0841479d2e20e937501160"/>
                            <w:lock w:val="sdtLocked"/>
                            <w:richText/>
                          </w:sdtPr>
                          <w:sdtContent>
                            <w:p>
                              <w:pPr>
                                <w:ind w:firstLine="720"/>
                                <w:jc w:val="both"/>
                                <w:rPr>
                                  <w:szCs w:val="24"/>
                                  <w:lang w:eastAsia="lt-LT"/>
                                </w:rPr>
                              </w:pPr>
                              <w:sdt>
                                <w:sdtPr>
                                  <w:alias w:val="Numeris"/>
                                  <w:tag w:val="nr_51f0de328c0841479d2e20e937501160"/>
                                  <w:lock w:val="sdtLocked"/>
                                  <w:richText/>
                                </w:sdtPr>
                                <w:sdtContent>
                                  <w:r>
                                    <w:rPr>
                                      <w:szCs w:val="24"/>
                                      <w:lang w:eastAsia="lt-LT"/>
                                    </w:rPr>
                                    <w:t>2</w:t>
                                  </w:r>
                                </w:sdtContent>
                              </w:sdt>
                              <w:r>
                                <w:rPr>
                                  <w:szCs w:val="24"/>
                                  <w:lang w:eastAsia="lt-LT"/>
                                </w:rPr>
                                <w:t>) netekusiems 60–70 procentų darbingumo dėl sužalojimo ar susižalojimo – 48 mėnesių vidutinio darbo užmokesčio dydžio;</w:t>
                              </w:r>
                            </w:p>
                          </w:sdtContent>
                        </w:sdt>
                        <w:sdt>
                          <w:sdtPr>
                            <w:alias w:val="3 d. 3 p."/>
                            <w:tag w:val="part_12988f8d70f54f9b882c5fc2c46c8328"/>
                            <w:lock w:val="sdtLocked"/>
                            <w:richText/>
                          </w:sdtPr>
                          <w:sdtContent>
                            <w:p>
                              <w:pPr>
                                <w:ind w:firstLine="720"/>
                                <w:jc w:val="both"/>
                                <w:rPr>
                                  <w:szCs w:val="24"/>
                                  <w:lang w:eastAsia="lt-LT"/>
                                </w:rPr>
                              </w:pPr>
                              <w:sdt>
                                <w:sdtPr>
                                  <w:alias w:val="Numeris"/>
                                  <w:tag w:val="nr_12988f8d70f54f9b882c5fc2c46c8328"/>
                                  <w:lock w:val="sdtLocked"/>
                                  <w:richText/>
                                </w:sdtPr>
                                <w:sdtContent>
                                  <w:r>
                                    <w:rPr>
                                      <w:szCs w:val="24"/>
                                      <w:lang w:eastAsia="lt-LT"/>
                                    </w:rPr>
                                    <w:t>3</w:t>
                                  </w:r>
                                </w:sdtContent>
                              </w:sdt>
                              <w:r>
                                <w:rPr>
                                  <w:szCs w:val="24"/>
                                  <w:lang w:eastAsia="lt-LT"/>
                                </w:rPr>
                                <w:t>) netekusiems 45–55 procentų darbingumo dėl sužalojimo ar susižalojimo – 36 mėnesių vidutinio darbo užmokesčio dydžio;</w:t>
                              </w:r>
                            </w:p>
                          </w:sdtContent>
                        </w:sdt>
                        <w:sdt>
                          <w:sdtPr>
                            <w:alias w:val="3 d. 4 p."/>
                            <w:tag w:val="part_64c0c3df1e6b480cadbaf0d4a13fd46a"/>
                            <w:lock w:val="sdtLocked"/>
                            <w:richText/>
                          </w:sdtPr>
                          <w:sdtContent>
                            <w:p>
                              <w:pPr>
                                <w:ind w:firstLine="720"/>
                                <w:jc w:val="both"/>
                                <w:rPr>
                                  <w:szCs w:val="24"/>
                                  <w:lang w:eastAsia="lt-LT"/>
                                </w:rPr>
                              </w:pPr>
                              <w:sdt>
                                <w:sdtPr>
                                  <w:alias w:val="Numeris"/>
                                  <w:tag w:val="nr_64c0c3df1e6b480cadbaf0d4a13fd46a"/>
                                  <w:lock w:val="sdtLocked"/>
                                  <w:richText/>
                                </w:sdtPr>
                                <w:sdtContent>
                                  <w:r>
                                    <w:rPr>
                                      <w:szCs w:val="24"/>
                                      <w:lang w:eastAsia="lt-LT"/>
                                    </w:rPr>
                                    <w:t>4</w:t>
                                  </w:r>
                                </w:sdtContent>
                              </w:sdt>
                              <w:r>
                                <w:rPr>
                                  <w:szCs w:val="24"/>
                                  <w:lang w:eastAsia="lt-LT"/>
                                </w:rPr>
                                <w:t xml:space="preserve">) netekusiems iki 40 procentų darbingumo dėl sužalojimo ar susižalojimo ir dėl to pripažintiems netinkamais vidaus tarnybai – 30 mėnesių vidutinio darbo užmokesčio dydžio; </w:t>
                              </w:r>
                            </w:p>
                          </w:sdtContent>
                        </w:sdt>
                        <w:sdt>
                          <w:sdtPr>
                            <w:alias w:val="3 d. 5 p."/>
                            <w:tag w:val="part_343c0042ce6341578858eb35eaa2d886"/>
                            <w:lock w:val="sdtLocked"/>
                            <w:richText/>
                          </w:sdtPr>
                          <w:sdtContent>
                            <w:p>
                              <w:pPr>
                                <w:ind w:firstLine="720"/>
                                <w:jc w:val="both"/>
                                <w:rPr>
                                  <w:szCs w:val="24"/>
                                  <w:lang w:eastAsia="lt-LT"/>
                                </w:rPr>
                              </w:pPr>
                              <w:sdt>
                                <w:sdtPr>
                                  <w:alias w:val="Numeris"/>
                                  <w:tag w:val="nr_343c0042ce6341578858eb35eaa2d886"/>
                                  <w:lock w:val="sdtLocked"/>
                                  <w:richText/>
                                </w:sdtPr>
                                <w:sdtContent>
                                  <w:r>
                                    <w:rPr>
                                      <w:szCs w:val="24"/>
                                      <w:lang w:eastAsia="lt-LT"/>
                                    </w:rPr>
                                    <w:t>5</w:t>
                                  </w:r>
                                </w:sdtContent>
                              </w:sdt>
                              <w:r>
                                <w:rPr>
                                  <w:szCs w:val="24"/>
                                  <w:lang w:eastAsia="lt-LT"/>
                                </w:rPr>
                                <w:t>) sunkaus sveikatos sutrikdymo atveju – 24 mėnesių vidutinio darbo užmokesčio dydžio;</w:t>
                              </w:r>
                            </w:p>
                          </w:sdtContent>
                        </w:sdt>
                        <w:sdt>
                          <w:sdtPr>
                            <w:alias w:val="3 d. 6 p."/>
                            <w:tag w:val="part_bda46a24ad1f4643b96ac4f56fcb7dff"/>
                            <w:lock w:val="sdtLocked"/>
                            <w:richText/>
                          </w:sdtPr>
                          <w:sdtContent>
                            <w:p>
                              <w:pPr>
                                <w:ind w:firstLine="720"/>
                                <w:jc w:val="both"/>
                                <w:rPr>
                                  <w:szCs w:val="24"/>
                                  <w:lang w:eastAsia="lt-LT"/>
                                </w:rPr>
                              </w:pPr>
                              <w:sdt>
                                <w:sdtPr>
                                  <w:alias w:val="Numeris"/>
                                  <w:tag w:val="nr_bda46a24ad1f4643b96ac4f56fcb7dff"/>
                                  <w:lock w:val="sdtLocked"/>
                                  <w:richText/>
                                </w:sdtPr>
                                <w:sdtContent>
                                  <w:r>
                                    <w:rPr>
                                      <w:szCs w:val="24"/>
                                      <w:lang w:eastAsia="lt-LT"/>
                                    </w:rPr>
                                    <w:t>6</w:t>
                                  </w:r>
                                </w:sdtContent>
                              </w:sdt>
                              <w:r>
                                <w:rPr>
                                  <w:szCs w:val="24"/>
                                  <w:lang w:eastAsia="lt-LT"/>
                                </w:rPr>
                                <w:t>) apysunkio sveikatos sutrikdymo atveju – 18 mėnesių vidutinio darbo užmokesčio dydžio;</w:t>
                              </w:r>
                            </w:p>
                          </w:sdtContent>
                        </w:sdt>
                        <w:sdt>
                          <w:sdtPr>
                            <w:alias w:val="3 d. 7 p."/>
                            <w:tag w:val="part_bb9d784459d84030b3aae423c9e0cade"/>
                            <w:lock w:val="sdtLocked"/>
                            <w:richText/>
                          </w:sdtPr>
                          <w:sdtContent>
                            <w:p>
                              <w:pPr>
                                <w:ind w:firstLine="720"/>
                                <w:jc w:val="both"/>
                                <w:rPr>
                                  <w:rFonts w:eastAsia="Arial Unicode MS"/>
                                  <w:szCs w:val="24"/>
                                </w:rPr>
                              </w:pPr>
                              <w:sdt>
                                <w:sdtPr>
                                  <w:alias w:val="Numeris"/>
                                  <w:tag w:val="nr_bb9d784459d84030b3aae423c9e0cade"/>
                                  <w:lock w:val="sdtLocked"/>
                                  <w:richText/>
                                </w:sdtPr>
                                <w:sdtContent>
                                  <w:r>
                                    <w:rPr>
                                      <w:szCs w:val="24"/>
                                      <w:lang w:eastAsia="lt-LT"/>
                                    </w:rPr>
                                    <w:t>7</w:t>
                                  </w:r>
                                </w:sdtContent>
                              </w:sdt>
                              <w:r>
                                <w:rPr>
                                  <w:szCs w:val="24"/>
                                  <w:lang w:eastAsia="lt-LT"/>
                                </w:rPr>
                                <w:t>) lengvo sveikatos sutrikdymo atveju – nuo 1 iki 12 mėnesių vidutinio darbo užmokesčio dydžio.</w:t>
                              </w:r>
                              <w:r>
                                <w:rPr>
                                  <w:rFonts w:eastAsia="Arial Unicode MS"/>
                                  <w:szCs w:val="24"/>
                                </w:rPr>
                                <w:t>“</w:t>
                              </w:r>
                            </w:p>
                            <w:p>
                              <w:pPr>
                                <w:tabs>
                                  <w:tab w:val="left" w:pos="567"/>
                                </w:tabs>
                                <w:ind w:firstLine="720"/>
                                <w:jc w:val="both"/>
                                <w:rPr>
                                  <w:rFonts w:eastAsia="Arial Unicode MS"/>
                                  <w:szCs w:val="24"/>
                                </w:rPr>
                              </w:pPr>
                            </w:p>
                          </w:sdtContent>
                        </w:sdt>
                      </w:sdtContent>
                    </w:sdt>
                  </w:sdtContent>
                </w:sdt>
              </w:sdtContent>
            </w:sdt>
          </w:sdtContent>
        </w:sdt>
        <w:sdt>
          <w:sdtPr>
            <w:alias w:val="3 str."/>
            <w:tag w:val="part_bf59790354c646c1b89d95a21779475f"/>
            <w:lock w:val="sdtLocked"/>
            <w:richText/>
          </w:sdtPr>
          <w:sdtContent>
            <w:p>
              <w:pPr>
                <w:tabs>
                  <w:tab w:val="left" w:pos="567"/>
                </w:tabs>
                <w:ind w:firstLine="720"/>
                <w:jc w:val="both"/>
                <w:rPr>
                  <w:b/>
                  <w:szCs w:val="24"/>
                </w:rPr>
              </w:pPr>
              <w:sdt>
                <w:sdtPr>
                  <w:alias w:val="Numeris"/>
                  <w:tag w:val="nr_bf59790354c646c1b89d95a21779475f"/>
                  <w:lock w:val="sdtLocked"/>
                  <w:richText/>
                </w:sdtPr>
                <w:sdtContent>
                  <w:r>
                    <w:rPr>
                      <w:b/>
                      <w:szCs w:val="24"/>
                    </w:rPr>
                    <w:t>3</w:t>
                  </w:r>
                </w:sdtContent>
              </w:sdt>
              <w:r>
                <w:rPr>
                  <w:b/>
                  <w:szCs w:val="24"/>
                </w:rPr>
                <w:t xml:space="preserve"> straipsnis. </w:t>
              </w:r>
              <w:sdt>
                <w:sdtPr>
                  <w:alias w:val="Pavadinimas"/>
                  <w:tag w:val="title_bf59790354c646c1b89d95a21779475f"/>
                  <w:lock w:val="sdtLocked"/>
                  <w:richText/>
                </w:sdtPr>
                <w:sdtContent>
                  <w:r>
                    <w:rPr>
                      <w:b/>
                      <w:szCs w:val="24"/>
                    </w:rPr>
                    <w:t>41 straipsnio pripažinimas netekusiu galios</w:t>
                  </w:r>
                </w:sdtContent>
              </w:sdt>
            </w:p>
            <w:sdt>
              <w:sdtPr>
                <w:alias w:val="3 str. 1 d."/>
                <w:tag w:val="part_df8d511ba1994be8904df2635358a457"/>
                <w:lock w:val="sdtLocked"/>
                <w:richText/>
              </w:sdtPr>
              <w:sdtContent>
                <w:p>
                  <w:pPr>
                    <w:tabs>
                      <w:tab w:val="left" w:pos="567"/>
                    </w:tabs>
                    <w:ind w:firstLine="720"/>
                    <w:jc w:val="both"/>
                    <w:rPr>
                      <w:szCs w:val="24"/>
                    </w:rPr>
                  </w:pPr>
                  <w:r>
                    <w:rPr>
                      <w:szCs w:val="24"/>
                    </w:rPr>
                    <w:t>Pripažinti netekusiu galios 41 straipsnį.</w:t>
                  </w:r>
                </w:p>
                <w:p>
                  <w:pPr>
                    <w:tabs>
                      <w:tab w:val="left" w:pos="567"/>
                    </w:tabs>
                    <w:ind w:firstLine="720"/>
                    <w:jc w:val="both"/>
                    <w:rPr>
                      <w:szCs w:val="24"/>
                    </w:rPr>
                  </w:pPr>
                </w:p>
              </w:sdtContent>
            </w:sdt>
          </w:sdtContent>
        </w:sdt>
        <w:sdt>
          <w:sdtPr>
            <w:alias w:val="4 str."/>
            <w:tag w:val="part_2c8f9ca2047644f594a96a25c6d039b5"/>
            <w:lock w:val="sdtLocked"/>
            <w:richText/>
          </w:sdtPr>
          <w:sdtContent>
            <w:p>
              <w:pPr>
                <w:tabs>
                  <w:tab w:val="left" w:pos="567"/>
                </w:tabs>
                <w:ind w:firstLine="720"/>
                <w:jc w:val="both"/>
                <w:rPr>
                  <w:szCs w:val="24"/>
                </w:rPr>
              </w:pPr>
              <w:sdt>
                <w:sdtPr>
                  <w:alias w:val="Numeris"/>
                  <w:tag w:val="nr_2c8f9ca2047644f594a96a25c6d039b5"/>
                  <w:lock w:val="sdtLocked"/>
                  <w:richText/>
                </w:sdtPr>
                <w:sdtContent>
                  <w:r>
                    <w:rPr>
                      <w:b/>
                      <w:szCs w:val="24"/>
                    </w:rPr>
                    <w:t>4</w:t>
                  </w:r>
                </w:sdtContent>
              </w:sdt>
              <w:r>
                <w:rPr>
                  <w:b/>
                  <w:szCs w:val="24"/>
                </w:rPr>
                <w:t xml:space="preserve"> straipsnis. </w:t>
              </w:r>
              <w:sdt>
                <w:sdtPr>
                  <w:alias w:val="Pavadinimas"/>
                  <w:tag w:val="title_2c8f9ca2047644f594a96a25c6d039b5"/>
                  <w:lock w:val="sdtLocked"/>
                  <w:richText/>
                </w:sdtPr>
                <w:sdtContent>
                  <w:r>
                    <w:rPr>
                      <w:b/>
                      <w:szCs w:val="24"/>
                    </w:rPr>
                    <w:t>49 straipsnio pakeitimas</w:t>
                  </w:r>
                </w:sdtContent>
              </w:sdt>
            </w:p>
            <w:sdt>
              <w:sdtPr>
                <w:alias w:val="4 str. 1 d."/>
                <w:tag w:val="part_6e7eece943494865b8910013b4663ecb"/>
                <w:lock w:val="sdtLocked"/>
                <w:richText/>
              </w:sdtPr>
              <w:sdtContent>
                <w:p>
                  <w:pPr>
                    <w:tabs>
                      <w:tab w:val="left" w:pos="567"/>
                    </w:tabs>
                    <w:ind w:firstLine="720"/>
                    <w:jc w:val="both"/>
                    <w:rPr>
                      <w:szCs w:val="24"/>
                    </w:rPr>
                  </w:pPr>
                  <w:r>
                    <w:rPr>
                      <w:szCs w:val="24"/>
                    </w:rPr>
                    <w:t>Pakeisti 49 straipsnį ir jį išdėstyti taip:</w:t>
                  </w:r>
                </w:p>
                <w:sdt>
                  <w:sdtPr>
                    <w:alias w:val="citata"/>
                    <w:tag w:val="part_f80f64b5533c45af9083788437785a6a"/>
                    <w:lock w:val="sdtLocked"/>
                    <w:richText/>
                  </w:sdtPr>
                  <w:sdtContent>
                    <w:sdt>
                      <w:sdtPr>
                        <w:alias w:val="49 str."/>
                        <w:tag w:val="part_422a11767dcf4949a2486057dca45c25"/>
                        <w:lock w:val="sdtLocked"/>
                        <w:richText/>
                      </w:sdtPr>
                      <w:sdtContent>
                        <w:p>
                          <w:pPr>
                            <w:tabs>
                              <w:tab w:val="left" w:pos="567"/>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r>
                            <w:rPr>
                              <w:bCs/>
                              <w:szCs w:val="24"/>
                              <w:lang w:eastAsia="lt-LT"/>
                            </w:rPr>
                            <w:t>„</w:t>
                          </w:r>
                          <w:sdt>
                            <w:sdtPr>
                              <w:alias w:val="Numeris"/>
                              <w:tag w:val="nr_422a11767dcf4949a2486057dca45c25"/>
                              <w:lock w:val="sdtLocked"/>
                              <w:richText/>
                            </w:sdtPr>
                            <w:sdtContent>
                              <w:r>
                                <w:rPr>
                                  <w:b/>
                                  <w:bCs/>
                                  <w:szCs w:val="24"/>
                                  <w:lang w:eastAsia="lt-LT"/>
                                </w:rPr>
                                <w:t>49</w:t>
                              </w:r>
                            </w:sdtContent>
                          </w:sdt>
                          <w:r>
                            <w:rPr>
                              <w:b/>
                              <w:bCs/>
                              <w:szCs w:val="24"/>
                              <w:lang w:eastAsia="lt-LT"/>
                            </w:rPr>
                            <w:t xml:space="preserve"> straipsnis. </w:t>
                          </w:r>
                          <w:sdt>
                            <w:sdtPr>
                              <w:alias w:val="Pavadinimas"/>
                              <w:tag w:val="title_422a11767dcf4949a2486057dca45c25"/>
                              <w:lock w:val="sdtLocked"/>
                              <w:richText/>
                            </w:sdtPr>
                            <w:sdtContent>
                              <w:r>
                                <w:rPr>
                                  <w:b/>
                                  <w:szCs w:val="24"/>
                                  <w:lang w:eastAsia="lt-LT"/>
                                </w:rPr>
                                <w:t>Pareigūnų ir kursantų draudimas ir pareigūnų pensijos</w:t>
                              </w:r>
                            </w:sdtContent>
                          </w:sdt>
                        </w:p>
                        <w:sdt>
                          <w:sdtPr>
                            <w:alias w:val="49 str. 1 d."/>
                            <w:tag w:val="part_b6058556e2ab4741a6771baff05d5658"/>
                            <w:lock w:val="sdtLocked"/>
                            <w:richText/>
                          </w:sdtPr>
                          <w:sdtContent>
                            <w:p>
                              <w:pPr>
                                <w:tabs>
                                  <w:tab w:val="left" w:pos="567"/>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6058556e2ab4741a6771baff05d5658"/>
                                  <w:lock w:val="sdtLocked"/>
                                  <w:richText/>
                                </w:sdtPr>
                                <w:sdtContent>
                                  <w:r>
                                    <w:rPr>
                                      <w:szCs w:val="24"/>
                                      <w:lang w:eastAsia="lt-LT"/>
                                    </w:rPr>
                                    <w:t>1</w:t>
                                  </w:r>
                                </w:sdtContent>
                              </w:sdt>
                              <w:r>
                                <w:rPr>
                                  <w:szCs w:val="24"/>
                                  <w:lang w:eastAsia="lt-LT"/>
                                </w:rPr>
                                <w:t>. Pareigūnai draudžiami visų Lietuvos Respublikos valstybinio socialinio draudimo įstatyme nurodytų rūšių socialiniu draudimu. Draudimo tvarką ir sąlygas nustato atskiras socialinio draudimo rūšis reglamentuojantys teisės aktai. Pareigūnų draudimo nuo nelaimingų atsitikimų tarnyboje, nelaimingų atsitikimų, susijusių su tarnyba, nelaimingų atsitikimų vykstant į tarnybą ar grįžtant iš jos ypatumus nustato Vyriausybė.</w:t>
                              </w:r>
                            </w:p>
                          </w:sdtContent>
                        </w:sdt>
                        <w:sdt>
                          <w:sdtPr>
                            <w:alias w:val="49 str. 2 d."/>
                            <w:tag w:val="part_b1717eceeea046e1b35f471ce6c6d717"/>
                            <w:lock w:val="sdtLocked"/>
                            <w:richText/>
                          </w:sdtPr>
                          <w:sdtContent>
                            <w:p>
                              <w:pPr>
                                <w:tabs>
                                  <w:tab w:val="left" w:pos="567"/>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1717eceeea046e1b35f471ce6c6d717"/>
                                  <w:lock w:val="sdtLocked"/>
                                  <w:richText/>
                                </w:sdtPr>
                                <w:sdtContent>
                                  <w:r>
                                    <w:rPr>
                                      <w:szCs w:val="24"/>
                                      <w:lang w:eastAsia="lt-LT"/>
                                    </w:rPr>
                                    <w:t>2</w:t>
                                  </w:r>
                                </w:sdtContent>
                              </w:sdt>
                              <w:r>
                                <w:rPr>
                                  <w:szCs w:val="24"/>
                                  <w:lang w:eastAsia="lt-LT"/>
                                </w:rPr>
                                <w:t>. Kursantų sveikata ir gyvybė visam jų profesinio ar įvadinio mokymo laikotarpiui valstybės biudžeto lėšomis privalomai draudžiama nuo nelaimingų atsitikimų profesinio ar įvadinio mokymo metu. Kursantams viso jų profesinio ar įvadinio mokymo laikotarpiu nelaimingų atsitikimų atvejais mokama išmoka, kuri lygi draudiminio įvykio mėnesį buvusiai Vyriausybės nustatytai minimaliajai mėnesinei algai, padaugintai iš 12.</w:t>
                              </w:r>
                            </w:p>
                          </w:sdtContent>
                        </w:sdt>
                        <w:sdt>
                          <w:sdtPr>
                            <w:alias w:val="49 str. 3 d."/>
                            <w:tag w:val="part_5d6d0c7577a6490881906d3feaeeaa15"/>
                            <w:lock w:val="sdtLocked"/>
                            <w:richText/>
                          </w:sdtPr>
                          <w:sdtContent>
                            <w:p>
                              <w:pPr>
                                <w:tabs>
                                  <w:tab w:val="left" w:pos="567"/>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6d0c7577a6490881906d3feaeeaa15"/>
                                  <w:lock w:val="sdtLocked"/>
                                  <w:richText/>
                                </w:sdtPr>
                                <w:sdtContent>
                                  <w:r>
                                    <w:rPr>
                                      <w:szCs w:val="24"/>
                                      <w:lang w:eastAsia="lt-LT"/>
                                    </w:rPr>
                                    <w:t>3</w:t>
                                  </w:r>
                                </w:sdtContent>
                              </w:sdt>
                              <w:r>
                                <w:rPr>
                                  <w:szCs w:val="24"/>
                                  <w:lang w:eastAsia="lt-LT"/>
                                </w:rPr>
                                <w:t>. Šio straipsnio 2 dalyje nurodytų įvykių pripažinimo draudiminiais įvykiais tvarką, draudimo išmokų dydžio nustatymo ir mokėjimo tvarką nustato Vyriausybė. Nelaimingų atsitikimų tarnyboje, nelaimingų atsitikimų, susijusių su tarnyba, nelaimingų atsitikimų vykstant į tarnybą ar grįžtant iš jos, taip pat nelaimingų atsitikimų profesinio ar įvadinio mokymo metu tyrimo ir apskaitos tvarką nustato vidaus reikalų ministras.</w:t>
                              </w:r>
                            </w:p>
                          </w:sdtContent>
                        </w:sdt>
                        <w:sdt>
                          <w:sdtPr>
                            <w:alias w:val="49 str. 4 d."/>
                            <w:tag w:val="part_8412f1a1a6ce4ded9337dbeee6f3a28a"/>
                            <w:lock w:val="sdtLocked"/>
                            <w:richText/>
                          </w:sdtPr>
                          <w:sdtContent>
                            <w:p>
                              <w:pPr>
                                <w:tabs>
                                  <w:tab w:val="left" w:pos="567"/>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412f1a1a6ce4ded9337dbeee6f3a28a"/>
                                  <w:lock w:val="sdtLocked"/>
                                  <w:richText/>
                                </w:sdtPr>
                                <w:sdtContent>
                                  <w:r>
                                    <w:rPr>
                                      <w:szCs w:val="24"/>
                                      <w:lang w:eastAsia="lt-LT"/>
                                    </w:rPr>
                                    <w:t>4</w:t>
                                  </w:r>
                                </w:sdtContent>
                              </w:sdt>
                              <w:r>
                                <w:rPr>
                                  <w:szCs w:val="24"/>
                                  <w:lang w:eastAsia="lt-LT"/>
                                </w:rPr>
                                <w:t>. Šio straipsnio 2 dalyje nurodytos</w:t>
                              </w:r>
                              <w:r>
                                <w:rPr>
                                  <w:bCs/>
                                  <w:szCs w:val="24"/>
                                  <w:lang w:eastAsia="lt-LT"/>
                                </w:rPr>
                                <w:t xml:space="preserve"> </w:t>
                              </w:r>
                              <w:r>
                                <w:rPr>
                                  <w:szCs w:val="24"/>
                                  <w:lang w:eastAsia="lt-LT"/>
                                </w:rPr>
                                <w:t>išmokos nemokamos šio Statuto 40 straipsnio 6 dalyje nustatytais atvejais.</w:t>
                              </w:r>
                            </w:p>
                          </w:sdtContent>
                        </w:sdt>
                        <w:sdt>
                          <w:sdtPr>
                            <w:alias w:val="49 str. 5 d."/>
                            <w:tag w:val="part_c3800cce594d4c259a7d9b3d78dd9bcf"/>
                            <w:lock w:val="sdtLocked"/>
                            <w:richText/>
                          </w:sdtPr>
                          <w:sdtContent>
                            <w:p>
                              <w:pPr>
                                <w:tabs>
                                  <w:tab w:val="left" w:pos="567"/>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3800cce594d4c259a7d9b3d78dd9bcf"/>
                                  <w:lock w:val="sdtLocked"/>
                                  <w:richText/>
                                </w:sdtPr>
                                <w:sdtContent>
                                  <w:r>
                                    <w:rPr>
                                      <w:szCs w:val="24"/>
                                      <w:lang w:eastAsia="lt-LT"/>
                                    </w:rPr>
                                    <w:t>5</w:t>
                                  </w:r>
                                </w:sdtContent>
                              </w:sdt>
                              <w:r>
                                <w:rPr>
                                  <w:szCs w:val="24"/>
                                  <w:lang w:eastAsia="lt-LT"/>
                                </w:rPr>
                                <w:t>. Pareigūnams, kurie tapo laikinai nedarbingi dėl tarnybinių pareigų atlikimo arba kurių laikinasis nedarbingumas susijęs su tarnybinių pareigų atlikimu (kai pareigūnas tampa laikinai nedarbingas ne dėl nelaimingo atsitikimo tarnyboje, nelaimingo atsitikimo, susijusio su tarnyba, nelaimingo atsitikimo vykstant į tarnybą ar grįžtant iš jos), iš vidaus reikalų įstaigos, kurioje tarnauja pareigūnas, lėšų Vyriausybės nustatyta tvarka kompensuojamas vidutinio jų darbo užmokesčio ir gautos ligos išmokos skirtumas.</w:t>
                              </w:r>
                            </w:p>
                          </w:sdtContent>
                        </w:sdt>
                        <w:sdt>
                          <w:sdtPr>
                            <w:alias w:val="49 str. 6 d."/>
                            <w:tag w:val="part_c7b87c467d924237945e91843ea48b58"/>
                            <w:lock w:val="sdtLocked"/>
                            <w:richText/>
                          </w:sdtPr>
                          <w:sdtContent>
                            <w:p>
                              <w:pPr>
                                <w:tabs>
                                  <w:tab w:val="left" w:pos="567"/>
                                </w:tabs>
                                <w:overflowPunct w:val="0"/>
                                <w:ind w:firstLine="720"/>
                                <w:jc w:val="both"/>
                                <w:textAlignment w:val="baseline"/>
                                <w:rPr>
                                  <w:rFonts w:eastAsia="Arial Unicode MS"/>
                                  <w:strike/>
                                  <w:szCs w:val="24"/>
                                </w:rPr>
                              </w:pPr>
                              <w:sdt>
                                <w:sdtPr>
                                  <w:alias w:val="Numeris"/>
                                  <w:tag w:val="nr_c7b87c467d924237945e91843ea48b58"/>
                                  <w:lock w:val="sdtLocked"/>
                                  <w:richText/>
                                </w:sdtPr>
                                <w:sdtContent>
                                  <w:r>
                                    <w:rPr>
                                      <w:rFonts w:eastAsia="Arial Unicode MS"/>
                                      <w:szCs w:val="24"/>
                                    </w:rPr>
                                    <w:t>6</w:t>
                                  </w:r>
                                </w:sdtContent>
                              </w:sdt>
                              <w:r>
                                <w:rPr>
                                  <w:rFonts w:eastAsia="Arial Unicode MS"/>
                                  <w:szCs w:val="24"/>
                                </w:rPr>
                                <w:t>. Pareigūnai turi teisę gauti pareigūnų valstybinę pensiją pagal įstatymą, reglamentuojantį pareigūnų ir karių valstybinių pensijų skyrimo ir mokėjimo tvarką.“</w:t>
                              </w:r>
                            </w:p>
                            <w:p>
                              <w:pPr>
                                <w:tabs>
                                  <w:tab w:val="left" w:pos="567"/>
                                </w:tabs>
                                <w:overflowPunct w:val="0"/>
                                <w:ind w:firstLine="720"/>
                                <w:jc w:val="both"/>
                                <w:textAlignment w:val="baseline"/>
                                <w:rPr>
                                  <w:b/>
                                  <w:szCs w:val="24"/>
                                </w:rPr>
                              </w:pPr>
                            </w:p>
                          </w:sdtContent>
                        </w:sdt>
                      </w:sdtContent>
                    </w:sdt>
                  </w:sdtContent>
                </w:sdt>
              </w:sdtContent>
            </w:sdt>
          </w:sdtContent>
        </w:sdt>
        <w:sdt>
          <w:sdtPr>
            <w:alias w:val="5 str."/>
            <w:tag w:val="part_de39cb3c78f349ad8ab7ae86d9d4d9c7"/>
            <w:lock w:val="sdtLocked"/>
            <w:richText/>
          </w:sdtPr>
          <w:sdtContent>
            <w:p>
              <w:pPr>
                <w:tabs>
                  <w:tab w:val="left" w:pos="567"/>
                </w:tabs>
                <w:ind w:firstLine="720"/>
                <w:jc w:val="both"/>
                <w:rPr>
                  <w:rFonts w:ascii="TimesLT" w:hAnsi="TimesLT"/>
                  <w:b/>
                  <w:szCs w:val="24"/>
                </w:rPr>
              </w:pPr>
              <w:sdt>
                <w:sdtPr>
                  <w:alias w:val="Numeris"/>
                  <w:tag w:val="nr_de39cb3c78f349ad8ab7ae86d9d4d9c7"/>
                  <w:lock w:val="sdtLocked"/>
                  <w:richText/>
                </w:sdtPr>
                <w:sdtContent>
                  <w:r>
                    <w:rPr>
                      <w:b/>
                      <w:szCs w:val="24"/>
                    </w:rPr>
                    <w:t>5</w:t>
                  </w:r>
                </w:sdtContent>
              </w:sdt>
              <w:r>
                <w:rPr>
                  <w:b/>
                  <w:szCs w:val="24"/>
                </w:rPr>
                <w:t xml:space="preserve"> straipsnis. </w:t>
              </w:r>
              <w:sdt>
                <w:sdtPr>
                  <w:alias w:val="Pavadinimas"/>
                  <w:tag w:val="title_de39cb3c78f349ad8ab7ae86d9d4d9c7"/>
                  <w:lock w:val="sdtLocked"/>
                  <w:richText/>
                </w:sdtPr>
                <w:sdtContent>
                  <w:r>
                    <w:rPr>
                      <w:rFonts w:eastAsia="Calibri"/>
                      <w:b/>
                      <w:bCs/>
                      <w:color w:val="000000"/>
                      <w:szCs w:val="24"/>
                      <w:shd w:val="clear" w:color="auto" w:fill="FFFFFF"/>
                    </w:rPr>
                    <w:t>Įstatymo įsigaliojimas ir įgyvendinimas</w:t>
                  </w:r>
                  <w:r>
                    <w:rPr>
                      <w:rFonts w:ascii="TimesLT" w:hAnsi="TimesLT"/>
                      <w:b/>
                      <w:bCs/>
                      <w:szCs w:val="24"/>
                    </w:rPr>
                    <w:t xml:space="preserve"> </w:t>
                  </w:r>
                </w:sdtContent>
              </w:sdt>
            </w:p>
            <w:sdt>
              <w:sdtPr>
                <w:alias w:val="5 str. 1 d."/>
                <w:tag w:val="part_1c5b0df738f0413daee9cfb4c5ab7a94"/>
                <w:lock w:val="sdtLocked"/>
                <w:richText/>
              </w:sdtPr>
              <w:sdtContent>
                <w:p>
                  <w:pPr>
                    <w:tabs>
                      <w:tab w:val="left" w:pos="720"/>
                    </w:tabs>
                    <w:ind w:firstLine="720"/>
                    <w:rPr>
                      <w:rFonts w:ascii="TimesLT" w:hAnsi="TimesLT"/>
                      <w:szCs w:val="24"/>
                    </w:rPr>
                  </w:pPr>
                  <w:sdt>
                    <w:sdtPr>
                      <w:alias w:val="Numeris"/>
                      <w:tag w:val="nr_1c5b0df738f0413daee9cfb4c5ab7a94"/>
                      <w:lock w:val="sdtLocked"/>
                      <w:richText/>
                    </w:sdtPr>
                    <w:sdtContent>
                      <w:r>
                        <w:rPr>
                          <w:rFonts w:ascii="TimesLT" w:hAnsi="TimesLT"/>
                          <w:szCs w:val="24"/>
                        </w:rPr>
                        <w:t>1</w:t>
                      </w:r>
                    </w:sdtContent>
                  </w:sdt>
                  <w:r>
                    <w:rPr>
                      <w:rFonts w:ascii="TimesLT" w:hAnsi="TimesLT"/>
                      <w:szCs w:val="24"/>
                    </w:rPr>
                    <w:t xml:space="preserve">. Šis įstatymas, išskyrus šio straipsnio 5 dalį, įsigalioja </w:t>
                  </w:r>
                  <w:r>
                    <w:rPr>
                      <w:color w:val="000000"/>
                      <w:szCs w:val="22"/>
                    </w:rPr>
                    <w:t>2016 m. sausio 1 d.</w:t>
                  </w:r>
                </w:p>
              </w:sdtContent>
            </w:sdt>
            <w:sdt>
              <w:sdtPr>
                <w:alias w:val="5 str. 2 d."/>
                <w:tag w:val="part_f3d6c82c390b4482bcfe6cab60506717"/>
                <w:lock w:val="sdtLocked"/>
                <w:richText/>
              </w:sdtPr>
              <w:sdtContent>
                <w:p>
                  <w:pPr>
                    <w:tabs>
                      <w:tab w:val="left" w:pos="567"/>
                    </w:tabs>
                    <w:ind w:firstLine="720"/>
                    <w:jc w:val="both"/>
                    <w:rPr>
                      <w:szCs w:val="24"/>
                      <w:lang w:eastAsia="lt-LT"/>
                    </w:rPr>
                  </w:pPr>
                  <w:sdt>
                    <w:sdtPr>
                      <w:alias w:val="Numeris"/>
                      <w:tag w:val="nr_f3d6c82c390b4482bcfe6cab60506717"/>
                      <w:lock w:val="sdtLocked"/>
                      <w:richText/>
                    </w:sdtPr>
                    <w:sdtContent>
                      <w:r>
                        <w:rPr>
                          <w:szCs w:val="24"/>
                          <w:lang w:eastAsia="lt-LT"/>
                        </w:rPr>
                        <w:t>2</w:t>
                      </w:r>
                    </w:sdtContent>
                  </w:sdt>
                  <w:r>
                    <w:rPr>
                      <w:szCs w:val="24"/>
                      <w:lang w:eastAsia="lt-LT"/>
                    </w:rPr>
                    <w:t>. Iki 2015 m. gruodžio 31 d. pareigūnams paskirtas išmokas dėl ligos, motinystės, tėvystės, motinystės (tėvystės) ir dėl nelaimingų atsitikimų darbe toliau moka jas paskyrusios vidaus reikalų statutinės įstaigos iš joms skirtų valstybės biudžeto asignavimų.</w:t>
                  </w:r>
                </w:p>
              </w:sdtContent>
            </w:sdt>
            <w:sdt>
              <w:sdtPr>
                <w:alias w:val="5 str. 3 d."/>
                <w:tag w:val="part_ad030e62a03949bf813640ffa7d8c1d5"/>
                <w:lock w:val="sdtLocked"/>
                <w:richText/>
              </w:sdtPr>
              <w:sdtContent>
                <w:p>
                  <w:pPr>
                    <w:tabs>
                      <w:tab w:val="left" w:pos="567"/>
                    </w:tabs>
                    <w:ind w:firstLine="720"/>
                    <w:jc w:val="both"/>
                    <w:rPr>
                      <w:szCs w:val="24"/>
                      <w:lang w:eastAsia="lt-LT"/>
                    </w:rPr>
                  </w:pPr>
                  <w:sdt>
                    <w:sdtPr>
                      <w:alias w:val="Numeris"/>
                      <w:tag w:val="nr_ad030e62a03949bf813640ffa7d8c1d5"/>
                      <w:lock w:val="sdtLocked"/>
                      <w:richText/>
                    </w:sdtPr>
                    <w:sdtContent>
                      <w:r>
                        <w:rPr>
                          <w:szCs w:val="24"/>
                          <w:lang w:eastAsia="lt-LT"/>
                        </w:rPr>
                        <w:t>3</w:t>
                      </w:r>
                    </w:sdtContent>
                  </w:sdt>
                  <w:r>
                    <w:rPr>
                      <w:szCs w:val="24"/>
                      <w:lang w:eastAsia="lt-LT"/>
                    </w:rPr>
                    <w:t>. Jeigu nuo 2016 m. sausio 1 d. pareigūnams, tapusiems apdraustaisiais pagal Lietuvos Respublikos valstybinio socialinio draudimo įstatymo 4 straipsnio 3 dalį, apskaičiuojant kompensuojamąjį uždarbį, pagal kurį mokamos ligos (įskaitant profesinės ligos ir ligos pagal Lietuvos Respublikos nelaimingų atsitikimų darbe ir profesinių ligų socialinio draudimo įstatymą), motinystės, tėvystės, vaiko priežiūros socialinio draudimo išmokos, patenka laikotarpiai, kuriais jie nebuvo apdrausti ligos ir motinystės socialiniu draudimu ir nelaimingų atsitikimų darbe socialiniu draudimu, šios socialinio draudimo išmokos apskaičiuojamos pagal šių pareigūnų draudžiamąsias pajamas. Šiais atvejais vidaus reikalų statutinė įstaiga pareigūnui iš jai skirtų valstybės biudžeto asignavimų socialinio draudimo išmokos gavimo laikotarpiu skiria ir moka jo kompensuojamojo uždarbio dalį. Ši dalis apskaičiuojama kaip mokėtinos ir išmokėtos ligos (įskaitant profesinės ligos ir ligos pagal Lietuvos Respublikos nelaimingų atsitikimų darbe ir profesinių ligų socialinio draudimo įstatymą išmokas), motinystės, tėvystės, vaiko priežiūros socialinio draudimo išmokų skirtumas.</w:t>
                  </w:r>
                </w:p>
              </w:sdtContent>
            </w:sdt>
            <w:sdt>
              <w:sdtPr>
                <w:alias w:val="5 str. 4 d."/>
                <w:tag w:val="part_13e57104c4ea46d3be134eada1e4ff56"/>
                <w:lock w:val="sdtLocked"/>
                <w:richText/>
              </w:sdtPr>
              <w:sdtContent>
                <w:p>
                  <w:pPr>
                    <w:tabs>
                      <w:tab w:val="left" w:pos="567"/>
                    </w:tabs>
                    <w:ind w:firstLine="720"/>
                    <w:jc w:val="both"/>
                    <w:rPr>
                      <w:szCs w:val="24"/>
                      <w:lang w:eastAsia="lt-LT"/>
                    </w:rPr>
                  </w:pPr>
                  <w:sdt>
                    <w:sdtPr>
                      <w:alias w:val="Numeris"/>
                      <w:tag w:val="nr_13e57104c4ea46d3be134eada1e4ff56"/>
                      <w:lock w:val="sdtLocked"/>
                      <w:richText/>
                    </w:sdtPr>
                    <w:sdtContent>
                      <w:r>
                        <w:rPr>
                          <w:szCs w:val="24"/>
                          <w:lang w:eastAsia="lt-LT"/>
                        </w:rPr>
                        <w:t>4</w:t>
                      </w:r>
                    </w:sdtContent>
                  </w:sdt>
                  <w:r>
                    <w:rPr>
                      <w:szCs w:val="24"/>
                      <w:lang w:eastAsia="lt-LT"/>
                    </w:rPr>
                    <w:t>. Šio straipsnio 2 dalyje nurodytos išmokos, mokamos nuo 2016 m. sausio 1 d., ir 3 dalyje nurodyta kompensuojamojo uždarbio dalis, vidaus reikalų statutinės įstaigos mokama iš jai skirtų valstybės biudžeto asignavimų, prilyginamos socialinio draudimo išmokoms, nustatytoms Lietuvos Respublikos ligos ir motinystės socialinio draudimo įstatyme arba Lietuvos Respublikos nelaimingų atsitikimų darbe ir profesinių ligų socialinio draudimo įstatyme.</w:t>
                  </w:r>
                </w:p>
              </w:sdtContent>
            </w:sdt>
            <w:sdt>
              <w:sdtPr>
                <w:alias w:val="5 str. 5 d."/>
                <w:tag w:val="part_38ef55cb812f4f91beebe0330b1801b0"/>
                <w:lock w:val="sdtLocked"/>
                <w:richText/>
              </w:sdtPr>
              <w:sdtContent>
                <w:p>
                  <w:pPr>
                    <w:tabs>
                      <w:tab w:val="left" w:pos="567"/>
                    </w:tabs>
                    <w:ind w:firstLine="720"/>
                    <w:jc w:val="both"/>
                    <w:rPr>
                      <w:szCs w:val="24"/>
                      <w:lang w:eastAsia="lt-LT"/>
                    </w:rPr>
                  </w:pPr>
                  <w:sdt>
                    <w:sdtPr>
                      <w:alias w:val="Numeris"/>
                      <w:tag w:val="nr_38ef55cb812f4f91beebe0330b1801b0"/>
                      <w:lock w:val="sdtLocked"/>
                      <w:richText/>
                    </w:sdtPr>
                    <w:sdtContent>
                      <w:r>
                        <w:rPr>
                          <w:szCs w:val="24"/>
                          <w:lang w:eastAsia="lt-LT"/>
                        </w:rPr>
                        <w:t>5</w:t>
                      </w:r>
                    </w:sdtContent>
                  </w:sdt>
                  <w:r>
                    <w:rPr>
                      <w:szCs w:val="24"/>
                      <w:lang w:eastAsia="lt-LT"/>
                    </w:rPr>
                    <w:t xml:space="preserve">. Šio straipsnio 3 dalyje nurodytų išmokų apskaičiavimo ir mokėjimo tvarką </w:t>
                  </w:r>
                  <w:r>
                    <w:rPr>
                      <w:rFonts w:eastAsia="Arial Unicode MS"/>
                      <w:szCs w:val="24"/>
                      <w:bdr w:val="none" w:sz="0" w:space="0" w:color="auto" w:frame="1"/>
                    </w:rPr>
                    <w:t xml:space="preserve">iki 2015 m. gruodžio 31 d. </w:t>
                  </w:r>
                  <w:r>
                    <w:rPr>
                      <w:szCs w:val="24"/>
                      <w:lang w:eastAsia="lt-LT"/>
                    </w:rPr>
                    <w:t>nustato Lietuvos Respublikos Vyriausybė ar jos įgaliota institucija.</w:t>
                  </w:r>
                </w:p>
                <w:p>
                  <w:pPr>
                    <w:ind w:firstLine="720"/>
                    <w:jc w:val="both"/>
                    <w:rPr>
                      <w:szCs w:val="24"/>
                    </w:rPr>
                  </w:pPr>
                </w:p>
              </w:sdtContent>
            </w:sdt>
          </w:sdtContent>
        </w:sdt>
        <w:sdt>
          <w:sdtPr>
            <w:alias w:val="signatura"/>
            <w:tag w:val="part_d7bf597f954748549ee8e3593762722b"/>
            <w:lock w:val="sdtLocked"/>
            <w:richText/>
          </w:sdtPr>
          <w:sdtContent>
            <w:p>
              <w:pPr>
                <w:jc w:val="both"/>
                <w:rPr>
                  <w:i/>
                  <w:szCs w:val="24"/>
                </w:rPr>
              </w:pPr>
              <w:r>
                <w:rPr>
                  <w:i/>
                  <w:szCs w:val="24"/>
                </w:rPr>
                <w:t>Skelbiu šį Lietuvos Respublikos Seimo priimtą įstatymą.</w:t>
              </w:r>
            </w:p>
            <w:p>
              <w:pPr>
                <w:jc w:val="both"/>
                <w:rPr>
                  <w:i/>
                  <w:szCs w:val="24"/>
                </w:rPr>
              </w:pPr>
            </w:p>
            <w:p>
              <w:pPr>
                <w:jc w:val="both"/>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709"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eastAsia="Arial Unicode MS"/>
          <w:szCs w:val="24"/>
        </w:rPr>
      </w:pPr>
      <w:r>
        <w:rPr>
          <w:rFonts w:eastAsia="Arial Unicode MS"/>
          <w:szCs w:val="24"/>
        </w:rPr>
        <w:separator/>
      </w:r>
    </w:p>
  </w:endnote>
  <w:endnote w:type="continuationSeparator" w:id="0">
    <w:p>
      <w:pPr>
        <w:rPr>
          <w:rFonts w:eastAsia="Arial Unicode MS"/>
          <w:szCs w:val="24"/>
        </w:rPr>
      </w:pPr>
      <w:r>
        <w:rPr>
          <w:rFonts w:eastAsia="Arial Unicode MS"/>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LT">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eastAsia="Arial Unicode MS"/>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eastAsia="Arial Unicode MS"/>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eastAsia="Arial Unicode MS"/>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eastAsia="Arial Unicode MS"/>
          <w:szCs w:val="24"/>
        </w:rPr>
      </w:pPr>
      <w:r>
        <w:rPr>
          <w:rFonts w:eastAsia="Arial Unicode MS"/>
          <w:szCs w:val="24"/>
        </w:rPr>
        <w:separator/>
      </w:r>
    </w:p>
  </w:footnote>
  <w:footnote w:type="continuationSeparator" w:id="0">
    <w:p>
      <w:pPr>
        <w:rPr>
          <w:rFonts w:eastAsia="Arial Unicode MS"/>
          <w:szCs w:val="24"/>
        </w:rPr>
      </w:pPr>
      <w:r>
        <w:rPr>
          <w:rFonts w:eastAsia="Arial Unicode MS"/>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eastAsia="Arial Unicode MS"/>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jc w:val="center"/>
      <w:rPr>
        <w:rFonts w:eastAsia="Arial Unicode MS"/>
        <w:szCs w:val="24"/>
      </w:rPr>
    </w:pPr>
    <w:r>
      <w:rPr>
        <w:rFonts w:eastAsia="Arial Unicode MS"/>
        <w:szCs w:val="24"/>
      </w:rPr>
      <w:fldChar w:fldCharType="begin"/>
    </w:r>
    <w:r>
      <w:rPr>
        <w:rFonts w:eastAsia="Arial Unicode MS"/>
        <w:szCs w:val="24"/>
      </w:rPr>
      <w:instrText>PAGE   \* MERGEFORMAT</w:instrText>
    </w:r>
    <w:r>
      <w:rPr>
        <w:rFonts w:eastAsia="Arial Unicode MS"/>
        <w:szCs w:val="24"/>
      </w:rPr>
      <w:fldChar w:fldCharType="separate"/>
    </w:r>
    <w:r>
      <w:rPr>
        <w:rFonts w:eastAsia="Arial Unicode MS"/>
        <w:szCs w:val="24"/>
      </w:rPr>
      <w:t>3</w:t>
    </w:r>
    <w:r>
      <w:rPr>
        <w:rFonts w:eastAsia="Arial Unicode MS"/>
        <w:szCs w:val="24"/>
      </w:rPr>
      <w:fldChar w:fldCharType="end"/>
    </w:r>
  </w:p>
  <w:p>
    <w:pPr>
      <w:tabs>
        <w:tab w:val="center" w:pos="4819"/>
        <w:tab w:val="right" w:pos="9638"/>
      </w:tabs>
      <w:spacing w:after="200" w:line="276" w:lineRule="auto"/>
      <w:rPr>
        <w:rFonts w:eastAsia="Arial Unicode MS"/>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eastAsia="Arial Unicode MS"/>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0F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44341092">
      <w:bodyDiv w:val="1"/>
      <w:marLeft w:val="0"/>
      <w:marRight w:val="0"/>
      <w:marTop w:val="0"/>
      <w:marBottom w:val="0"/>
      <w:divBdr>
        <w:top w:val="none" w:sz="0" w:space="0" w:color="auto"/>
        <w:left w:val="none" w:sz="0" w:space="0" w:color="auto"/>
        <w:bottom w:val="none" w:sz="0" w:space="0" w:color="auto"/>
        <w:right w:val="none" w:sz="0" w:space="0" w:color="auto"/>
      </w:divBdr>
    </w:div>
    <w:div w:id="1082684852">
      <w:bodyDiv w:val="1"/>
      <w:marLeft w:val="125"/>
      <w:marRight w:val="125"/>
      <w:marTop w:val="0"/>
      <w:marBottom w:val="0"/>
      <w:divBdr>
        <w:top w:val="none" w:sz="0" w:space="0" w:color="auto"/>
        <w:left w:val="none" w:sz="0" w:space="0" w:color="auto"/>
        <w:bottom w:val="none" w:sz="0" w:space="0" w:color="auto"/>
        <w:right w:val="none" w:sz="0" w:space="0" w:color="auto"/>
      </w:divBdr>
      <w:divsChild>
        <w:div w:id="279340374">
          <w:marLeft w:val="0"/>
          <w:marRight w:val="0"/>
          <w:marTop w:val="0"/>
          <w:marBottom w:val="0"/>
          <w:divBdr>
            <w:top w:val="none" w:sz="0" w:space="0" w:color="auto"/>
            <w:left w:val="none" w:sz="0" w:space="0" w:color="auto"/>
            <w:bottom w:val="none" w:sz="0" w:space="0" w:color="auto"/>
            <w:right w:val="none" w:sz="0" w:space="0" w:color="auto"/>
          </w:divBdr>
        </w:div>
      </w:divsChild>
    </w:div>
    <w:div w:id="1366440819">
      <w:bodyDiv w:val="1"/>
      <w:marLeft w:val="0"/>
      <w:marRight w:val="0"/>
      <w:marTop w:val="0"/>
      <w:marBottom w:val="0"/>
      <w:divBdr>
        <w:top w:val="none" w:sz="0" w:space="0" w:color="auto"/>
        <w:left w:val="none" w:sz="0" w:space="0" w:color="auto"/>
        <w:bottom w:val="none" w:sz="0" w:space="0" w:color="auto"/>
        <w:right w:val="none" w:sz="0" w:space="0" w:color="auto"/>
      </w:divBdr>
    </w:div>
    <w:div w:id="1621300159">
      <w:bodyDiv w:val="1"/>
      <w:marLeft w:val="0"/>
      <w:marRight w:val="0"/>
      <w:marTop w:val="0"/>
      <w:marBottom w:val="0"/>
      <w:divBdr>
        <w:top w:val="none" w:sz="0" w:space="0" w:color="auto"/>
        <w:left w:val="none" w:sz="0" w:space="0" w:color="auto"/>
        <w:bottom w:val="none" w:sz="0" w:space="0" w:color="auto"/>
        <w:right w:val="none" w:sz="0" w:space="0" w:color="auto"/>
      </w:divBdr>
    </w:div>
    <w:div w:id="1712874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f32ada7fc7440239e1ae61d346cd1c9" PartId="2926be8cef9a41c48d3f2d8adfee0146">
    <Part Type="straipsnis" Nr="1" Abbr="1 str." Title="2 straipsnio pakeitimas" DocPartId="f6e40e649a0341c1b7b686ae89be460f" PartId="80398069afb34302bbdc8b2cb30b23b4">
      <Part Type="strDalis" Nr="1" Abbr="1 str. 1 d." DocPartId="e084433e26b5494a93688563bd8a01c8" PartId="d7320e6ac5e04e17988ce6960688b284">
        <Part Type="citata" DocPartId="77a482fba3544fec92fe9c9381d92b70" PartId="25e02af661f646b594b240b185220a98">
          <Part Type="strDalis" Nr="9" Abbr="9 d." DocPartId="343fe442df3b4bb6809e4221fba6b834" PartId="7a779bd5b8614b27b645bd762793afe9"/>
        </Part>
      </Part>
    </Part>
    <Part Type="straipsnis" Nr="2" Abbr="2 str." Title="40 straipsnio pakeitimas" DocPartId="4c445abe6af844df91319e8e00fa64c0" PartId="aeb48bf1df1847cdbe62ef36ede9bdf3">
      <Part Type="strDalis" Nr="1" Abbr="2 str. 1 d." DocPartId="c23822a27b6f4d43a1e6e90f98fde429" PartId="632d7f10dac74f81aae4e0343cfe2c57">
        <Part Type="citata" DocPartId="ce932defa0694341ad3aa26343bfe573" PartId="0acc09bddf104def9471569d1f4458ab">
          <Part Type="strDalis" Nr="1" Abbr="1 d." DocPartId="3070a4d57273488692c427e15613f13d" PartId="394cfa3b434348a799ea3cc5834c78c1"/>
        </Part>
      </Part>
      <Part Type="strDalis" Nr="2" Abbr="2 str. 2 d." DocPartId="7220a177a6d4451689a342742820457f" PartId="b2a0601d757742b6af8eac07f30767b7">
        <Part Type="citata" DocPartId="795422800b48423e92388022c58df663" PartId="c4bf79b264f44188b34d284404baf964">
          <Part Type="strDalis" Nr="3" Abbr="3 d." DocPartId="613fd35ebb9e4e48ac5c9fe462e1125a" PartId="e41d8b29e076464ea154c069bbacf9ed">
            <Part Type="strPunktas" Nr="1" Abbr="3 d. 1 p." DocPartId="9679e72f13a042478d75264627d81515" PartId="f5b864e800c549a3a1daee4a1df75150"/>
            <Part Type="strPunktas" Nr="2" Abbr="3 d. 2 p." DocPartId="141481f8393b459fb9cad1c0e0d63470" PartId="51f0de328c0841479d2e20e937501160"/>
            <Part Type="strPunktas" Nr="3" Abbr="3 d. 3 p." DocPartId="73fbe3240b9f4a0b82d417edd8e59c0b" PartId="12988f8d70f54f9b882c5fc2c46c8328"/>
            <Part Type="strPunktas" Nr="4" Abbr="3 d. 4 p." DocPartId="dd8d055670d343e482438d7661ba2f4a" PartId="64c0c3df1e6b480cadbaf0d4a13fd46a"/>
            <Part Type="strPunktas" Nr="5" Abbr="3 d. 5 p." DocPartId="a275cbcd9b23418a831e865229172542" PartId="343c0042ce6341578858eb35eaa2d886"/>
            <Part Type="strPunktas" Nr="6" Abbr="3 d. 6 p." DocPartId="57a5ffe83e064feeac72dce65d201e6a" PartId="bda46a24ad1f4643b96ac4f56fcb7dff"/>
            <Part Type="strPunktas" Nr="7" Abbr="3 d. 7 p." DocPartId="2a6ac8e774e049aaa037b44bb7d79295" PartId="bb9d784459d84030b3aae423c9e0cade"/>
          </Part>
        </Part>
      </Part>
    </Part>
    <Part Type="straipsnis" Nr="3" Abbr="3 str." Title="41 straipsnio pripažinimas netekusiu galios" DocPartId="9a23940272944be6b0b563c8fc12b46f" PartId="bf59790354c646c1b89d95a21779475f">
      <Part Type="strDalis" Nr="1" Abbr="3 str. 1 d." DocPartId="e2880576c6974a54a3298f4fd7652a64" PartId="df8d511ba1994be8904df2635358a457"/>
    </Part>
    <Part Type="straipsnis" Nr="4" Abbr="4 str." Title="49 straipsnio pakeitimas" DocPartId="b88d7007598d47e2844a986497508394" PartId="2c8f9ca2047644f594a96a25c6d039b5">
      <Part Type="strDalis" Nr="1" Abbr="4 str. 1 d." DocPartId="ab1023f911b84430aed6e086e51dee5c" PartId="6e7eece943494865b8910013b4663ecb">
        <Part Type="citata" DocPartId="09d505021d4c4ff892717b98bbfd3c6a" PartId="f80f64b5533c45af9083788437785a6a">
          <Part Type="straipsnis" Nr="49" Abbr="49 str." Title="Pareigūnų ir kursantų draudimas ir pareigūnų pensijos" DocPartId="593aeb125083465c97b82aaacfb0d798" PartId="422a11767dcf4949a2486057dca45c25">
            <Part Type="strDalis" Nr="1" Abbr="49 str. 1 d." DocPartId="1711db7dddfc4c838c84bbe33b5e76f5" PartId="b6058556e2ab4741a6771baff05d5658"/>
            <Part Type="strDalis" Nr="2" Abbr="49 str. 2 d." DocPartId="dc6e799008a04c128cf104fda6288d6d" PartId="b1717eceeea046e1b35f471ce6c6d717"/>
            <Part Type="strDalis" Nr="3" Abbr="49 str. 3 d." DocPartId="d9430328a3b044d3b694c12242de1d42" PartId="5d6d0c7577a6490881906d3feaeeaa15"/>
            <Part Type="strDalis" Nr="4" Abbr="49 str. 4 d." DocPartId="ab38aca2ecc1493f8e598c595beb067e" PartId="8412f1a1a6ce4ded9337dbeee6f3a28a"/>
            <Part Type="strDalis" Nr="5" Abbr="49 str. 5 d." DocPartId="ce11a872a68d4f468211cc0f6a1a337f" PartId="c3800cce594d4c259a7d9b3d78dd9bcf"/>
            <Part Type="strDalis" Nr="6" Abbr="49 str. 6 d." DocPartId="22e9820be04b40808aebbf6796df3d78" PartId="c7b87c467d924237945e91843ea48b58"/>
          </Part>
        </Part>
      </Part>
    </Part>
    <Part Type="straipsnis" Nr="5" Abbr="5 str." Title="Įstatymo įsigaliojimas ir įgyvendinimas" DocPartId="bae72407a37b4b4db2ff663053cd40aa" PartId="de39cb3c78f349ad8ab7ae86d9d4d9c7">
      <Part Type="strDalis" Nr="1" Abbr="5 str. 1 d." DocPartId="93f055b0995043db99ac7ec212d6eae7" PartId="1c5b0df738f0413daee9cfb4c5ab7a94"/>
      <Part Type="strDalis" Nr="2" Abbr="5 str. 2 d." DocPartId="c4344558387345f7a97cecacc232c822" PartId="f3d6c82c390b4482bcfe6cab60506717"/>
      <Part Type="strDalis" Nr="3" Abbr="5 str. 3 d." DocPartId="e473ce359f75473db67a527653a893af" PartId="ad030e62a03949bf813640ffa7d8c1d5"/>
      <Part Type="strDalis" Nr="4" Abbr="5 str. 4 d." DocPartId="2824e5164df04c2bb38cdd61c7b10937" PartId="13e57104c4ea46d3be134eada1e4ff56"/>
      <Part Type="strDalis" Nr="5" Abbr="5 str. 5 d." DocPartId="9c2cde88a0c24bb58998969bdac84ac6" PartId="38ef55cb812f4f91beebe0330b1801b0"/>
    </Part>
    <Part Type="signatura" DocPartId="ceffb9dea61f40ad859da1f2eca2bef9" PartId="d7bf597f954748549ee8e3593762722b"/>
  </Part>
</Parts>
</file>

<file path=customXml/itemProps1.xml><?xml version="1.0" encoding="utf-8"?>
<ds:datastoreItem xmlns:ds="http://schemas.openxmlformats.org/officeDocument/2006/customXml" ds:itemID="{00EE525F-E669-472A-B04C-4074C17BA2A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1090</Words>
  <Characters>7425</Characters>
  <Application>Microsoft Office Word</Application>
  <DocSecurity>4</DocSecurity>
  <Lines>121</Lines>
  <Paragraphs>47</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8468</CharactersWithSpaces>
  <SharedDoc>false</SharedDoc>
  <HyperlinkBase/>
  <HLinks>
    <vt:vector size="54" baseType="variant">
      <vt:variant>
        <vt:i4>1507422</vt:i4>
      </vt:variant>
      <vt:variant>
        <vt:i4>24</vt:i4>
      </vt:variant>
      <vt:variant>
        <vt:i4>0</vt:i4>
      </vt:variant>
      <vt:variant>
        <vt:i4>5</vt:i4>
      </vt:variant>
      <vt:variant>
        <vt:lpwstr>http://printsr3/Litlex/ll.dll?Tekstas=1&amp;Id=69594&amp;BF=1</vt:lpwstr>
      </vt:variant>
      <vt:variant>
        <vt:lpwstr/>
      </vt:variant>
      <vt:variant>
        <vt:i4>1769558</vt:i4>
      </vt:variant>
      <vt:variant>
        <vt:i4>21</vt:i4>
      </vt:variant>
      <vt:variant>
        <vt:i4>0</vt:i4>
      </vt:variant>
      <vt:variant>
        <vt:i4>5</vt:i4>
      </vt:variant>
      <vt:variant>
        <vt:lpwstr>http://printsr3/Litlex/ll.dll?Tekstas=1&amp;Id=10882&amp;BF=1</vt:lpwstr>
      </vt:variant>
      <vt:variant>
        <vt:lpwstr/>
      </vt:variant>
      <vt:variant>
        <vt:i4>4456455</vt:i4>
      </vt:variant>
      <vt:variant>
        <vt:i4>18</vt:i4>
      </vt:variant>
      <vt:variant>
        <vt:i4>0</vt:i4>
      </vt:variant>
      <vt:variant>
        <vt:i4>5</vt:i4>
      </vt:variant>
      <vt:variant>
        <vt:lpwstr>http://printsr3/Litlex/LL.DLL?Tekstas=1?Id=63430&amp;Zd=vidaus%2Btarnybos%2Bstatuto&amp;BF=4</vt:lpwstr>
      </vt:variant>
      <vt:variant>
        <vt:lpwstr>636z</vt:lpwstr>
      </vt:variant>
      <vt:variant>
        <vt:i4>4456452</vt:i4>
      </vt:variant>
      <vt:variant>
        <vt:i4>15</vt:i4>
      </vt:variant>
      <vt:variant>
        <vt:i4>0</vt:i4>
      </vt:variant>
      <vt:variant>
        <vt:i4>5</vt:i4>
      </vt:variant>
      <vt:variant>
        <vt:lpwstr>http://printsr3/Litlex/LL.DLL?Tekstas=1?Id=63430&amp;Zd=vidaus%2Btarnybos%2Bstatuto&amp;BF=4</vt:lpwstr>
      </vt:variant>
      <vt:variant>
        <vt:lpwstr>635z</vt:lpwstr>
      </vt:variant>
      <vt:variant>
        <vt:i4>4456453</vt:i4>
      </vt:variant>
      <vt:variant>
        <vt:i4>12</vt:i4>
      </vt:variant>
      <vt:variant>
        <vt:i4>0</vt:i4>
      </vt:variant>
      <vt:variant>
        <vt:i4>5</vt:i4>
      </vt:variant>
      <vt:variant>
        <vt:lpwstr>http://printsr3/Litlex/LL.DLL?Tekstas=1?Id=63430&amp;Zd=vidaus%2Btarnybos%2Bstatuto&amp;BF=4</vt:lpwstr>
      </vt:variant>
      <vt:variant>
        <vt:lpwstr>634z</vt:lpwstr>
      </vt:variant>
      <vt:variant>
        <vt:i4>1179736</vt:i4>
      </vt:variant>
      <vt:variant>
        <vt:i4>9</vt:i4>
      </vt:variant>
      <vt:variant>
        <vt:i4>0</vt:i4>
      </vt:variant>
      <vt:variant>
        <vt:i4>5</vt:i4>
      </vt:variant>
      <vt:variant>
        <vt:lpwstr>http://printsr3/Litlex/ll.dll?Tekstas=1&amp;Id=37415&amp;BF=1</vt:lpwstr>
      </vt:variant>
      <vt:variant>
        <vt:lpwstr/>
      </vt:variant>
      <vt:variant>
        <vt:i4>4194315</vt:i4>
      </vt:variant>
      <vt:variant>
        <vt:i4>6</vt:i4>
      </vt:variant>
      <vt:variant>
        <vt:i4>0</vt:i4>
      </vt:variant>
      <vt:variant>
        <vt:i4>5</vt:i4>
      </vt:variant>
      <vt:variant>
        <vt:lpwstr>http://printsr3/Litlex/LL.DLL?Tekstas=1?Id=63430&amp;Zd=vidaus%2Btarnybos%2Bstatuto&amp;BF=4</vt:lpwstr>
      </vt:variant>
      <vt:variant>
        <vt:lpwstr>579z</vt:lpwstr>
      </vt:variant>
      <vt:variant>
        <vt:i4>1310809</vt:i4>
      </vt:variant>
      <vt:variant>
        <vt:i4>3</vt:i4>
      </vt:variant>
      <vt:variant>
        <vt:i4>0</vt:i4>
      </vt:variant>
      <vt:variant>
        <vt:i4>5</vt:i4>
      </vt:variant>
      <vt:variant>
        <vt:lpwstr>http://printsr3/Litlex/ll.dll?Tekstas=1&amp;Id=44333&amp;BF=1</vt:lpwstr>
      </vt:variant>
      <vt:variant>
        <vt:lpwstr/>
      </vt:variant>
      <vt:variant>
        <vt:i4>4194314</vt:i4>
      </vt:variant>
      <vt:variant>
        <vt:i4>0</vt:i4>
      </vt:variant>
      <vt:variant>
        <vt:i4>0</vt:i4>
      </vt:variant>
      <vt:variant>
        <vt:i4>5</vt:i4>
      </vt:variant>
      <vt:variant>
        <vt:lpwstr>http://printsr3/Litlex/LL.DLL?Tekstas=1?Id=63430&amp;Zd=vidaus%2Btarnybos%2Bstatuto&amp;BF=4</vt:lpwstr>
      </vt:variant>
      <vt:variant>
        <vt:lpwstr>578z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2015-06-12T14:50:00Z</dcterms:created>
  <dc:creator>vilmav</dc:creator>
  <lastModifiedBy>CLUSadmin</lastModifiedBy>
  <lastPrinted>2015-06-08T05:41:00Z</lastPrinted>
  <dcterms:modified xsi:type="dcterms:W3CDTF">2015-06-12T14:50:00Z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-2056172432</vt:i4>
  </property>
  <property fmtid="{D5CDD505-2E9C-101B-9397-08002B2CF9AE}" pid="3" name="_NewReviewCycle">
    <vt:lpwstr/>
  </property>
  <property fmtid="{D5CDD505-2E9C-101B-9397-08002B2CF9AE}" pid="4" name="_EmailSubject">
    <vt:lpwstr>VSD projektas ir ji lydintys istatymu projektai</vt:lpwstr>
  </property>
  <property fmtid="{D5CDD505-2E9C-101B-9397-08002B2CF9AE}" pid="5" name="_AuthorEmail">
    <vt:lpwstr>Vaidotas.Kalinauskas@socmin.lt</vt:lpwstr>
  </property>
  <property fmtid="{D5CDD505-2E9C-101B-9397-08002B2CF9AE}" pid="6" name="_AuthorEmailDisplayName">
    <vt:lpwstr>Vaidotas Kalinauskas</vt:lpwstr>
  </property>
  <property fmtid="{D5CDD505-2E9C-101B-9397-08002B2CF9AE}" pid="7" name="_PreviousAdHocReviewCycleID">
    <vt:i4>-867122</vt:i4>
  </property>
  <property fmtid="{D5CDD505-2E9C-101B-9397-08002B2CF9AE}" pid="8" name="_ReviewingToolsShownOnce">
    <vt:lpwstr/>
  </property>
</Properties>
</file>