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cea19dc86d54662bd628cc10f63aa6b"/>
        <w:lock w:val="sdtLocked"/>
        <w:richText/>
      </w:sdtPr>
      <w:sdtContent>
        <w:p>
          <w:pPr>
            <w:tabs>
              <w:tab w:val="center" w:pos="4819"/>
              <w:tab w:val="right" w:pos="9638"/>
            </w:tabs>
            <w:jc w:val="center"/>
            <w:rPr>
              <w:rFonts w:ascii="Calibri" w:eastAsia="Calibri" w:hAnsi="Calibri"/>
              <w:sz w:val="22"/>
              <w:szCs w:val="22"/>
              <w:lang w:eastAsia="x-none"/>
            </w:rPr>
          </w:pPr>
        </w:p>
        <w:p>
          <w:pPr>
            <w:tabs>
              <w:tab w:val="center" w:pos="4819"/>
              <w:tab w:val="right" w:pos="9638"/>
            </w:tabs>
            <w:rPr>
              <w:rFonts w:ascii="Calibri" w:eastAsia="Calibri" w:hAnsi="Calibri"/>
              <w:sz w:val="22"/>
              <w:szCs w:val="22"/>
              <w:lang w:val="x-none" w:eastAsia="x-none"/>
            </w:rPr>
          </w:pPr>
        </w:p>
        <w:p>
          <w:pPr>
            <w:spacing w:line="276" w:lineRule="auto"/>
            <w:ind w:left="7230"/>
            <w:jc w:val="right"/>
            <w:rPr>
              <w:b/>
              <w:szCs w:val="24"/>
            </w:rPr>
          </w:pPr>
          <w:r>
            <w:rPr>
              <w:b/>
              <w:szCs w:val="24"/>
              <w:lang w:val="x-none"/>
            </w:rPr>
            <w:t>Projekt</w:t>
          </w:r>
          <w:r>
            <w:rPr>
              <w:b/>
              <w:szCs w:val="24"/>
            </w:rPr>
            <w:t>as</w:t>
          </w:r>
        </w:p>
        <w:p>
          <w:pPr>
            <w:spacing w:line="276" w:lineRule="auto"/>
            <w:jc w:val="center"/>
            <w:rPr>
              <w:b/>
              <w:szCs w:val="24"/>
              <w:lang w:val="en-US"/>
            </w:rPr>
          </w:pPr>
        </w:p>
        <w:p>
          <w:pPr>
            <w:spacing w:line="276" w:lineRule="auto"/>
            <w:jc w:val="center"/>
            <w:rPr>
              <w:b/>
              <w:szCs w:val="24"/>
              <w:lang w:val="en-US"/>
            </w:rPr>
          </w:pPr>
        </w:p>
        <w:p>
          <w:pPr>
            <w:spacing w:line="276" w:lineRule="auto"/>
            <w:jc w:val="center"/>
            <w:rPr>
              <w:b/>
              <w:szCs w:val="24"/>
            </w:rPr>
          </w:pPr>
          <w:r>
            <w:rPr>
              <w:b/>
              <w:szCs w:val="24"/>
              <w:lang w:val="x-none"/>
            </w:rPr>
            <w:t>LIETUVOS RESPUBLIKOS</w:t>
          </w:r>
          <w:r>
            <w:rPr>
              <w:b/>
              <w:szCs w:val="24"/>
            </w:rPr>
            <w:t xml:space="preserve"> </w:t>
          </w:r>
        </w:p>
        <w:p>
          <w:pPr>
            <w:spacing w:line="276" w:lineRule="auto"/>
            <w:jc w:val="center"/>
            <w:rPr>
              <w:b/>
              <w:szCs w:val="24"/>
              <w:lang w:val="en-US"/>
            </w:rPr>
          </w:pPr>
          <w:r>
            <w:rPr>
              <w:b/>
              <w:szCs w:val="24"/>
              <w:lang w:val="x-none"/>
            </w:rPr>
            <w:t>PREZIDENTO VALSTYBINĖS RENTOS</w:t>
          </w:r>
          <w:r>
            <w:rPr>
              <w:b/>
              <w:szCs w:val="24"/>
            </w:rPr>
            <w:t xml:space="preserve"> </w:t>
          </w:r>
          <w:r>
            <w:rPr>
              <w:b/>
              <w:szCs w:val="24"/>
              <w:lang w:val="x-none"/>
            </w:rPr>
            <w:t xml:space="preserve">ĮSTATYMO </w:t>
          </w:r>
          <w:r>
            <w:rPr>
              <w:b/>
              <w:szCs w:val="24"/>
              <w:lang w:val="en-US"/>
            </w:rPr>
            <w:t>NR. X-980 PAKEITIMO</w:t>
          </w:r>
        </w:p>
        <w:p>
          <w:pPr>
            <w:spacing w:line="276" w:lineRule="auto"/>
            <w:ind w:firstLine="62"/>
            <w:jc w:val="center"/>
            <w:rPr>
              <w:b/>
              <w:szCs w:val="24"/>
              <w:lang w:val="x-none"/>
            </w:rPr>
          </w:pPr>
          <w:r>
            <w:rPr>
              <w:b/>
              <w:szCs w:val="24"/>
              <w:lang w:val="x-none"/>
            </w:rPr>
            <w:t>ĮSTATYMAS</w:t>
          </w:r>
        </w:p>
        <w:p>
          <w:pPr>
            <w:spacing w:line="276" w:lineRule="auto"/>
            <w:jc w:val="center"/>
            <w:rPr>
              <w:rFonts w:eastAsia="Calibri"/>
              <w:b/>
              <w:szCs w:val="24"/>
              <w:lang w:eastAsia="lt-LT"/>
            </w:rPr>
          </w:pPr>
        </w:p>
        <w:p>
          <w:pPr>
            <w:spacing w:line="276" w:lineRule="auto"/>
            <w:jc w:val="center"/>
            <w:rPr>
              <w:rFonts w:eastAsia="Calibri"/>
              <w:szCs w:val="24"/>
              <w:lang w:eastAsia="lt-LT"/>
            </w:rPr>
          </w:pPr>
          <w:r>
            <w:rPr>
              <w:rFonts w:eastAsia="Calibri"/>
              <w:szCs w:val="24"/>
              <w:lang w:eastAsia="lt-LT"/>
            </w:rPr>
            <w:t xml:space="preserve">2015 m.                         d. Nr.</w:t>
          </w:r>
        </w:p>
        <w:p>
          <w:pPr>
            <w:spacing w:line="276" w:lineRule="auto"/>
            <w:jc w:val="center"/>
            <w:rPr>
              <w:rFonts w:eastAsia="Calibri"/>
              <w:szCs w:val="24"/>
              <w:lang w:eastAsia="lt-LT"/>
            </w:rPr>
          </w:pPr>
          <w:r>
            <w:rPr>
              <w:rFonts w:eastAsia="Calibri"/>
              <w:szCs w:val="24"/>
              <w:lang w:eastAsia="lt-LT"/>
            </w:rPr>
            <w:t>Vilnius</w:t>
          </w:r>
        </w:p>
        <w:p>
          <w:pPr>
            <w:spacing w:line="276" w:lineRule="auto"/>
            <w:jc w:val="center"/>
            <w:rPr>
              <w:rFonts w:eastAsia="Calibri"/>
              <w:b/>
              <w:szCs w:val="24"/>
              <w:lang w:eastAsia="lt-LT"/>
            </w:rPr>
          </w:pPr>
        </w:p>
        <w:sdt>
          <w:sdtPr>
            <w:alias w:val="1 str."/>
            <w:tag w:val="part_f4298bd14a904889b34e757f71306f60"/>
            <w:lock w:val="sdtLocked"/>
            <w:richText/>
          </w:sdtPr>
          <w:sdtContent>
            <w:p>
              <w:pPr>
                <w:spacing w:line="276" w:lineRule="auto"/>
                <w:ind w:left="2127" w:hanging="1276"/>
                <w:jc w:val="both"/>
                <w:rPr>
                  <w:rFonts w:eastAsia="Calibri"/>
                  <w:b/>
                  <w:szCs w:val="24"/>
                  <w:lang w:eastAsia="lt-LT"/>
                </w:rPr>
              </w:pPr>
              <w:sdt>
                <w:sdtPr>
                  <w:alias w:val="Numeris"/>
                  <w:tag w:val="nr_f4298bd14a904889b34e757f71306f60"/>
                  <w:lock w:val="sdtLocked"/>
                  <w:richText/>
                </w:sdtPr>
                <w:sdtContent>
                  <w:r>
                    <w:rPr>
                      <w:rFonts w:eastAsia="Calibri"/>
                      <w:b/>
                      <w:szCs w:val="24"/>
                      <w:lang w:eastAsia="lt-LT"/>
                    </w:rPr>
                    <w:t>1</w:t>
                  </w:r>
                </w:sdtContent>
              </w:sdt>
              <w:r>
                <w:rPr>
                  <w:rFonts w:eastAsia="Calibri"/>
                  <w:b/>
                  <w:szCs w:val="24"/>
                  <w:lang w:eastAsia="lt-LT"/>
                </w:rPr>
                <w:t xml:space="preserve"> straipsnis. </w:t>
              </w:r>
              <w:sdt>
                <w:sdtPr>
                  <w:alias w:val="Pavadinimas"/>
                  <w:tag w:val="title_f4298bd14a904889b34e757f71306f60"/>
                  <w:lock w:val="sdtLocked"/>
                  <w:richText/>
                </w:sdtPr>
                <w:sdtContent>
                  <w:r>
                    <w:rPr>
                      <w:rFonts w:eastAsia="Calibri"/>
                      <w:b/>
                      <w:szCs w:val="24"/>
                      <w:lang w:eastAsia="lt-LT"/>
                    </w:rPr>
                    <w:t xml:space="preserve">Lietuvos Respublikos Prezidento valstybinės rentos įstatymo Nr. X-980  nauja redakcija  </w:t>
                  </w:r>
                </w:sdtContent>
              </w:sdt>
            </w:p>
            <w:sdt>
              <w:sdtPr>
                <w:alias w:val="1 str. 1 d."/>
                <w:tag w:val="part_f7f79b24732849b9a748f8dfe0c3ba69"/>
                <w:lock w:val="sdtLocked"/>
                <w:richText/>
              </w:sdtPr>
              <w:sdtContent>
                <w:p>
                  <w:pPr>
                    <w:spacing w:line="276" w:lineRule="auto"/>
                    <w:ind w:firstLine="851"/>
                    <w:jc w:val="both"/>
                    <w:rPr>
                      <w:rFonts w:eastAsia="Calibri"/>
                      <w:szCs w:val="24"/>
                      <w:lang w:eastAsia="lt-LT"/>
                    </w:rPr>
                  </w:pPr>
                  <w:r>
                    <w:rPr>
                      <w:rFonts w:eastAsia="Calibri"/>
                      <w:szCs w:val="24"/>
                      <w:lang w:eastAsia="lt-LT"/>
                    </w:rPr>
                    <w:t>Pakeisti Lietuvos Respublikos Prezidento valstybinės rentos įstatymą Nr. X-980 ir jį išdėstyti taip:</w:t>
                  </w:r>
                </w:p>
                <w:p>
                  <w:pPr>
                    <w:spacing w:line="276" w:lineRule="auto"/>
                    <w:ind w:firstLine="851"/>
                    <w:jc w:val="both"/>
                    <w:rPr>
                      <w:rFonts w:eastAsia="Calibri"/>
                      <w:szCs w:val="24"/>
                      <w:lang w:eastAsia="lt-LT"/>
                    </w:rPr>
                  </w:pPr>
                </w:p>
                <w:sdt>
                  <w:sdtPr>
                    <w:alias w:val="citata"/>
                    <w:tag w:val="part_8c65339ac78d4bf2ab132d55f095c522"/>
                    <w:lock w:val="sdtLocked"/>
                    <w:richText/>
                  </w:sdtPr>
                  <w:sdtContent>
                    <w:sdt>
                      <w:sdtPr>
                        <w:alias w:val="pagrindine"/>
                        <w:tag w:val="part_993904f367de416587d2f35a8ec03101"/>
                        <w:lock w:val="sdtLocked"/>
                        <w:richText/>
                      </w:sdtPr>
                      <w:sdtContent>
                        <w:p>
                          <w:pPr>
                            <w:spacing w:line="276" w:lineRule="auto"/>
                            <w:jc w:val="center"/>
                            <w:rPr>
                              <w:b/>
                              <w:szCs w:val="24"/>
                            </w:rPr>
                          </w:pPr>
                          <w:r>
                            <w:rPr>
                              <w:szCs w:val="24"/>
                            </w:rPr>
                            <w:t>„</w:t>
                          </w:r>
                          <w:r>
                            <w:rPr>
                              <w:b/>
                              <w:szCs w:val="24"/>
                              <w:lang w:val="x-none"/>
                            </w:rPr>
                            <w:t>LIETUVOS RESPUBLIKOS</w:t>
                          </w:r>
                          <w:r>
                            <w:rPr>
                              <w:b/>
                              <w:szCs w:val="24"/>
                            </w:rPr>
                            <w:t xml:space="preserve"> </w:t>
                          </w:r>
                        </w:p>
                        <w:p>
                          <w:pPr>
                            <w:spacing w:line="276" w:lineRule="auto"/>
                            <w:jc w:val="center"/>
                            <w:rPr>
                              <w:b/>
                              <w:szCs w:val="24"/>
                              <w:lang w:val="en-US"/>
                            </w:rPr>
                          </w:pPr>
                          <w:r>
                            <w:rPr>
                              <w:b/>
                              <w:szCs w:val="24"/>
                              <w:lang w:val="x-none"/>
                            </w:rPr>
                            <w:t>PREZIDENTO VALSTYBINĖS RENTOS</w:t>
                          </w:r>
                          <w:r>
                            <w:rPr>
                              <w:b/>
                              <w:szCs w:val="24"/>
                            </w:rPr>
                            <w:t xml:space="preserve"> </w:t>
                          </w:r>
                        </w:p>
                        <w:p>
                          <w:pPr>
                            <w:spacing w:line="276" w:lineRule="auto"/>
                            <w:ind w:firstLine="62"/>
                            <w:jc w:val="center"/>
                            <w:rPr>
                              <w:b/>
                              <w:szCs w:val="24"/>
                              <w:lang w:val="x-none"/>
                            </w:rPr>
                          </w:pPr>
                          <w:r>
                            <w:rPr>
                              <w:b/>
                              <w:szCs w:val="24"/>
                              <w:lang w:val="x-none"/>
                            </w:rPr>
                            <w:t>ĮSTATYMAS</w:t>
                          </w:r>
                        </w:p>
                        <w:p>
                          <w:pPr>
                            <w:spacing w:line="276" w:lineRule="auto"/>
                            <w:jc w:val="center"/>
                            <w:rPr>
                              <w:rFonts w:eastAsia="Calibri"/>
                              <w:szCs w:val="24"/>
                              <w:lang w:eastAsia="lt-LT"/>
                            </w:rPr>
                          </w:pPr>
                        </w:p>
                        <w:sdt>
                          <w:sdtPr>
                            <w:alias w:val="1 str."/>
                            <w:tag w:val="part_ecc8ef0a278842e487361012efc8533f"/>
                            <w:lock w:val="sdtLocked"/>
                            <w:richText/>
                          </w:sdtPr>
                          <w:sdtContent>
                            <w:p>
                              <w:pPr>
                                <w:spacing w:line="276" w:lineRule="auto"/>
                                <w:ind w:firstLine="851"/>
                                <w:jc w:val="both"/>
                                <w:rPr>
                                  <w:rFonts w:eastAsia="Calibri"/>
                                  <w:b/>
                                  <w:szCs w:val="24"/>
                                  <w:lang w:eastAsia="lt-LT"/>
                                </w:rPr>
                              </w:pPr>
                              <w:sdt>
                                <w:sdtPr>
                                  <w:alias w:val="Numeris"/>
                                  <w:tag w:val="nr_ecc8ef0a278842e487361012efc8533f"/>
                                  <w:lock w:val="sdtLocked"/>
                                  <w:richText/>
                                </w:sdtPr>
                                <w:sdtContent>
                                  <w:r>
                                    <w:rPr>
                                      <w:rFonts w:eastAsia="Calibri"/>
                                      <w:b/>
                                      <w:szCs w:val="24"/>
                                      <w:lang w:eastAsia="lt-LT"/>
                                    </w:rPr>
                                    <w:t>1</w:t>
                                  </w:r>
                                </w:sdtContent>
                              </w:sdt>
                              <w:r>
                                <w:rPr>
                                  <w:rFonts w:eastAsia="Calibri"/>
                                  <w:b/>
                                  <w:szCs w:val="24"/>
                                  <w:lang w:eastAsia="lt-LT"/>
                                </w:rPr>
                                <w:t xml:space="preserve"> straipsnis. </w:t>
                              </w:r>
                              <w:sdt>
                                <w:sdtPr>
                                  <w:alias w:val="Pavadinimas"/>
                                  <w:tag w:val="title_ecc8ef0a278842e487361012efc8533f"/>
                                  <w:lock w:val="sdtLocked"/>
                                  <w:richText/>
                                </w:sdtPr>
                                <w:sdtContent>
                                  <w:r>
                                    <w:rPr>
                                      <w:rFonts w:eastAsia="Calibri"/>
                                      <w:b/>
                                      <w:szCs w:val="24"/>
                                      <w:lang w:eastAsia="lt-LT"/>
                                    </w:rPr>
                                    <w:t>Įstatymo paskirtis</w:t>
                                  </w:r>
                                </w:sdtContent>
                              </w:sdt>
                            </w:p>
                            <w:sdt>
                              <w:sdtPr>
                                <w:alias w:val="1 str. 1 d."/>
                                <w:tag w:val="part_7ebe010b28244020bc69c74fb8c93b8f"/>
                                <w:lock w:val="sdtLocked"/>
                                <w:richText/>
                              </w:sdtPr>
                              <w:sdtContent>
                                <w:p>
                                  <w:pPr>
                                    <w:spacing w:line="276" w:lineRule="auto"/>
                                    <w:ind w:firstLine="851"/>
                                    <w:jc w:val="both"/>
                                    <w:rPr>
                                      <w:rFonts w:eastAsia="Calibri"/>
                                      <w:szCs w:val="24"/>
                                      <w:lang w:eastAsia="lt-LT"/>
                                    </w:rPr>
                                  </w:pPr>
                                  <w:r>
                                    <w:rPr>
                                      <w:rFonts w:eastAsia="Calibri"/>
                                      <w:szCs w:val="24"/>
                                      <w:lang w:eastAsia="lt-LT"/>
                                    </w:rPr>
                                    <w:t>Šis įstatymas reglamentuoja Respublikos Prezidento valstybinės rentos ir Respublikos Prezidento našlaičių valstybinės rentos</w:t>
                                  </w:r>
                                  <w:r>
                                    <w:rPr>
                                      <w:rFonts w:eastAsia="Calibri"/>
                                      <w:b/>
                                      <w:szCs w:val="24"/>
                                      <w:lang w:eastAsia="lt-LT"/>
                                    </w:rPr>
                                    <w:t xml:space="preserve"> </w:t>
                                  </w:r>
                                  <w:r>
                                    <w:rPr>
                                      <w:rFonts w:eastAsia="Calibri"/>
                                      <w:szCs w:val="24"/>
                                      <w:lang w:eastAsia="lt-LT"/>
                                    </w:rPr>
                                    <w:t>skyrimo ir mokėjimo sąlygas bei tvarką, taip pat šių rentų</w:t>
                                  </w:r>
                                  <w:r>
                                    <w:rPr>
                                      <w:rFonts w:eastAsia="Calibri"/>
                                      <w:b/>
                                      <w:szCs w:val="24"/>
                                      <w:lang w:eastAsia="lt-LT"/>
                                    </w:rPr>
                                    <w:t xml:space="preserve"> </w:t>
                                  </w:r>
                                  <w:r>
                                    <w:rPr>
                                      <w:rFonts w:eastAsia="Calibri"/>
                                      <w:szCs w:val="24"/>
                                      <w:lang w:eastAsia="lt-LT"/>
                                    </w:rPr>
                                    <w:t>dydžius.</w:t>
                                  </w:r>
                                </w:p>
                                <w:p>
                                  <w:pPr>
                                    <w:spacing w:line="276" w:lineRule="auto"/>
                                    <w:ind w:firstLine="851"/>
                                    <w:jc w:val="both"/>
                                    <w:rPr>
                                      <w:rFonts w:eastAsia="Calibri"/>
                                      <w:szCs w:val="24"/>
                                      <w:lang w:eastAsia="lt-LT"/>
                                    </w:rPr>
                                  </w:pPr>
                                </w:p>
                              </w:sdtContent>
                            </w:sdt>
                          </w:sdtContent>
                        </w:sdt>
                        <w:sdt>
                          <w:sdtPr>
                            <w:alias w:val="2 str."/>
                            <w:tag w:val="part_842db57642a84cda806e8df2a9269371"/>
                            <w:lock w:val="sdtLocked"/>
                            <w:richText/>
                          </w:sdtPr>
                          <w:sdtContent>
                            <w:p>
                              <w:pPr>
                                <w:spacing w:line="276" w:lineRule="auto"/>
                                <w:ind w:firstLine="851"/>
                                <w:jc w:val="both"/>
                                <w:rPr>
                                  <w:szCs w:val="24"/>
                                  <w:lang w:eastAsia="lt-LT"/>
                                </w:rPr>
                              </w:pPr>
                              <w:sdt>
                                <w:sdtPr>
                                  <w:alias w:val="Numeris"/>
                                  <w:tag w:val="nr_842db57642a84cda806e8df2a9269371"/>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842db57642a84cda806e8df2a9269371"/>
                                  <w:lock w:val="sdtLocked"/>
                                  <w:richText/>
                                </w:sdtPr>
                                <w:sdtContent>
                                  <w:r>
                                    <w:rPr>
                                      <w:b/>
                                      <w:bCs/>
                                      <w:color w:val="000000"/>
                                      <w:szCs w:val="24"/>
                                      <w:lang w:eastAsia="lt-LT"/>
                                    </w:rPr>
                                    <w:t>Respublikos Prezidento</w:t>
                                  </w:r>
                                  <w:r>
                                    <w:rPr>
                                      <w:szCs w:val="24"/>
                                      <w:lang w:eastAsia="lt-LT"/>
                                    </w:rPr>
                                    <w:t xml:space="preserve"> </w:t>
                                  </w:r>
                                  <w:r>
                                    <w:rPr>
                                      <w:b/>
                                      <w:szCs w:val="24"/>
                                      <w:lang w:eastAsia="lt-LT"/>
                                    </w:rPr>
                                    <w:t>v</w:t>
                                  </w:r>
                                  <w:r>
                                    <w:rPr>
                                      <w:b/>
                                      <w:bCs/>
                                      <w:szCs w:val="24"/>
                                      <w:lang w:eastAsia="lt-LT"/>
                                    </w:rPr>
                                    <w:t>alstybinės rentos skyrimo ir mokėjimo sąlygos</w:t>
                                  </w:r>
                                </w:sdtContent>
                              </w:sdt>
                            </w:p>
                            <w:sdt>
                              <w:sdtPr>
                                <w:alias w:val="2 str. 1 d."/>
                                <w:tag w:val="part_6363741705b94de6af2ad5aa26eaa18f"/>
                                <w:lock w:val="sdtLocked"/>
                                <w:richText/>
                              </w:sdtPr>
                              <w:sdtContent>
                                <w:p>
                                  <w:pPr>
                                    <w:spacing w:line="276" w:lineRule="auto"/>
                                    <w:ind w:firstLine="851"/>
                                    <w:jc w:val="both"/>
                                    <w:rPr>
                                      <w:szCs w:val="24"/>
                                      <w:lang w:eastAsia="lt-LT"/>
                                    </w:rPr>
                                  </w:pPr>
                                  <w:sdt>
                                    <w:sdtPr>
                                      <w:alias w:val="Numeris"/>
                                      <w:tag w:val="nr_6363741705b94de6af2ad5aa26eaa18f"/>
                                      <w:lock w:val="sdtLocked"/>
                                      <w:richText/>
                                    </w:sdtPr>
                                    <w:sdtContent>
                                      <w:r>
                                        <w:rPr>
                                          <w:szCs w:val="24"/>
                                          <w:lang w:eastAsia="lt-LT"/>
                                        </w:rPr>
                                        <w:t>1</w:t>
                                      </w:r>
                                    </w:sdtContent>
                                  </w:sdt>
                                  <w:r>
                                    <w:rPr>
                                      <w:szCs w:val="24"/>
                                      <w:lang w:eastAsia="lt-LT"/>
                                    </w:rPr>
                                    <w:t>. Respublikos Prezidento valstybinė renta skiriama ir mokama iki gyvos galvos Respublikos Prezidentui, kurio įgaliojimai nutrūko Lietuvos Respublikos Konstitucijos 88 straipsnio 1, 2, 3 ir 6 punktuose nustatytais pagrindais.</w:t>
                                  </w:r>
                                </w:p>
                              </w:sdtContent>
                            </w:sdt>
                            <w:sdt>
                              <w:sdtPr>
                                <w:alias w:val="2 str. 2 d."/>
                                <w:tag w:val="part_f13720e280b34add884fe90a28bb6fbf"/>
                                <w:lock w:val="sdtLocked"/>
                                <w:richText/>
                              </w:sdtPr>
                              <w:sdtContent>
                                <w:p>
                                  <w:pPr>
                                    <w:spacing w:line="276" w:lineRule="auto"/>
                                    <w:ind w:firstLine="851"/>
                                    <w:jc w:val="both"/>
                                    <w:rPr>
                                      <w:szCs w:val="24"/>
                                      <w:lang w:eastAsia="lt-LT"/>
                                    </w:rPr>
                                  </w:pPr>
                                  <w:sdt>
                                    <w:sdtPr>
                                      <w:alias w:val="Numeris"/>
                                      <w:tag w:val="nr_f13720e280b34add884fe90a28bb6fbf"/>
                                      <w:lock w:val="sdtLocked"/>
                                      <w:richText/>
                                    </w:sdtPr>
                                    <w:sdtContent>
                                      <w:r>
                                        <w:rPr>
                                          <w:szCs w:val="24"/>
                                          <w:lang w:eastAsia="lt-LT"/>
                                        </w:rPr>
                                        <w:t>2</w:t>
                                      </w:r>
                                    </w:sdtContent>
                                  </w:sdt>
                                  <w:r>
                                    <w:rPr>
                                      <w:szCs w:val="24"/>
                                      <w:lang w:eastAsia="lt-LT"/>
                                    </w:rPr>
                                    <w:t>. Respublikos Prezidentui, išrinktam naujai kadencijai, paskirtoji Respublikos Prezidento valstybinė renta nemokama. Paskirtoji Respublikos Prezidento valstybinė renta vėl pradedama mokėti, kai Respublikos Prezidento įgaliojimai nutrūksta Lietuvos Respublikos Konstitucijos 88 straipsnio 1, 2, 3 ir 6 punktuose nustatytais pagrindais.</w:t>
                                  </w:r>
                                </w:p>
                              </w:sdtContent>
                            </w:sdt>
                            <w:sdt>
                              <w:sdtPr>
                                <w:alias w:val="2 str. 3 d."/>
                                <w:tag w:val="part_5f2c43cd75c1499c906eba0957764926"/>
                                <w:lock w:val="sdtLocked"/>
                                <w:richText/>
                              </w:sdtPr>
                              <w:sdtContent>
                                <w:p>
                                  <w:pPr>
                                    <w:tabs>
                                      <w:tab w:val="left" w:pos="993"/>
                                      <w:tab w:val="left" w:pos="1134"/>
                                    </w:tabs>
                                    <w:spacing w:line="276" w:lineRule="auto"/>
                                    <w:ind w:firstLine="851"/>
                                    <w:jc w:val="both"/>
                                    <w:rPr>
                                      <w:rFonts w:eastAsia="Calibri"/>
                                      <w:szCs w:val="24"/>
                                      <w:lang w:eastAsia="lt-LT"/>
                                    </w:rPr>
                                  </w:pPr>
                                  <w:sdt>
                                    <w:sdtPr>
                                      <w:alias w:val="Numeris"/>
                                      <w:tag w:val="nr_5f2c43cd75c1499c906eba0957764926"/>
                                      <w:lock w:val="sdtLocked"/>
                                      <w:richText/>
                                    </w:sdtPr>
                                    <w:sdtContent>
                                      <w:r>
                                        <w:rPr>
                                          <w:szCs w:val="24"/>
                                          <w:lang w:eastAsia="lt-LT"/>
                                        </w:rPr>
                                        <w:t>3</w:t>
                                      </w:r>
                                    </w:sdtContent>
                                  </w:sdt>
                                  <w:r>
                                    <w:rPr>
                                      <w:szCs w:val="24"/>
                                      <w:lang w:eastAsia="lt-LT"/>
                                    </w:rPr>
                                    <w:t xml:space="preserve">. Respublikos Prezidentui Respublikos Prezidento valstybinė renta neskiriama, jeigu jis </w:t>
                                  </w:r>
                                  <w:r>
                                    <w:rPr>
                                      <w:rFonts w:eastAsia="Calibri"/>
                                      <w:szCs w:val="24"/>
                                      <w:lang w:eastAsia="lt-LT"/>
                                    </w:rPr>
                                    <w:t xml:space="preserve"> neatsisako gaunamos valstybinės pensijos ar kitos iš Lietuvos Respublikos valstybės biudžeto mokamos periodinės pensinio pobūdžio išmokos (valstybinės signataro rentos, valstybinės signataro našlių ir našlaičių rentos, kompensacinės išmokos teatrų ir koncertinių įstaigų kūrybiniams darbuotojams, rentos sportininkams, šalpos pensijos), paskirtos pagal Lietuvos Respublikos įstatymus. </w:t>
                                  </w:r>
                                </w:p>
                                <w:p>
                                  <w:pPr>
                                    <w:spacing w:line="276" w:lineRule="auto"/>
                                    <w:jc w:val="center"/>
                                    <w:rPr>
                                      <w:rFonts w:eastAsia="Calibri"/>
                                      <w:szCs w:val="24"/>
                                      <w:lang w:eastAsia="lt-LT"/>
                                    </w:rPr>
                                  </w:pPr>
                                </w:p>
                              </w:sdtContent>
                            </w:sdt>
                          </w:sdtContent>
                        </w:sdt>
                        <w:sdt>
                          <w:sdtPr>
                            <w:alias w:val="3 str."/>
                            <w:tag w:val="part_e4df3a55947049d985fc9f1ee6803470"/>
                            <w:lock w:val="sdtLocked"/>
                            <w:richText/>
                          </w:sdtPr>
                          <w:sdtContent>
                            <w:p>
                              <w:pPr>
                                <w:spacing w:line="276" w:lineRule="auto"/>
                                <w:ind w:firstLine="851"/>
                                <w:jc w:val="both"/>
                                <w:rPr>
                                  <w:rFonts w:eastAsia="Calibri"/>
                                  <w:b/>
                                  <w:szCs w:val="24"/>
                                  <w:lang w:eastAsia="lt-LT"/>
                                </w:rPr>
                              </w:pPr>
                              <w:sdt>
                                <w:sdtPr>
                                  <w:alias w:val="Numeris"/>
                                  <w:tag w:val="nr_e4df3a55947049d985fc9f1ee6803470"/>
                                  <w:lock w:val="sdtLocked"/>
                                  <w:richText/>
                                </w:sdtPr>
                                <w:sdtContent>
                                  <w:r>
                                    <w:rPr>
                                      <w:rFonts w:eastAsia="Calibri"/>
                                      <w:b/>
                                      <w:szCs w:val="24"/>
                                      <w:lang w:eastAsia="lt-LT"/>
                                    </w:rPr>
                                    <w:t>3</w:t>
                                  </w:r>
                                </w:sdtContent>
                              </w:sdt>
                              <w:r>
                                <w:rPr>
                                  <w:rFonts w:eastAsia="Calibri"/>
                                  <w:b/>
                                  <w:szCs w:val="24"/>
                                  <w:lang w:eastAsia="lt-LT"/>
                                </w:rPr>
                                <w:t xml:space="preserve"> straipsnis. </w:t>
                              </w:r>
                              <w:sdt>
                                <w:sdtPr>
                                  <w:alias w:val="Pavadinimas"/>
                                  <w:tag w:val="title_e4df3a55947049d985fc9f1ee6803470"/>
                                  <w:lock w:val="sdtLocked"/>
                                  <w:richText/>
                                </w:sdtPr>
                                <w:sdtContent>
                                  <w:r>
                                    <w:rPr>
                                      <w:rFonts w:eastAsia="Calibri"/>
                                      <w:b/>
                                      <w:szCs w:val="24"/>
                                      <w:lang w:eastAsia="lt-LT"/>
                                    </w:rPr>
                                    <w:t>Respublikos Prezidento valstybinės rentos dydis</w:t>
                                  </w:r>
                                </w:sdtContent>
                              </w:sdt>
                            </w:p>
                            <w:sdt>
                              <w:sdtPr>
                                <w:alias w:val="3 str. 1 d."/>
                                <w:tag w:val="part_f864f49cbc7b4ce5bf5de0c4aefc19f6"/>
                                <w:lock w:val="sdtLocked"/>
                                <w:richText/>
                              </w:sdtPr>
                              <w:sdtContent>
                                <w:p>
                                  <w:pPr>
                                    <w:spacing w:line="276" w:lineRule="auto"/>
                                    <w:ind w:firstLine="851"/>
                                    <w:jc w:val="both"/>
                                    <w:rPr>
                                      <w:rFonts w:eastAsia="Calibri"/>
                                      <w:szCs w:val="24"/>
                                      <w:lang w:eastAsia="lt-LT"/>
                                    </w:rPr>
                                  </w:pPr>
                                  <w:sdt>
                                    <w:sdtPr>
                                      <w:alias w:val="Numeris"/>
                                      <w:tag w:val="nr_f864f49cbc7b4ce5bf5de0c4aefc19f6"/>
                                      <w:lock w:val="sdtLocked"/>
                                      <w:richText/>
                                    </w:sdtPr>
                                    <w:sdtContent>
                                      <w:r>
                                        <w:rPr>
                                          <w:rFonts w:eastAsia="Calibri"/>
                                          <w:szCs w:val="24"/>
                                          <w:lang w:eastAsia="lt-LT"/>
                                        </w:rPr>
                                        <w:t>1</w:t>
                                      </w:r>
                                    </w:sdtContent>
                                  </w:sdt>
                                  <w:r>
                                    <w:rPr>
                                      <w:rFonts w:eastAsia="Calibri"/>
                                      <w:szCs w:val="24"/>
                                      <w:lang w:eastAsia="lt-LT"/>
                                    </w:rPr>
                                    <w:t>. Respublikos Prezidento valstybinė renta skiriama 50 procentų Respublikos Prezidento darbo užmokesčio dydžio per mėnesį.</w:t>
                                  </w:r>
                                </w:p>
                              </w:sdtContent>
                            </w:sdt>
                            <w:sdt>
                              <w:sdtPr>
                                <w:alias w:val="3 str. 2 d."/>
                                <w:tag w:val="part_16aebb54245d4ad7b2600e0da73c1370"/>
                                <w:lock w:val="sdtLocked"/>
                                <w:richText/>
                              </w:sdtPr>
                              <w:sdtContent>
                                <w:p>
                                  <w:pPr>
                                    <w:spacing w:line="276" w:lineRule="auto"/>
                                    <w:ind w:firstLine="851"/>
                                    <w:jc w:val="both"/>
                                    <w:rPr>
                                      <w:rFonts w:eastAsia="Calibri"/>
                                      <w:szCs w:val="24"/>
                                      <w:lang w:eastAsia="lt-LT"/>
                                    </w:rPr>
                                  </w:pPr>
                                  <w:sdt>
                                    <w:sdtPr>
                                      <w:alias w:val="Numeris"/>
                                      <w:tag w:val="nr_16aebb54245d4ad7b2600e0da73c1370"/>
                                      <w:lock w:val="sdtLocked"/>
                                      <w:richText/>
                                    </w:sdtPr>
                                    <w:sdtContent>
                                      <w:r>
                                        <w:rPr>
                                          <w:rFonts w:eastAsia="Calibri"/>
                                          <w:szCs w:val="24"/>
                                          <w:lang w:eastAsia="lt-LT"/>
                                        </w:rPr>
                                        <w:t>2</w:t>
                                      </w:r>
                                    </w:sdtContent>
                                  </w:sdt>
                                  <w:r>
                                    <w:rPr>
                                      <w:rFonts w:eastAsia="Calibri"/>
                                      <w:szCs w:val="24"/>
                                      <w:lang w:eastAsia="lt-LT"/>
                                    </w:rPr>
                                    <w:t>. Respublikos Prezidento valstybinės rentos dydis nustatomas pagal Respublikos Prezidento darbo užmokesčio dydį, galiojantį tą mėnesį, už kurį ši renta skiriama ir (ar) mokama. Pasikeitus Respublikos Prezidento darbo užmokesčio dydžiui, Respublikos Prezidento valstybinės rentos dydį Lietuvos Respublikos Vyriausybė nustato iš naujo. Respublikos Prezidento valstybinės rentos dydis negali būti mažinamas.</w:t>
                                  </w:r>
                                </w:p>
                                <w:p>
                                  <w:pPr>
                                    <w:spacing w:line="276" w:lineRule="auto"/>
                                    <w:ind w:firstLine="851"/>
                                    <w:jc w:val="both"/>
                                    <w:rPr>
                                      <w:rFonts w:eastAsia="Calibri"/>
                                      <w:b/>
                                      <w:szCs w:val="24"/>
                                      <w:lang w:eastAsia="lt-LT"/>
                                    </w:rPr>
                                  </w:pPr>
                                </w:p>
                              </w:sdtContent>
                            </w:sdt>
                          </w:sdtContent>
                        </w:sdt>
                        <w:sdt>
                          <w:sdtPr>
                            <w:alias w:val="4 str."/>
                            <w:tag w:val="part_2e37933fa7d84bae97557c76b990751c"/>
                            <w:lock w:val="sdtLocked"/>
                            <w:richText/>
                          </w:sdtPr>
                          <w:sdtContent>
                            <w:p>
                              <w:pPr>
                                <w:spacing w:line="276" w:lineRule="auto"/>
                                <w:ind w:left="2127" w:hanging="1276"/>
                                <w:jc w:val="both"/>
                                <w:rPr>
                                  <w:rFonts w:eastAsia="Calibri"/>
                                  <w:b/>
                                  <w:szCs w:val="24"/>
                                  <w:lang w:eastAsia="lt-LT"/>
                                </w:rPr>
                              </w:pPr>
                              <w:sdt>
                                <w:sdtPr>
                                  <w:alias w:val="Numeris"/>
                                  <w:tag w:val="nr_2e37933fa7d84bae97557c76b990751c"/>
                                  <w:lock w:val="sdtLocked"/>
                                  <w:richText/>
                                </w:sdtPr>
                                <w:sdtContent>
                                  <w:r>
                                    <w:rPr>
                                      <w:rFonts w:eastAsia="Calibri"/>
                                      <w:b/>
                                      <w:szCs w:val="24"/>
                                      <w:lang w:eastAsia="lt-LT"/>
                                    </w:rPr>
                                    <w:t>4</w:t>
                                  </w:r>
                                </w:sdtContent>
                              </w:sdt>
                              <w:r>
                                <w:rPr>
                                  <w:rFonts w:eastAsia="Calibri"/>
                                  <w:b/>
                                  <w:szCs w:val="24"/>
                                  <w:lang w:eastAsia="lt-LT"/>
                                </w:rPr>
                                <w:t xml:space="preserve"> straipsnis. </w:t>
                              </w:r>
                              <w:sdt>
                                <w:sdtPr>
                                  <w:alias w:val="Pavadinimas"/>
                                  <w:tag w:val="title_2e37933fa7d84bae97557c76b990751c"/>
                                  <w:lock w:val="sdtLocked"/>
                                  <w:richText/>
                                </w:sdtPr>
                                <w:sdtContent>
                                  <w:r>
                                    <w:rPr>
                                      <w:rFonts w:eastAsia="Calibri"/>
                                      <w:b/>
                                      <w:szCs w:val="24"/>
                                      <w:lang w:eastAsia="lt-LT"/>
                                    </w:rPr>
                                    <w:t>Asmenys, turintys teisę gauti Respublikos Prezidento našlaičių valstybinę rentą</w:t>
                                  </w:r>
                                </w:sdtContent>
                              </w:sdt>
                            </w:p>
                            <w:sdt>
                              <w:sdtPr>
                                <w:alias w:val="4 str. 1 d."/>
                                <w:tag w:val="part_9186f002a6a645abbc2aca2e7774e85d"/>
                                <w:lock w:val="sdtLocked"/>
                                <w:richText/>
                              </w:sdtPr>
                              <w:sdtContent>
                                <w:p>
                                  <w:pPr>
                                    <w:spacing w:line="276" w:lineRule="auto"/>
                                    <w:ind w:firstLine="851"/>
                                    <w:jc w:val="both"/>
                                    <w:rPr>
                                      <w:rFonts w:eastAsia="Calibri"/>
                                      <w:szCs w:val="24"/>
                                      <w:lang w:eastAsia="lt-LT"/>
                                    </w:rPr>
                                  </w:pPr>
                                  <w:sdt>
                                    <w:sdtPr>
                                      <w:alias w:val="Numeris"/>
                                      <w:tag w:val="nr_9186f002a6a645abbc2aca2e7774e85d"/>
                                      <w:lock w:val="sdtLocked"/>
                                      <w:richText/>
                                    </w:sdtPr>
                                    <w:sdtContent>
                                      <w:r>
                                        <w:rPr>
                                          <w:rFonts w:eastAsia="Calibri"/>
                                          <w:szCs w:val="24"/>
                                          <w:lang w:eastAsia="lt-LT"/>
                                        </w:rPr>
                                        <w:t>1</w:t>
                                      </w:r>
                                    </w:sdtContent>
                                  </w:sdt>
                                  <w:r>
                                    <w:rPr>
                                      <w:rFonts w:eastAsia="Calibri"/>
                                      <w:szCs w:val="24"/>
                                      <w:lang w:eastAsia="lt-LT"/>
                                    </w:rPr>
                                    <w:t>. Teisę gauti Respublikos Prezidento našlaičių valstybinę rentą turi mirusio Respublikos Prezidento našlaičiai, kurie yra Lietuvos Respublikos piliečiai:</w:t>
                                  </w:r>
                                </w:p>
                                <w:sdt>
                                  <w:sdtPr>
                                    <w:alias w:val="4 str. 1 d. 1 p."/>
                                    <w:tag w:val="part_bae6c883de4b4a80981037576d058f21"/>
                                    <w:lock w:val="sdtLocked"/>
                                    <w:richText/>
                                  </w:sdtPr>
                                  <w:sdtContent>
                                    <w:p>
                                      <w:pPr>
                                        <w:spacing w:line="276" w:lineRule="auto"/>
                                        <w:ind w:firstLine="851"/>
                                        <w:jc w:val="both"/>
                                        <w:rPr>
                                          <w:rFonts w:eastAsia="Calibri"/>
                                          <w:szCs w:val="24"/>
                                          <w:lang w:eastAsia="lt-LT"/>
                                        </w:rPr>
                                      </w:pPr>
                                      <w:sdt>
                                        <w:sdtPr>
                                          <w:alias w:val="Numeris"/>
                                          <w:tag w:val="nr_bae6c883de4b4a80981037576d058f21"/>
                                          <w:lock w:val="sdtLocked"/>
                                          <w:richText/>
                                        </w:sdtPr>
                                        <w:sdtContent>
                                          <w:r>
                                            <w:rPr>
                                              <w:rFonts w:eastAsia="Calibri"/>
                                              <w:szCs w:val="24"/>
                                              <w:lang w:eastAsia="lt-LT"/>
                                            </w:rPr>
                                            <w:t>1</w:t>
                                          </w:r>
                                        </w:sdtContent>
                                      </w:sdt>
                                      <w:r>
                                        <w:rPr>
                                          <w:rFonts w:eastAsia="Calibri"/>
                                          <w:szCs w:val="24"/>
                                          <w:lang w:eastAsia="lt-LT"/>
                                        </w:rPr>
                                        <w:t xml:space="preserve">) nepilnamečiai vaikai (įvaikiai); </w:t>
                                      </w:r>
                                    </w:p>
                                  </w:sdtContent>
                                </w:sdt>
                                <w:sdt>
                                  <w:sdtPr>
                                    <w:alias w:val="4 str. 1 d. 2 p."/>
                                    <w:tag w:val="part_00636253ba98462587d4e4dc55e1429c"/>
                                    <w:lock w:val="sdtLocked"/>
                                    <w:richText/>
                                  </w:sdtPr>
                                  <w:sdtContent>
                                    <w:p>
                                      <w:pPr>
                                        <w:tabs>
                                          <w:tab w:val="left" w:pos="1134"/>
                                        </w:tabs>
                                        <w:spacing w:line="276" w:lineRule="auto"/>
                                        <w:ind w:firstLine="851"/>
                                        <w:jc w:val="both"/>
                                        <w:rPr>
                                          <w:rFonts w:eastAsia="Calibri"/>
                                          <w:szCs w:val="24"/>
                                          <w:lang w:eastAsia="lt-LT"/>
                                        </w:rPr>
                                      </w:pPr>
                                      <w:sdt>
                                        <w:sdtPr>
                                          <w:alias w:val="Numeris"/>
                                          <w:tag w:val="nr_00636253ba98462587d4e4dc55e1429c"/>
                                          <w:lock w:val="sdtLocked"/>
                                          <w:richText/>
                                        </w:sdtPr>
                                        <w:sdtContent>
                                          <w:r>
                                            <w:rPr>
                                              <w:rFonts w:eastAsia="Calibri"/>
                                              <w:szCs w:val="24"/>
                                              <w:lang w:eastAsia="lt-LT"/>
                                            </w:rPr>
                                            <w:t>2</w:t>
                                          </w:r>
                                        </w:sdtContent>
                                      </w:sdt>
                                      <w:r>
                                        <w:rPr>
                                          <w:rFonts w:eastAsia="Calibri"/>
                                          <w:szCs w:val="24"/>
                                          <w:lang w:eastAsia="lt-LT"/>
                                        </w:rPr>
                                        <w:t>) pilnamečiai vaikai (įvaikiai), jeigu jie pripažinti neįgaliaisiais iki pilnametystės ir visą laiką nuo pilnametystės yra nedarbingi ar iš dalies darbingi;</w:t>
                                      </w:r>
                                    </w:p>
                                  </w:sdtContent>
                                </w:sdt>
                                <w:sdt>
                                  <w:sdtPr>
                                    <w:alias w:val="4 str. 1 d. 3 p."/>
                                    <w:tag w:val="part_bbf1d6847dd441888f8fb5fa9c8c1a09"/>
                                    <w:lock w:val="sdtLocked"/>
                                    <w:richText/>
                                  </w:sdtPr>
                                  <w:sdtContent>
                                    <w:p>
                                      <w:pPr>
                                        <w:tabs>
                                          <w:tab w:val="left" w:pos="1134"/>
                                        </w:tabs>
                                        <w:spacing w:line="276" w:lineRule="auto"/>
                                        <w:ind w:firstLine="851"/>
                                        <w:jc w:val="both"/>
                                        <w:rPr>
                                          <w:rFonts w:eastAsia="Calibri"/>
                                          <w:szCs w:val="24"/>
                                          <w:lang w:eastAsia="lt-LT"/>
                                        </w:rPr>
                                      </w:pPr>
                                      <w:sdt>
                                        <w:sdtPr>
                                          <w:alias w:val="Numeris"/>
                                          <w:tag w:val="nr_bbf1d6847dd441888f8fb5fa9c8c1a09"/>
                                          <w:lock w:val="sdtLocked"/>
                                          <w:richText/>
                                        </w:sdtPr>
                                        <w:sdtContent>
                                          <w:r>
                                            <w:rPr>
                                              <w:rFonts w:eastAsia="Calibri"/>
                                              <w:szCs w:val="24"/>
                                              <w:lang w:eastAsia="lt-LT"/>
                                            </w:rPr>
                                            <w:t>3</w:t>
                                          </w:r>
                                        </w:sdtContent>
                                      </w:sdt>
                                      <w:r>
                                        <w:rPr>
                                          <w:rFonts w:eastAsia="Calibri"/>
                                          <w:szCs w:val="24"/>
                                          <w:lang w:eastAsia="lt-LT"/>
                                        </w:rPr>
                                        <w:t xml:space="preserve">) pilnamečiai vaikai (įvaikiai), kurie mokosi pagal bendrojo ugdymo programą, pirmą kartą įgyja pirmąją kvalifikaciją pagal formaliojo profesinio mokymo programą arba studijuoja aukštojoje mokykloje pagal nuolatinių studijų programą ir pirmą kartą įgyja bakalauro ar magistro laipsnį, iki mokymosi arba studijų pagal šias programas baigimo (išskyrus bendrojo ugdymo programų mokinius, turinčius teisę gauti Respublikos Prezidento našlaičių valstybinę rentą iki tų metų, kuriais jie baigia mokytis pagal šias programas, rugpjūčio 31 d.), bet ne ilgiau, iki jiems sukaks 24 metai. </w:t>
                                      </w:r>
                                    </w:p>
                                  </w:sdtContent>
                                </w:sdt>
                              </w:sdtContent>
                            </w:sdt>
                            <w:sdt>
                              <w:sdtPr>
                                <w:alias w:val="4 str. 2 d."/>
                                <w:tag w:val="part_3152585709b8462b83d6d047dd585418"/>
                                <w:lock w:val="sdtLocked"/>
                                <w:richText/>
                              </w:sdtPr>
                              <w:sdtContent>
                                <w:p>
                                  <w:pPr>
                                    <w:spacing w:line="276" w:lineRule="auto"/>
                                    <w:ind w:firstLine="851"/>
                                    <w:jc w:val="both"/>
                                    <w:rPr>
                                      <w:rFonts w:eastAsia="Calibri"/>
                                      <w:szCs w:val="24"/>
                                      <w:lang w:eastAsia="lt-LT"/>
                                    </w:rPr>
                                  </w:pPr>
                                  <w:sdt>
                                    <w:sdtPr>
                                      <w:alias w:val="Numeris"/>
                                      <w:tag w:val="nr_3152585709b8462b83d6d047dd585418"/>
                                      <w:lock w:val="sdtLocked"/>
                                      <w:richText/>
                                    </w:sdtPr>
                                    <w:sdtContent>
                                      <w:r>
                                        <w:rPr>
                                          <w:rFonts w:eastAsia="Calibri"/>
                                          <w:szCs w:val="24"/>
                                          <w:lang w:eastAsia="lt-LT"/>
                                        </w:rPr>
                                        <w:t>2</w:t>
                                      </w:r>
                                    </w:sdtContent>
                                  </w:sdt>
                                  <w:r>
                                    <w:rPr>
                                      <w:rFonts w:eastAsia="Calibri"/>
                                      <w:szCs w:val="24"/>
                                      <w:lang w:eastAsia="lt-LT"/>
                                    </w:rPr>
                                    <w:t>. Įvaikinus šio straipsnio 1 dalies 1 punkte nurodytus našlaičius, jų teisė gauti Respublikos Prezidento našlaičių valstybinę rentą išlieka.</w:t>
                                  </w:r>
                                </w:p>
                                <w:p>
                                  <w:pPr>
                                    <w:spacing w:line="276" w:lineRule="auto"/>
                                    <w:ind w:firstLine="851"/>
                                    <w:jc w:val="both"/>
                                    <w:rPr>
                                      <w:rFonts w:eastAsia="Calibri"/>
                                      <w:szCs w:val="24"/>
                                      <w:lang w:eastAsia="lt-LT"/>
                                    </w:rPr>
                                  </w:pPr>
                                </w:p>
                              </w:sdtContent>
                            </w:sdt>
                          </w:sdtContent>
                        </w:sdt>
                        <w:sdt>
                          <w:sdtPr>
                            <w:alias w:val="5 str."/>
                            <w:tag w:val="part_0edc9c5170c5463cbe0ba1e2254ff4ae"/>
                            <w:lock w:val="sdtLocked"/>
                            <w:richText/>
                          </w:sdtPr>
                          <w:sdtContent>
                            <w:p>
                              <w:pPr>
                                <w:spacing w:line="276" w:lineRule="auto"/>
                                <w:ind w:left="2127" w:hanging="1276"/>
                                <w:jc w:val="both"/>
                                <w:rPr>
                                  <w:rFonts w:eastAsia="Calibri"/>
                                  <w:b/>
                                  <w:szCs w:val="24"/>
                                  <w:lang w:eastAsia="lt-LT"/>
                                </w:rPr>
                              </w:pPr>
                              <w:sdt>
                                <w:sdtPr>
                                  <w:alias w:val="Numeris"/>
                                  <w:tag w:val="nr_0edc9c5170c5463cbe0ba1e2254ff4ae"/>
                                  <w:lock w:val="sdtLocked"/>
                                  <w:richText/>
                                </w:sdtPr>
                                <w:sdtContent>
                                  <w:r>
                                    <w:rPr>
                                      <w:rFonts w:eastAsia="Calibri"/>
                                      <w:b/>
                                      <w:szCs w:val="24"/>
                                      <w:lang w:eastAsia="lt-LT"/>
                                    </w:rPr>
                                    <w:t>5</w:t>
                                  </w:r>
                                </w:sdtContent>
                              </w:sdt>
                              <w:r>
                                <w:rPr>
                                  <w:rFonts w:eastAsia="Calibri"/>
                                  <w:b/>
                                  <w:szCs w:val="24"/>
                                  <w:lang w:eastAsia="lt-LT"/>
                                </w:rPr>
                                <w:t> straipsnis. </w:t>
                              </w:r>
                              <w:sdt>
                                <w:sdtPr>
                                  <w:alias w:val="Pavadinimas"/>
                                  <w:tag w:val="title_0edc9c5170c5463cbe0ba1e2254ff4ae"/>
                                  <w:lock w:val="sdtLocked"/>
                                  <w:richText/>
                                </w:sdtPr>
                                <w:sdtContent>
                                  <w:r>
                                    <w:rPr>
                                      <w:rFonts w:eastAsia="Calibri"/>
                                      <w:b/>
                                      <w:szCs w:val="24"/>
                                      <w:lang w:eastAsia="lt-LT"/>
                                    </w:rPr>
                                    <w:t xml:space="preserve">Respublikos Prezidento našlaičių valstybinės rentos skyrimo ir mokėjimo sąlygos </w:t>
                                  </w:r>
                                </w:sdtContent>
                              </w:sdt>
                            </w:p>
                            <w:sdt>
                              <w:sdtPr>
                                <w:alias w:val="5 str. 1 d."/>
                                <w:tag w:val="part_75c5dcf23eb841efb7a251b0730a8c96"/>
                                <w:lock w:val="sdtLocked"/>
                                <w:richText/>
                              </w:sdtPr>
                              <w:sdtContent>
                                <w:p>
                                  <w:pPr>
                                    <w:spacing w:line="276" w:lineRule="auto"/>
                                    <w:ind w:firstLine="851"/>
                                    <w:jc w:val="both"/>
                                    <w:rPr>
                                      <w:rFonts w:eastAsia="Calibri"/>
                                      <w:szCs w:val="24"/>
                                      <w:lang w:eastAsia="lt-LT"/>
                                    </w:rPr>
                                  </w:pPr>
                                  <w:sdt>
                                    <w:sdtPr>
                                      <w:alias w:val="Numeris"/>
                                      <w:tag w:val="nr_75c5dcf23eb841efb7a251b0730a8c96"/>
                                      <w:lock w:val="sdtLocked"/>
                                      <w:richText/>
                                    </w:sdtPr>
                                    <w:sdtContent>
                                      <w:r>
                                        <w:rPr>
                                          <w:rFonts w:eastAsia="Calibri"/>
                                          <w:szCs w:val="24"/>
                                          <w:lang w:eastAsia="lt-LT"/>
                                        </w:rPr>
                                        <w:t>1</w:t>
                                      </w:r>
                                    </w:sdtContent>
                                  </w:sdt>
                                  <w:r>
                                    <w:rPr>
                                      <w:rFonts w:eastAsia="Calibri"/>
                                      <w:szCs w:val="24"/>
                                      <w:lang w:eastAsia="lt-LT"/>
                                    </w:rPr>
                                    <w:t>. Respublikos Prezidento</w:t>
                                  </w:r>
                                  <w:r>
                                    <w:rPr>
                                      <w:rFonts w:eastAsia="Calibri"/>
                                      <w:b/>
                                      <w:bCs/>
                                      <w:szCs w:val="24"/>
                                      <w:lang w:eastAsia="lt-LT"/>
                                    </w:rPr>
                                    <w:t xml:space="preserve"> </w:t>
                                  </w:r>
                                  <w:r>
                                    <w:rPr>
                                      <w:rFonts w:eastAsia="Calibri"/>
                                      <w:szCs w:val="24"/>
                                      <w:lang w:eastAsia="lt-LT"/>
                                    </w:rPr>
                                    <w:t>našlaičių valstybinė renta skiriama Respublikos Prezidento našlaičiams, mirus Respublikos Prezidentui, kuriam buvo ar galėjo būti paskirta Respublikos Prezidento valstybinė renta.</w:t>
                                  </w:r>
                                </w:p>
                              </w:sdtContent>
                            </w:sdt>
                            <w:sdt>
                              <w:sdtPr>
                                <w:alias w:val="5 str. 2 d."/>
                                <w:tag w:val="part_1dd010b9d3ad499bbd8fae27684b42f9"/>
                                <w:lock w:val="sdtLocked"/>
                                <w:richText/>
                              </w:sdtPr>
                              <w:sdtContent>
                                <w:p>
                                  <w:pPr>
                                    <w:tabs>
                                      <w:tab w:val="left" w:pos="851"/>
                                    </w:tabs>
                                    <w:spacing w:line="276" w:lineRule="auto"/>
                                    <w:ind w:firstLine="851"/>
                                    <w:jc w:val="both"/>
                                    <w:rPr>
                                      <w:rFonts w:eastAsia="Calibri"/>
                                      <w:szCs w:val="24"/>
                                      <w:lang w:eastAsia="lt-LT"/>
                                    </w:rPr>
                                  </w:pPr>
                                  <w:sdt>
                                    <w:sdtPr>
                                      <w:alias w:val="Numeris"/>
                                      <w:tag w:val="nr_1dd010b9d3ad499bbd8fae27684b42f9"/>
                                      <w:lock w:val="sdtLocked"/>
                                      <w:richText/>
                                    </w:sdtPr>
                                    <w:sdtContent>
                                      <w:r>
                                        <w:rPr>
                                          <w:rFonts w:eastAsia="Calibri"/>
                                          <w:szCs w:val="24"/>
                                          <w:lang w:eastAsia="lt-LT"/>
                                        </w:rPr>
                                        <w:t>2</w:t>
                                      </w:r>
                                    </w:sdtContent>
                                  </w:sdt>
                                  <w:r>
                                    <w:rPr>
                                      <w:rFonts w:eastAsia="Calibri"/>
                                      <w:szCs w:val="24"/>
                                      <w:lang w:eastAsia="lt-LT"/>
                                    </w:rPr>
                                    <w:t>. Respublikos Prezidento našlaičių valstybinė renta skiriama ir mokama Respublikos Prezidento našlaičiams, nepaisant jų gaunamų pensijų ir draudžiamųjų pajamų.</w:t>
                                  </w:r>
                                </w:p>
                                <w:p>
                                  <w:pPr>
                                    <w:spacing w:line="276" w:lineRule="auto"/>
                                    <w:ind w:firstLine="851"/>
                                    <w:jc w:val="both"/>
                                    <w:rPr>
                                      <w:rFonts w:eastAsia="Calibri"/>
                                      <w:szCs w:val="24"/>
                                      <w:lang w:eastAsia="lt-LT"/>
                                    </w:rPr>
                                  </w:pPr>
                                </w:p>
                              </w:sdtContent>
                            </w:sdt>
                          </w:sdtContent>
                        </w:sdt>
                        <w:sdt>
                          <w:sdtPr>
                            <w:alias w:val="6 str."/>
                            <w:tag w:val="part_fc99dc5accdb435ab1fc68c77d972b94"/>
                            <w:lock w:val="sdtLocked"/>
                            <w:richText/>
                          </w:sdtPr>
                          <w:sdtContent>
                            <w:p>
                              <w:pPr>
                                <w:spacing w:line="276" w:lineRule="auto"/>
                                <w:ind w:left="2127" w:hanging="1276"/>
                                <w:jc w:val="both"/>
                                <w:rPr>
                                  <w:rFonts w:eastAsia="Calibri"/>
                                  <w:b/>
                                  <w:szCs w:val="24"/>
                                  <w:lang w:eastAsia="lt-LT"/>
                                </w:rPr>
                              </w:pPr>
                              <w:sdt>
                                <w:sdtPr>
                                  <w:alias w:val="Numeris"/>
                                  <w:tag w:val="nr_fc99dc5accdb435ab1fc68c77d972b94"/>
                                  <w:lock w:val="sdtLocked"/>
                                  <w:richText/>
                                </w:sdtPr>
                                <w:sdtContent>
                                  <w:r>
                                    <w:rPr>
                                      <w:rFonts w:eastAsia="Calibri"/>
                                      <w:b/>
                                      <w:szCs w:val="24"/>
                                      <w:lang w:eastAsia="lt-LT"/>
                                    </w:rPr>
                                    <w:t>6</w:t>
                                  </w:r>
                                </w:sdtContent>
                              </w:sdt>
                              <w:r>
                                <w:rPr>
                                  <w:rFonts w:eastAsia="Calibri"/>
                                  <w:b/>
                                  <w:szCs w:val="24"/>
                                  <w:lang w:eastAsia="lt-LT"/>
                                </w:rPr>
                                <w:t xml:space="preserve"> straipsnis. </w:t>
                              </w:r>
                              <w:sdt>
                                <w:sdtPr>
                                  <w:alias w:val="Pavadinimas"/>
                                  <w:tag w:val="title_fc99dc5accdb435ab1fc68c77d972b94"/>
                                  <w:lock w:val="sdtLocked"/>
                                  <w:richText/>
                                </w:sdtPr>
                                <w:sdtContent>
                                  <w:r>
                                    <w:rPr>
                                      <w:rFonts w:eastAsia="Calibri"/>
                                      <w:b/>
                                      <w:szCs w:val="24"/>
                                      <w:lang w:eastAsia="lt-LT"/>
                                    </w:rPr>
                                    <w:t>Respublikos Prezidento našlaičių valstybinės rentos dydis</w:t>
                                  </w:r>
                                </w:sdtContent>
                              </w:sdt>
                            </w:p>
                            <w:sdt>
                              <w:sdtPr>
                                <w:alias w:val="6 str. 1 d."/>
                                <w:tag w:val="part_33ada779ee8a4dc1a4dcd9cb82f19f00"/>
                                <w:lock w:val="sdtLocked"/>
                                <w:richText/>
                              </w:sdtPr>
                              <w:sdtContent>
                                <w:p>
                                  <w:pPr>
                                    <w:spacing w:line="276" w:lineRule="auto"/>
                                    <w:ind w:firstLine="851"/>
                                    <w:jc w:val="both"/>
                                    <w:rPr>
                                      <w:szCs w:val="24"/>
                                      <w:lang w:eastAsia="lt-LT"/>
                                    </w:rPr>
                                  </w:pPr>
                                  <w:sdt>
                                    <w:sdtPr>
                                      <w:alias w:val="Numeris"/>
                                      <w:tag w:val="nr_33ada779ee8a4dc1a4dcd9cb82f19f00"/>
                                      <w:lock w:val="sdtLocked"/>
                                      <w:richText/>
                                    </w:sdtPr>
                                    <w:sdtContent>
                                      <w:r>
                                        <w:rPr>
                                          <w:szCs w:val="24"/>
                                          <w:lang w:eastAsia="lt-LT"/>
                                        </w:rPr>
                                        <w:t>1</w:t>
                                      </w:r>
                                    </w:sdtContent>
                                  </w:sdt>
                                  <w:r>
                                    <w:rPr>
                                      <w:szCs w:val="24"/>
                                      <w:lang w:eastAsia="lt-LT"/>
                                    </w:rPr>
                                    <w:t xml:space="preserve">. Respublikos Prezidento našlaičių valstybinės rentos dydis yra 25 procentai Respublikos Prezidento valstybinės rentos dydžio, jeigu teisę gauti šią rentą turi vienas našlaitis. Jei tokią teisę turi daugiau našlaičių, kiekvienam skiriama po lygiai, bet ne daugiau kaip po 25 procentus ir visiems kartu ne daugiau kaip 50 procentų viso Respublikos Prezidento valstybinės rentos dydžio. </w:t>
                                  </w:r>
                                </w:p>
                              </w:sdtContent>
                            </w:sdt>
                            <w:sdt>
                              <w:sdtPr>
                                <w:alias w:val="6 str. 2 d."/>
                                <w:tag w:val="part_2e2767569eb64d1b9d33ff8fb93756e6"/>
                                <w:lock w:val="sdtLocked"/>
                                <w:richText/>
                              </w:sdtPr>
                              <w:sdtContent>
                                <w:p>
                                  <w:pPr>
                                    <w:spacing w:line="276" w:lineRule="auto"/>
                                    <w:ind w:firstLine="851"/>
                                    <w:jc w:val="both"/>
                                    <w:rPr>
                                      <w:szCs w:val="24"/>
                                      <w:lang w:eastAsia="lt-LT"/>
                                    </w:rPr>
                                  </w:pPr>
                                  <w:sdt>
                                    <w:sdtPr>
                                      <w:alias w:val="Numeris"/>
                                      <w:tag w:val="nr_2e2767569eb64d1b9d33ff8fb93756e6"/>
                                      <w:lock w:val="sdtLocked"/>
                                      <w:richText/>
                                    </w:sdtPr>
                                    <w:sdtContent>
                                      <w:r>
                                        <w:rPr>
                                          <w:szCs w:val="24"/>
                                          <w:lang w:eastAsia="lt-LT"/>
                                        </w:rPr>
                                        <w:t>2</w:t>
                                      </w:r>
                                    </w:sdtContent>
                                  </w:sdt>
                                  <w:r>
                                    <w:rPr>
                                      <w:szCs w:val="24"/>
                                      <w:lang w:eastAsia="lt-LT"/>
                                    </w:rPr>
                                    <w:t>. Skiriant ir mokant Respublikos Prezidento našlaičių valstybinę rentą, taikomas Respublikos Prezidento valstybinės rentos dydis, nustatytas pagal šio įstatymo 3 straipsnio 2 dalies nuostatas</w:t>
                                  </w:r>
                                  <w:r>
                                    <w:rPr>
                                      <w:sz w:val="22"/>
                                      <w:szCs w:val="22"/>
                                      <w:lang w:eastAsia="lt-LT"/>
                                    </w:rPr>
                                    <w:t>.</w:t>
                                  </w:r>
                                </w:p>
                                <w:p>
                                  <w:pPr>
                                    <w:spacing w:line="276" w:lineRule="auto"/>
                                    <w:ind w:firstLine="851"/>
                                    <w:jc w:val="both"/>
                                    <w:rPr>
                                      <w:rFonts w:eastAsia="Calibri"/>
                                      <w:szCs w:val="24"/>
                                      <w:highlight w:val="yellow"/>
                                      <w:lang w:eastAsia="lt-LT"/>
                                    </w:rPr>
                                  </w:pPr>
                                </w:p>
                              </w:sdtContent>
                            </w:sdt>
                          </w:sdtContent>
                        </w:sdt>
                        <w:sdt>
                          <w:sdtPr>
                            <w:alias w:val="7 str."/>
                            <w:tag w:val="part_e69955d8fddb46788b2bbca0076fbea9"/>
                            <w:lock w:val="sdtLocked"/>
                            <w:richText/>
                          </w:sdtPr>
                          <w:sdtContent>
                            <w:p>
                              <w:pPr>
                                <w:spacing w:line="276" w:lineRule="auto"/>
                                <w:ind w:left="2268" w:hanging="1417"/>
                                <w:jc w:val="both"/>
                                <w:rPr>
                                  <w:rFonts w:eastAsia="Calibri"/>
                                  <w:szCs w:val="24"/>
                                  <w:lang w:eastAsia="lt-LT"/>
                                </w:rPr>
                              </w:pPr>
                              <w:sdt>
                                <w:sdtPr>
                                  <w:alias w:val="Numeris"/>
                                  <w:tag w:val="nr_e69955d8fddb46788b2bbca0076fbea9"/>
                                  <w:lock w:val="sdtLocked"/>
                                  <w:richText/>
                                </w:sdtPr>
                                <w:sdtContent>
                                  <w:r>
                                    <w:rPr>
                                      <w:rFonts w:eastAsia="Calibri"/>
                                      <w:b/>
                                      <w:szCs w:val="24"/>
                                      <w:lang w:eastAsia="lt-LT"/>
                                    </w:rPr>
                                    <w:t>7</w:t>
                                  </w:r>
                                </w:sdtContent>
                              </w:sdt>
                              <w:r>
                                <w:rPr>
                                  <w:rFonts w:eastAsia="Calibri"/>
                                  <w:b/>
                                  <w:szCs w:val="24"/>
                                  <w:lang w:eastAsia="lt-LT"/>
                                </w:rPr>
                                <w:t xml:space="preserve"> straipsnis. </w:t>
                              </w:r>
                              <w:sdt>
                                <w:sdtPr>
                                  <w:alias w:val="Pavadinimas"/>
                                  <w:tag w:val="title_e69955d8fddb46788b2bbca0076fbea9"/>
                                  <w:lock w:val="sdtLocked"/>
                                  <w:richText/>
                                </w:sdtPr>
                                <w:sdtContent>
                                  <w:r>
                                    <w:rPr>
                                      <w:rFonts w:eastAsia="Calibri"/>
                                      <w:b/>
                                      <w:szCs w:val="24"/>
                                      <w:lang w:eastAsia="lt-LT"/>
                                    </w:rPr>
                                    <w:t xml:space="preserve">Respublikos Prezidento valstybinės rentos, Respublikos Prezidento našlaičių valstybinės rentos skyrimo ir mokėjimo tvarka  </w:t>
                                  </w:r>
                                </w:sdtContent>
                              </w:sdt>
                            </w:p>
                            <w:sdt>
                              <w:sdtPr>
                                <w:alias w:val="7 str. 1 d."/>
                                <w:tag w:val="part_c68d7a3bc357498e8657af89d7bad762"/>
                                <w:lock w:val="sdtLocked"/>
                                <w:richText/>
                              </w:sdtPr>
                              <w:sdtContent>
                                <w:p>
                                  <w:pPr>
                                    <w:spacing w:line="276" w:lineRule="auto"/>
                                    <w:ind w:firstLine="851"/>
                                    <w:jc w:val="both"/>
                                    <w:rPr>
                                      <w:szCs w:val="24"/>
                                      <w:lang w:eastAsia="lt-LT"/>
                                    </w:rPr>
                                  </w:pPr>
                                  <w:sdt>
                                    <w:sdtPr>
                                      <w:alias w:val="Numeris"/>
                                      <w:tag w:val="nr_c68d7a3bc357498e8657af89d7bad762"/>
                                      <w:lock w:val="sdtLocked"/>
                                      <w:richText/>
                                    </w:sdtPr>
                                    <w:sdtContent>
                                      <w:r>
                                        <w:rPr>
                                          <w:szCs w:val="24"/>
                                          <w:lang w:eastAsia="lt-LT"/>
                                        </w:rPr>
                                        <w:t>1</w:t>
                                      </w:r>
                                    </w:sdtContent>
                                  </w:sdt>
                                  <w:r>
                                    <w:rPr>
                                      <w:szCs w:val="24"/>
                                      <w:lang w:eastAsia="lt-LT"/>
                                    </w:rPr>
                                    <w:t>. Sprendimą skirti Respublikos Prezidento valstybinę rentą ar Respublikos Prezidento našlaičių valstybinę rentą (toliau kartu – valstybinė renta) priima Lietuvos Respublikos Vyriausybė Lietuvos Respublikos socialinės apsaugos ir darbo ministerijos teikimu.</w:t>
                                  </w:r>
                                </w:p>
                              </w:sdtContent>
                            </w:sdt>
                            <w:sdt>
                              <w:sdtPr>
                                <w:alias w:val="7 str. 2 d."/>
                                <w:tag w:val="part_37926894e30840f188c4f21579216b4e"/>
                                <w:lock w:val="sdtLocked"/>
                                <w:richText/>
                              </w:sdtPr>
                              <w:sdtContent>
                                <w:p>
                                  <w:pPr>
                                    <w:spacing w:line="276" w:lineRule="auto"/>
                                    <w:ind w:firstLine="851"/>
                                    <w:jc w:val="both"/>
                                    <w:rPr>
                                      <w:rFonts w:eastAsia="Calibri"/>
                                      <w:szCs w:val="24"/>
                                      <w:lang w:eastAsia="lt-LT"/>
                                    </w:rPr>
                                  </w:pPr>
                                  <w:sdt>
                                    <w:sdtPr>
                                      <w:alias w:val="Numeris"/>
                                      <w:tag w:val="nr_37926894e30840f188c4f21579216b4e"/>
                                      <w:lock w:val="sdtLocked"/>
                                      <w:richText/>
                                    </w:sdtPr>
                                    <w:sdtContent>
                                      <w:r>
                                        <w:rPr>
                                          <w:szCs w:val="24"/>
                                          <w:lang w:eastAsia="lt-LT"/>
                                        </w:rPr>
                                        <w:t>2</w:t>
                                      </w:r>
                                    </w:sdtContent>
                                  </w:sdt>
                                  <w:r>
                                    <w:rPr>
                                      <w:szCs w:val="24"/>
                                      <w:lang w:eastAsia="lt-LT"/>
                                    </w:rPr>
                                    <w:t xml:space="preserve">. Valstybinė renta skiriama nuo teisės į šią rentą įgijimo dienos. </w:t>
                                  </w:r>
                                  <w:r>
                                    <w:rPr>
                                      <w:rFonts w:eastAsia="Calibri"/>
                                      <w:szCs w:val="24"/>
                                      <w:lang w:eastAsia="lt-LT"/>
                                    </w:rPr>
                                    <w:t>Laiku negauta ar neišmokėta valstybinė renta</w:t>
                                  </w:r>
                                  <w:r>
                                    <w:rPr>
                                      <w:rFonts w:eastAsia="Calibri"/>
                                      <w:b/>
                                      <w:bCs/>
                                      <w:szCs w:val="24"/>
                                      <w:lang w:eastAsia="lt-LT"/>
                                    </w:rPr>
                                    <w:t xml:space="preserve"> </w:t>
                                  </w:r>
                                  <w:r>
                                    <w:rPr>
                                      <w:rFonts w:eastAsia="Calibri"/>
                                      <w:szCs w:val="24"/>
                                      <w:lang w:eastAsia="lt-LT"/>
                                    </w:rPr>
                                    <w:t>išmokama už visą praėjusį laiką nuo teisės ją gauti įgijimo dienos.</w:t>
                                  </w:r>
                                </w:p>
                                <w:p>
                                  <w:pPr>
                                    <w:spacing w:line="276" w:lineRule="auto"/>
                                    <w:ind w:firstLine="851"/>
                                    <w:jc w:val="both"/>
                                    <w:rPr>
                                      <w:szCs w:val="24"/>
                                      <w:lang w:eastAsia="lt-LT"/>
                                    </w:rPr>
                                  </w:pPr>
                                </w:p>
                              </w:sdtContent>
                            </w:sdt>
                            <w:sdt>
                              <w:sdtPr>
                                <w:alias w:val="7 str. 3 d."/>
                                <w:tag w:val="part_c9be106cc2454f45b09ca6393cc40172"/>
                                <w:lock w:val="sdtLocked"/>
                                <w:richText/>
                              </w:sdtPr>
                              <w:sdtContent>
                                <w:p>
                                  <w:pPr>
                                    <w:spacing w:line="276" w:lineRule="auto"/>
                                    <w:ind w:firstLine="851"/>
                                    <w:jc w:val="both"/>
                                    <w:rPr>
                                      <w:szCs w:val="24"/>
                                      <w:lang w:eastAsia="lt-LT"/>
                                    </w:rPr>
                                  </w:pPr>
                                  <w:sdt>
                                    <w:sdtPr>
                                      <w:alias w:val="Numeris"/>
                                      <w:tag w:val="nr_c9be106cc2454f45b09ca6393cc40172"/>
                                      <w:lock w:val="sdtLocked"/>
                                      <w:richText/>
                                    </w:sdtPr>
                                    <w:sdtContent>
                                      <w:r>
                                        <w:rPr>
                                          <w:szCs w:val="24"/>
                                          <w:lang w:eastAsia="lt-LT"/>
                                        </w:rPr>
                                        <w:t>3</w:t>
                                      </w:r>
                                    </w:sdtContent>
                                  </w:sdt>
                                  <w:r>
                                    <w:rPr>
                                      <w:szCs w:val="24"/>
                                      <w:lang w:eastAsia="lt-LT"/>
                                    </w:rPr>
                                    <w:t>. Valstybines rentas iš Lietuvos Respublikos valstybės biudžeto lėšų moka Lietuvos Respublikos Prezidento kanceliarija, vadovaudamasi šiuo įstatymu bei Lietuvos Respublikos Vyriausybės patvirtintais Respublikos Prezidento valstybinės rentos skyrimo ir mokėjimo nuostatais.</w:t>
                                  </w:r>
                                </w:p>
                              </w:sdtContent>
                            </w:sdt>
                            <w:sdt>
                              <w:sdtPr>
                                <w:alias w:val="7 str. 4 d."/>
                                <w:tag w:val="part_4bec49e5548e4b32a6614c977603f0c9"/>
                                <w:lock w:val="sdtLocked"/>
                                <w:richText/>
                              </w:sdtPr>
                              <w:sdtContent>
                                <w:p>
                                  <w:pPr>
                                    <w:spacing w:line="276" w:lineRule="auto"/>
                                    <w:ind w:firstLine="851"/>
                                    <w:jc w:val="both"/>
                                    <w:rPr>
                                      <w:szCs w:val="24"/>
                                      <w:lang w:eastAsia="lt-LT"/>
                                    </w:rPr>
                                  </w:pPr>
                                  <w:sdt>
                                    <w:sdtPr>
                                      <w:alias w:val="Numeris"/>
                                      <w:tag w:val="nr_4bec49e5548e4b32a6614c977603f0c9"/>
                                      <w:lock w:val="sdtLocked"/>
                                      <w:richText/>
                                    </w:sdtPr>
                                    <w:sdtContent>
                                      <w:r>
                                        <w:rPr>
                                          <w:szCs w:val="24"/>
                                          <w:lang w:eastAsia="lt-LT"/>
                                        </w:rPr>
                                        <w:t>4</w:t>
                                      </w:r>
                                    </w:sdtContent>
                                  </w:sdt>
                                  <w:r>
                                    <w:rPr>
                                      <w:szCs w:val="24"/>
                                      <w:lang w:eastAsia="lt-LT"/>
                                    </w:rPr>
                                    <w:t>. Valstybinės rentos mokamos už praėjusį mėnesį.</w:t>
                                  </w:r>
                                </w:p>
                              </w:sdtContent>
                            </w:sdt>
                            <w:sdt>
                              <w:sdtPr>
                                <w:alias w:val="7 str. 5 d."/>
                                <w:tag w:val="part_5e86600de33243148430deda08e2d486"/>
                                <w:lock w:val="sdtLocked"/>
                                <w:richText/>
                              </w:sdtPr>
                              <w:sdtContent>
                                <w:p>
                                  <w:pPr>
                                    <w:spacing w:line="276" w:lineRule="auto"/>
                                    <w:ind w:firstLine="851"/>
                                    <w:jc w:val="both"/>
                                    <w:rPr>
                                      <w:szCs w:val="24"/>
                                      <w:lang w:eastAsia="lt-LT"/>
                                    </w:rPr>
                                  </w:pPr>
                                  <w:sdt>
                                    <w:sdtPr>
                                      <w:alias w:val="Numeris"/>
                                      <w:tag w:val="nr_5e86600de33243148430deda08e2d486"/>
                                      <w:lock w:val="sdtLocked"/>
                                      <w:richText/>
                                    </w:sdtPr>
                                    <w:sdtContent>
                                      <w:r>
                                        <w:rPr>
                                          <w:szCs w:val="24"/>
                                          <w:lang w:eastAsia="lt-LT"/>
                                        </w:rPr>
                                        <w:t>5</w:t>
                                      </w:r>
                                    </w:sdtContent>
                                  </w:sdt>
                                  <w:r>
                                    <w:rPr>
                                      <w:szCs w:val="24"/>
                                      <w:lang w:eastAsia="lt-LT"/>
                                    </w:rPr>
                                    <w:t>. Valstybinės rentos gavėjui mirus, paskirtoji valstybinė renta</w:t>
                                  </w:r>
                                  <w:r>
                                    <w:rPr>
                                      <w:rFonts w:eastAsia="Calibri"/>
                                      <w:b/>
                                      <w:szCs w:val="24"/>
                                      <w:lang w:eastAsia="lt-LT"/>
                                    </w:rPr>
                                    <w:t xml:space="preserve"> </w:t>
                                  </w:r>
                                  <w:r>
                                    <w:rPr>
                                      <w:rFonts w:eastAsia="Calibri"/>
                                      <w:szCs w:val="24"/>
                                      <w:lang w:eastAsia="lt-LT"/>
                                    </w:rPr>
                                    <w:t>jį palaidojusiems asmenims</w:t>
                                  </w:r>
                                  <w:r>
                                    <w:rPr>
                                      <w:szCs w:val="24"/>
                                      <w:lang w:eastAsia="lt-LT"/>
                                    </w:rPr>
                                    <w:t xml:space="preserve"> išmokama už visą tą mėnesį, kurį valstybinės rentos gavėjas mirė, jei ji dar nebuvo išmokėta. </w:t>
                                  </w:r>
                                </w:p>
                              </w:sdtContent>
                            </w:sdt>
                            <w:sdt>
                              <w:sdtPr>
                                <w:alias w:val="7 str. 6 d."/>
                                <w:tag w:val="part_eac96f3ef9184284b683f538827d5f56"/>
                                <w:lock w:val="sdtLocked"/>
                                <w:richText/>
                              </w:sdtPr>
                              <w:sdtContent>
                                <w:p>
                                  <w:pPr>
                                    <w:spacing w:line="276" w:lineRule="auto"/>
                                    <w:ind w:firstLine="851"/>
                                    <w:jc w:val="both"/>
                                    <w:rPr>
                                      <w:szCs w:val="24"/>
                                      <w:lang w:eastAsia="lt-LT"/>
                                    </w:rPr>
                                  </w:pPr>
                                  <w:sdt>
                                    <w:sdtPr>
                                      <w:alias w:val="Numeris"/>
                                      <w:tag w:val="nr_eac96f3ef9184284b683f538827d5f56"/>
                                      <w:lock w:val="sdtLocked"/>
                                      <w:richText/>
                                    </w:sdtPr>
                                    <w:sdtContent>
                                      <w:r>
                                        <w:rPr>
                                          <w:szCs w:val="24"/>
                                          <w:lang w:eastAsia="lt-LT"/>
                                        </w:rPr>
                                        <w:t>6</w:t>
                                      </w:r>
                                    </w:sdtContent>
                                  </w:sdt>
                                  <w:r>
                                    <w:rPr>
                                      <w:szCs w:val="24"/>
                                      <w:lang w:eastAsia="lt-LT"/>
                                    </w:rPr>
                                    <w:t xml:space="preserve">. Jeigu asmeniui įsiteisėja apkaltinamasis teismo nuosprendis, kuriuo jis pripažintas kaltu už tyčinio nusikaltimo padarymą (neatsižvelgiant į atleidimą nuo bausmės atlikimo, vėlesnį teistumo išnykimą ar panaikinimą), valstybinė renta neskiriama, o paskirtoji nemokama.  </w:t>
                                  </w:r>
                                </w:p>
                              </w:sdtContent>
                            </w:sdt>
                            <w:sdt>
                              <w:sdtPr>
                                <w:alias w:val="7 str. 7 d."/>
                                <w:tag w:val="part_6e0e7ae13c7148e1894b1c3b28ad163a"/>
                                <w:lock w:val="sdtLocked"/>
                                <w:richText/>
                              </w:sdtPr>
                              <w:sdtContent>
                                <w:p>
                                  <w:pPr>
                                    <w:spacing w:line="276" w:lineRule="auto"/>
                                    <w:ind w:firstLine="851"/>
                                    <w:jc w:val="both"/>
                                    <w:rPr>
                                      <w:szCs w:val="24"/>
                                      <w:lang w:eastAsia="lt-LT"/>
                                    </w:rPr>
                                  </w:pPr>
                                  <w:sdt>
                                    <w:sdtPr>
                                      <w:alias w:val="Numeris"/>
                                      <w:tag w:val="nr_6e0e7ae13c7148e1894b1c3b28ad163a"/>
                                      <w:lock w:val="sdtLocked"/>
                                      <w:richText/>
                                    </w:sdtPr>
                                    <w:sdtContent>
                                      <w:r>
                                        <w:rPr>
                                          <w:szCs w:val="24"/>
                                          <w:lang w:eastAsia="lt-LT"/>
                                        </w:rPr>
                                        <w:t>7</w:t>
                                      </w:r>
                                    </w:sdtContent>
                                  </w:sdt>
                                  <w:r>
                                    <w:rPr>
                                      <w:szCs w:val="24"/>
                                      <w:lang w:eastAsia="lt-LT"/>
                                    </w:rPr>
                                    <w:t>. Valstybinės rentos gavėjas, kuris neteko Lietuvos Respublikos pilietybės, arba kurio atžvilgiu įsiteisėjo apkaltinamasis teismo nuosprendis, kuriuo valstybinės rentos gavėjas pripažintas kaltu dėl tyčinio nusikaltimo padarymo, taip pat Respublikos Prezidento našlaitis, nebeatitinkantis šio įstatymo 4 straipsnio 1 dalyje nurodytų sąlygų, privalo per 10 darbo dienų nuo tokių aplinkybių atsiradimo apie jas pranešti Lietuvos Respublikos Prezidento kanceliarijai. Jeigu apie tokias aplinkybes laiku nepranešama, permokėta suma išieškoma įstatymų nustatyta tvarka.</w:t>
                                  </w:r>
                                </w:p>
                                <w:p>
                                  <w:pPr>
                                    <w:spacing w:line="276" w:lineRule="auto"/>
                                    <w:ind w:firstLine="851"/>
                                    <w:jc w:val="both"/>
                                    <w:rPr>
                                      <w:rFonts w:eastAsia="Calibri"/>
                                      <w:b/>
                                      <w:szCs w:val="24"/>
                                      <w:lang w:eastAsia="lt-LT"/>
                                    </w:rPr>
                                  </w:pPr>
                                </w:p>
                              </w:sdtContent>
                            </w:sdt>
                          </w:sdtContent>
                        </w:sdt>
                        <w:sdt>
                          <w:sdtPr>
                            <w:alias w:val="8 str."/>
                            <w:tag w:val="part_3de827a78af7425fa5d7aaff0674b89f"/>
                            <w:lock w:val="sdtLocked"/>
                            <w:richText/>
                          </w:sdtPr>
                          <w:sdtContent>
                            <w:p>
                              <w:pPr>
                                <w:spacing w:line="276" w:lineRule="auto"/>
                                <w:ind w:left="2268" w:hanging="1417"/>
                                <w:jc w:val="both"/>
                                <w:rPr>
                                  <w:rFonts w:eastAsia="Calibri"/>
                                  <w:szCs w:val="24"/>
                                  <w:lang w:eastAsia="lt-LT"/>
                                </w:rPr>
                              </w:pPr>
                              <w:sdt>
                                <w:sdtPr>
                                  <w:alias w:val="Numeris"/>
                                  <w:tag w:val="nr_3de827a78af7425fa5d7aaff0674b89f"/>
                                  <w:lock w:val="sdtLocked"/>
                                  <w:richText/>
                                </w:sdtPr>
                                <w:sdtContent>
                                  <w:r>
                                    <w:rPr>
                                      <w:rFonts w:eastAsia="Calibri"/>
                                      <w:b/>
                                      <w:bCs/>
                                      <w:color w:val="000000"/>
                                      <w:szCs w:val="24"/>
                                      <w:lang w:eastAsia="lt-LT"/>
                                    </w:rPr>
                                    <w:t>8</w:t>
                                  </w:r>
                                </w:sdtContent>
                              </w:sdt>
                              <w:r>
                                <w:rPr>
                                  <w:rFonts w:eastAsia="Calibri"/>
                                  <w:b/>
                                  <w:bCs/>
                                  <w:color w:val="000000"/>
                                  <w:szCs w:val="24"/>
                                  <w:lang w:eastAsia="lt-LT"/>
                                </w:rPr>
                                <w:t xml:space="preserve"> straipsnis. </w:t>
                              </w:r>
                              <w:sdt>
                                <w:sdtPr>
                                  <w:alias w:val="Pavadinimas"/>
                                  <w:tag w:val="title_3de827a78af7425fa5d7aaff0674b89f"/>
                                  <w:lock w:val="sdtLocked"/>
                                  <w:richText/>
                                </w:sdtPr>
                                <w:sdtContent>
                                  <w:r>
                                    <w:rPr>
                                      <w:rFonts w:eastAsia="Calibri"/>
                                      <w:b/>
                                      <w:bCs/>
                                      <w:szCs w:val="24"/>
                                      <w:lang w:eastAsia="lt-LT"/>
                                    </w:rPr>
                                    <w:t>Valstybinės rentos mokėjimas jos gavėjui išvykus nuolat gyventi į užsienį </w:t>
                                  </w:r>
                                </w:sdtContent>
                              </w:sdt>
                            </w:p>
                            <w:sdt>
                              <w:sdtPr>
                                <w:alias w:val="8 str. 1 d."/>
                                <w:tag w:val="part_2102b2799d7d48c4a99dbd1e32a96454"/>
                                <w:lock w:val="sdtLocked"/>
                                <w:richText/>
                              </w:sdtPr>
                              <w:sdtContent>
                                <w:p>
                                  <w:pPr>
                                    <w:overflowPunct w:val="0"/>
                                    <w:spacing w:line="276" w:lineRule="auto"/>
                                    <w:ind w:firstLine="851"/>
                                    <w:jc w:val="both"/>
                                    <w:rPr>
                                      <w:rFonts w:eastAsia="Calibri"/>
                                      <w:szCs w:val="24"/>
                                      <w:lang w:val="x-none" w:eastAsia="x-none"/>
                                    </w:rPr>
                                  </w:pPr>
                                  <w:r>
                                    <w:rPr>
                                      <w:rFonts w:eastAsia="Calibri"/>
                                      <w:szCs w:val="24"/>
                                      <w:lang w:val="x-none" w:eastAsia="x-none"/>
                                    </w:rPr>
                                    <w:t xml:space="preserve">Valstybinės rentos gavėjui išvykus nuolat gyventi į užsienį, valstybinė renta mokama vadovaujantis šiuo įstatymu bei </w:t>
                                  </w:r>
                                  <w:r>
                                    <w:rPr>
                                      <w:szCs w:val="24"/>
                                      <w:lang w:val="x-none" w:eastAsia="x-none"/>
                                    </w:rPr>
                                    <w:t xml:space="preserve">Lietuvos Respublikos </w:t>
                                  </w:r>
                                  <w:r>
                                    <w:rPr>
                                      <w:rFonts w:eastAsia="Calibri"/>
                                      <w:szCs w:val="24"/>
                                      <w:lang w:val="x-none" w:eastAsia="x-none"/>
                                    </w:rPr>
                                    <w:t xml:space="preserve">Vyriausybės patvirtintais Respublikos Prezidento valstybinės rentos skyrimo ir mokėjimo nuostatais.“ </w:t>
                                  </w:r>
                                </w:p>
                                <w:p>
                                  <w:pPr>
                                    <w:rPr>
                                      <w:sz w:val="10"/>
                                      <w:szCs w:val="10"/>
                                    </w:rPr>
                                  </w:pPr>
                                </w:p>
                                <w:p>
                                  <w:pPr>
                                    <w:spacing w:line="276" w:lineRule="auto"/>
                                    <w:ind w:firstLine="851"/>
                                    <w:jc w:val="both"/>
                                    <w:rPr>
                                      <w:rFonts w:eastAsia="Calibri"/>
                                      <w:b/>
                                      <w:szCs w:val="24"/>
                                      <w:lang w:eastAsia="lt-LT"/>
                                    </w:rPr>
                                  </w:pPr>
                                </w:p>
                              </w:sdtContent>
                            </w:sdt>
                          </w:sdtContent>
                        </w:sdt>
                      </w:sdtContent>
                    </w:sdt>
                  </w:sdtContent>
                </w:sdt>
              </w:sdtContent>
            </w:sdt>
          </w:sdtContent>
        </w:sdt>
        <w:sdt>
          <w:sdtPr>
            <w:alias w:val="2 str."/>
            <w:tag w:val="part_46d0f2de8f034c78b647c115a3550848"/>
            <w:lock w:val="sdtLocked"/>
            <w:richText/>
          </w:sdtPr>
          <w:sdtContent>
            <w:p>
              <w:pPr>
                <w:spacing w:line="276" w:lineRule="auto"/>
                <w:ind w:firstLine="851"/>
                <w:jc w:val="both"/>
                <w:rPr>
                  <w:rFonts w:eastAsia="Calibri"/>
                  <w:b/>
                  <w:szCs w:val="24"/>
                  <w:lang w:eastAsia="lt-LT"/>
                </w:rPr>
              </w:pPr>
              <w:sdt>
                <w:sdtPr>
                  <w:alias w:val="Numeris"/>
                  <w:tag w:val="nr_46d0f2de8f034c78b647c115a3550848"/>
                  <w:lock w:val="sdtLocked"/>
                  <w:richText/>
                </w:sdtPr>
                <w:sdtContent>
                  <w:r>
                    <w:rPr>
                      <w:rFonts w:eastAsia="Calibri"/>
                      <w:b/>
                      <w:szCs w:val="24"/>
                      <w:lang w:eastAsia="lt-LT"/>
                    </w:rPr>
                    <w:t>2</w:t>
                  </w:r>
                </w:sdtContent>
              </w:sdt>
              <w:r>
                <w:rPr>
                  <w:rFonts w:eastAsia="Calibri"/>
                  <w:b/>
                  <w:szCs w:val="24"/>
                  <w:lang w:eastAsia="lt-LT"/>
                </w:rPr>
                <w:t xml:space="preserve"> straipsnis. </w:t>
              </w:r>
              <w:sdt>
                <w:sdtPr>
                  <w:alias w:val="Pavadinimas"/>
                  <w:tag w:val="title_46d0f2de8f034c78b647c115a3550848"/>
                  <w:lock w:val="sdtLocked"/>
                  <w:richText/>
                </w:sdtPr>
                <w:sdtContent>
                  <w:r>
                    <w:rPr>
                      <w:rFonts w:eastAsia="Calibri"/>
                      <w:b/>
                      <w:szCs w:val="24"/>
                      <w:lang w:eastAsia="lt-LT"/>
                    </w:rPr>
                    <w:t xml:space="preserve">Įstatymo įsigaliojimas ir įgyvendinimas </w:t>
                  </w:r>
                </w:sdtContent>
              </w:sdt>
            </w:p>
            <w:sdt>
              <w:sdtPr>
                <w:alias w:val="2 str. 1 d."/>
                <w:tag w:val="part_d1c7b3eaa8d5406b881925270f955142"/>
                <w:lock w:val="sdtLocked"/>
                <w:richText/>
              </w:sdtPr>
              <w:sdtContent>
                <w:p>
                  <w:pPr>
                    <w:tabs>
                      <w:tab w:val="left" w:pos="851"/>
                    </w:tabs>
                    <w:spacing w:line="276" w:lineRule="auto"/>
                    <w:ind w:left="851"/>
                    <w:rPr>
                      <w:rFonts w:eastAsia="Calibri"/>
                      <w:szCs w:val="24"/>
                      <w:lang w:eastAsia="lt-LT"/>
                    </w:rPr>
                  </w:pPr>
                  <w:sdt>
                    <w:sdtPr>
                      <w:alias w:val="Numeris"/>
                      <w:tag w:val="nr_d1c7b3eaa8d5406b881925270f955142"/>
                      <w:lock w:val="sdtLocked"/>
                      <w:richText/>
                    </w:sdtPr>
                    <w:sdtContent>
                      <w:r>
                        <w:rPr>
                          <w:rFonts w:eastAsia="Calibri"/>
                          <w:szCs w:val="24"/>
                          <w:lang w:eastAsia="lt-LT"/>
                        </w:rPr>
                        <w:t>1</w:t>
                      </w:r>
                    </w:sdtContent>
                  </w:sdt>
                  <w:r>
                    <w:rPr>
                      <w:rFonts w:eastAsia="Calibri"/>
                      <w:szCs w:val="24"/>
                      <w:lang w:eastAsia="lt-LT"/>
                    </w:rPr>
                    <w:t>. Šis įstatymas, išskyrus šio straipsnio 2 dalį, įsigalioja 2016 m. liepos 1 d.</w:t>
                  </w:r>
                </w:p>
              </w:sdtContent>
            </w:sdt>
            <w:sdt>
              <w:sdtPr>
                <w:alias w:val="2 str. 2 d."/>
                <w:tag w:val="part_3560a699d5b1400b8c67e90beca2533c"/>
                <w:lock w:val="sdtLocked"/>
                <w:richText/>
              </w:sdtPr>
              <w:sdtContent>
                <w:p>
                  <w:pPr>
                    <w:tabs>
                      <w:tab w:val="left" w:pos="567"/>
                    </w:tabs>
                    <w:spacing w:line="276" w:lineRule="auto"/>
                    <w:ind w:firstLine="851"/>
                    <w:jc w:val="both"/>
                    <w:rPr>
                      <w:rFonts w:eastAsia="Calibri"/>
                      <w:szCs w:val="24"/>
                      <w:lang w:eastAsia="lt-LT"/>
                    </w:rPr>
                  </w:pPr>
                  <w:sdt>
                    <w:sdtPr>
                      <w:alias w:val="Numeris"/>
                      <w:tag w:val="nr_3560a699d5b1400b8c67e90beca2533c"/>
                      <w:lock w:val="sdtLocked"/>
                      <w:richText/>
                    </w:sdtPr>
                    <w:sdtContent>
                      <w:r>
                        <w:rPr>
                          <w:rFonts w:eastAsia="Calibri"/>
                          <w:szCs w:val="24"/>
                          <w:lang w:eastAsia="lt-LT"/>
                        </w:rPr>
                        <w:t>2</w:t>
                      </w:r>
                    </w:sdtContent>
                  </w:sdt>
                  <w:r>
                    <w:rPr>
                      <w:rFonts w:eastAsia="Calibri"/>
                      <w:szCs w:val="24"/>
                      <w:lang w:eastAsia="lt-LT"/>
                    </w:rPr>
                    <w:t>. Lietuvos Respublikos Vyriausybė iki šio įstatymo įsigaliojimo priima šio įstatymo įgyvendinamuosius teisės aktus.</w:t>
                  </w:r>
                </w:p>
                <w:p>
                  <w:pPr>
                    <w:spacing w:line="276" w:lineRule="auto"/>
                    <w:ind w:firstLine="913"/>
                    <w:jc w:val="both"/>
                    <w:rPr>
                      <w:rFonts w:eastAsia="Calibri"/>
                      <w:szCs w:val="24"/>
                      <w:lang w:eastAsia="lt-LT"/>
                    </w:rPr>
                  </w:pPr>
                </w:p>
              </w:sdtContent>
            </w:sdt>
          </w:sdtContent>
        </w:sdt>
        <w:sdt>
          <w:sdtPr>
            <w:alias w:val="signatura"/>
            <w:tag w:val="part_136dd1098ac84be4baa62f16c5726d6d"/>
            <w:lock w:val="sdtLocked"/>
            <w:richText/>
          </w:sdtPr>
          <w:sdtContent>
            <w:p>
              <w:pPr>
                <w:spacing w:line="276" w:lineRule="auto"/>
                <w:ind w:firstLine="851"/>
                <w:jc w:val="both"/>
                <w:rPr>
                  <w:rFonts w:eastAsia="Calibri"/>
                  <w:i/>
                  <w:szCs w:val="24"/>
                  <w:lang w:eastAsia="lt-LT"/>
                </w:rPr>
              </w:pPr>
              <w:r>
                <w:rPr>
                  <w:rFonts w:eastAsia="Calibri"/>
                  <w:i/>
                  <w:szCs w:val="24"/>
                  <w:lang w:eastAsia="lt-LT"/>
                </w:rPr>
                <w:t>Skelbiu šį Lietuvos Respublikos Seimo priimtą įstatymą.</w:t>
              </w:r>
            </w:p>
            <w:p>
              <w:pPr>
                <w:spacing w:line="276" w:lineRule="auto"/>
                <w:ind w:firstLine="1260"/>
                <w:jc w:val="both"/>
                <w:rPr>
                  <w:rFonts w:eastAsia="Calibri"/>
                  <w:szCs w:val="24"/>
                  <w:lang w:eastAsia="lt-LT"/>
                </w:rPr>
              </w:pPr>
            </w:p>
            <w:p>
              <w:pPr>
                <w:spacing w:line="276" w:lineRule="auto"/>
                <w:jc w:val="both"/>
                <w:rPr>
                  <w:rFonts w:eastAsia="Calibri"/>
                  <w:i/>
                  <w:szCs w:val="24"/>
                  <w:lang w:eastAsia="lt-LT"/>
                </w:rPr>
              </w:pPr>
              <w:r>
                <w:rPr>
                  <w:rFonts w:eastAsia="Calibri"/>
                  <w:szCs w:val="24"/>
                  <w:lang w:eastAsia="lt-LT"/>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eastAsia="Calibri" w:hAnsi="Calibri"/>
          <w:sz w:val="22"/>
          <w:szCs w:val="22"/>
          <w:lang w:eastAsia="lt-LT"/>
        </w:rPr>
      </w:pPr>
      <w:r>
        <w:rPr>
          <w:rFonts w:ascii="Calibri" w:eastAsia="Calibri" w:hAnsi="Calibri"/>
          <w:sz w:val="22"/>
          <w:szCs w:val="22"/>
          <w:lang w:eastAsia="lt-LT"/>
        </w:rPr>
        <w:separator/>
      </w:r>
    </w:p>
  </w:endnote>
  <w:endnote w:type="continuationSeparator" w:id="0">
    <w:p>
      <w:pPr>
        <w:rPr>
          <w:rFonts w:ascii="Calibri" w:eastAsia="Calibri" w:hAnsi="Calibri"/>
          <w:sz w:val="22"/>
          <w:szCs w:val="22"/>
          <w:lang w:eastAsia="lt-LT"/>
        </w:rPr>
      </w:pPr>
      <w:r>
        <w:rPr>
          <w:rFonts w:ascii="Calibri" w:eastAsia="Calibri" w:hAnsi="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lang w:val="x-none" w:eastAsia="x-none"/>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lang w:val="x-none" w:eastAsia="x-none"/>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lang w:val="x-none" w:eastAsia="x-none"/>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eastAsia="Calibri" w:hAnsi="Calibri"/>
          <w:sz w:val="22"/>
          <w:szCs w:val="22"/>
          <w:lang w:eastAsia="lt-LT"/>
        </w:rPr>
      </w:pPr>
      <w:r>
        <w:rPr>
          <w:rFonts w:ascii="Calibri" w:eastAsia="Calibri" w:hAnsi="Calibri"/>
          <w:sz w:val="22"/>
          <w:szCs w:val="22"/>
          <w:lang w:eastAsia="lt-LT"/>
        </w:rPr>
        <w:separator/>
      </w:r>
    </w:p>
  </w:footnote>
  <w:footnote w:type="continuationSeparator" w:id="0">
    <w:p>
      <w:pPr>
        <w:rPr>
          <w:rFonts w:ascii="Calibri" w:eastAsia="Calibri" w:hAnsi="Calibri"/>
          <w:sz w:val="22"/>
          <w:szCs w:val="22"/>
          <w:lang w:eastAsia="lt-LT"/>
        </w:rPr>
      </w:pPr>
      <w:r>
        <w:rPr>
          <w:rFonts w:ascii="Calibri" w:eastAsia="Calibri" w:hAnsi="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lang w:val="x-none" w:eastAsia="x-none"/>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eastAsia="Calibri"/>
        <w:sz w:val="22"/>
        <w:szCs w:val="22"/>
        <w:lang w:val="x-none" w:eastAsia="x-none"/>
      </w:rPr>
    </w:pPr>
    <w:r>
      <w:rPr>
        <w:rFonts w:eastAsia="Calibri"/>
        <w:sz w:val="22"/>
        <w:szCs w:val="22"/>
        <w:lang w:val="x-none" w:eastAsia="x-none"/>
      </w:rPr>
      <w:fldChar w:fldCharType="begin"/>
    </w:r>
    <w:r>
      <w:rPr>
        <w:rFonts w:eastAsia="Calibri"/>
        <w:sz w:val="22"/>
        <w:szCs w:val="22"/>
        <w:lang w:val="x-none" w:eastAsia="x-none"/>
      </w:rPr>
      <w:instrText>PAGE   \* MERGEFORMAT</w:instrText>
    </w:r>
    <w:r>
      <w:rPr>
        <w:rFonts w:eastAsia="Calibri"/>
        <w:sz w:val="22"/>
        <w:szCs w:val="22"/>
        <w:lang w:val="x-none" w:eastAsia="x-none"/>
      </w:rPr>
      <w:fldChar w:fldCharType="separate"/>
    </w:r>
    <w:r>
      <w:rPr>
        <w:rFonts w:eastAsia="Calibri"/>
        <w:sz w:val="22"/>
        <w:szCs w:val="22"/>
        <w:lang w:eastAsia="x-none"/>
      </w:rPr>
      <w:t>3</w:t>
    </w:r>
    <w:r>
      <w:rPr>
        <w:rFonts w:eastAsia="Calibri"/>
        <w:sz w:val="22"/>
        <w:szCs w:val="22"/>
        <w:lang w:val="x-none" w:eastAsia="x-none"/>
      </w:rPr>
      <w:fldChar w:fldCharType="end"/>
    </w:r>
  </w:p>
  <w:p>
    <w:pPr>
      <w:rPr>
        <w:rFonts w:ascii="Calibri" w:eastAsia="Calibri" w:hAnsi="Calibri"/>
        <w:sz w:val="22"/>
        <w:szCs w:val="22"/>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8"/>
  <w:hyphenationZone w:val="396"/>
  <w:doNotHyphenateCaps/>
  <w:drawingGridHorizontalSpacing w:val="110"/>
  <w:displayHorizontalDrawingGridEvery w:val="2"/>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16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8070572">
      <w:bodyDiv w:val="1"/>
      <w:marLeft w:val="0"/>
      <w:marRight w:val="0"/>
      <w:marTop w:val="0"/>
      <w:marBottom w:val="0"/>
      <w:divBdr>
        <w:top w:val="none" w:sz="0" w:space="0" w:color="auto"/>
        <w:left w:val="none" w:sz="0" w:space="0" w:color="auto"/>
        <w:bottom w:val="none" w:sz="0" w:space="0" w:color="auto"/>
        <w:right w:val="none" w:sz="0" w:space="0" w:color="auto"/>
      </w:divBdr>
    </w:div>
    <w:div w:id="77530731">
      <w:bodyDiv w:val="1"/>
      <w:marLeft w:val="0"/>
      <w:marRight w:val="0"/>
      <w:marTop w:val="0"/>
      <w:marBottom w:val="0"/>
      <w:divBdr>
        <w:top w:val="none" w:sz="0" w:space="0" w:color="auto"/>
        <w:left w:val="none" w:sz="0" w:space="0" w:color="auto"/>
        <w:bottom w:val="none" w:sz="0" w:space="0" w:color="auto"/>
        <w:right w:val="none" w:sz="0" w:space="0" w:color="auto"/>
      </w:divBdr>
    </w:div>
    <w:div w:id="93551651">
      <w:bodyDiv w:val="1"/>
      <w:marLeft w:val="0"/>
      <w:marRight w:val="0"/>
      <w:marTop w:val="0"/>
      <w:marBottom w:val="0"/>
      <w:divBdr>
        <w:top w:val="none" w:sz="0" w:space="0" w:color="auto"/>
        <w:left w:val="none" w:sz="0" w:space="0" w:color="auto"/>
        <w:bottom w:val="none" w:sz="0" w:space="0" w:color="auto"/>
        <w:right w:val="none" w:sz="0" w:space="0" w:color="auto"/>
      </w:divBdr>
    </w:div>
    <w:div w:id="132258999">
      <w:bodyDiv w:val="1"/>
      <w:marLeft w:val="0"/>
      <w:marRight w:val="0"/>
      <w:marTop w:val="0"/>
      <w:marBottom w:val="0"/>
      <w:divBdr>
        <w:top w:val="none" w:sz="0" w:space="0" w:color="auto"/>
        <w:left w:val="none" w:sz="0" w:space="0" w:color="auto"/>
        <w:bottom w:val="none" w:sz="0" w:space="0" w:color="auto"/>
        <w:right w:val="none" w:sz="0" w:space="0" w:color="auto"/>
      </w:divBdr>
    </w:div>
    <w:div w:id="134571495">
      <w:bodyDiv w:val="1"/>
      <w:marLeft w:val="0"/>
      <w:marRight w:val="0"/>
      <w:marTop w:val="0"/>
      <w:marBottom w:val="0"/>
      <w:divBdr>
        <w:top w:val="none" w:sz="0" w:space="0" w:color="auto"/>
        <w:left w:val="none" w:sz="0" w:space="0" w:color="auto"/>
        <w:bottom w:val="none" w:sz="0" w:space="0" w:color="auto"/>
        <w:right w:val="none" w:sz="0" w:space="0" w:color="auto"/>
      </w:divBdr>
    </w:div>
    <w:div w:id="223374295">
      <w:bodyDiv w:val="1"/>
      <w:marLeft w:val="0"/>
      <w:marRight w:val="0"/>
      <w:marTop w:val="0"/>
      <w:marBottom w:val="0"/>
      <w:divBdr>
        <w:top w:val="none" w:sz="0" w:space="0" w:color="auto"/>
        <w:left w:val="none" w:sz="0" w:space="0" w:color="auto"/>
        <w:bottom w:val="none" w:sz="0" w:space="0" w:color="auto"/>
        <w:right w:val="none" w:sz="0" w:space="0" w:color="auto"/>
      </w:divBdr>
    </w:div>
    <w:div w:id="258685882">
      <w:bodyDiv w:val="1"/>
      <w:marLeft w:val="0"/>
      <w:marRight w:val="0"/>
      <w:marTop w:val="0"/>
      <w:marBottom w:val="0"/>
      <w:divBdr>
        <w:top w:val="none" w:sz="0" w:space="0" w:color="auto"/>
        <w:left w:val="none" w:sz="0" w:space="0" w:color="auto"/>
        <w:bottom w:val="none" w:sz="0" w:space="0" w:color="auto"/>
        <w:right w:val="none" w:sz="0" w:space="0" w:color="auto"/>
      </w:divBdr>
    </w:div>
    <w:div w:id="271398496">
      <w:bodyDiv w:val="1"/>
      <w:marLeft w:val="0"/>
      <w:marRight w:val="0"/>
      <w:marTop w:val="0"/>
      <w:marBottom w:val="0"/>
      <w:divBdr>
        <w:top w:val="none" w:sz="0" w:space="0" w:color="auto"/>
        <w:left w:val="none" w:sz="0" w:space="0" w:color="auto"/>
        <w:bottom w:val="none" w:sz="0" w:space="0" w:color="auto"/>
        <w:right w:val="none" w:sz="0" w:space="0" w:color="auto"/>
      </w:divBdr>
    </w:div>
    <w:div w:id="292297907">
      <w:bodyDiv w:val="1"/>
      <w:marLeft w:val="0"/>
      <w:marRight w:val="0"/>
      <w:marTop w:val="0"/>
      <w:marBottom w:val="0"/>
      <w:divBdr>
        <w:top w:val="none" w:sz="0" w:space="0" w:color="auto"/>
        <w:left w:val="none" w:sz="0" w:space="0" w:color="auto"/>
        <w:bottom w:val="none" w:sz="0" w:space="0" w:color="auto"/>
        <w:right w:val="none" w:sz="0" w:space="0" w:color="auto"/>
      </w:divBdr>
    </w:div>
    <w:div w:id="314116426">
      <w:bodyDiv w:val="1"/>
      <w:marLeft w:val="0"/>
      <w:marRight w:val="0"/>
      <w:marTop w:val="0"/>
      <w:marBottom w:val="0"/>
      <w:divBdr>
        <w:top w:val="none" w:sz="0" w:space="0" w:color="auto"/>
        <w:left w:val="none" w:sz="0" w:space="0" w:color="auto"/>
        <w:bottom w:val="none" w:sz="0" w:space="0" w:color="auto"/>
        <w:right w:val="none" w:sz="0" w:space="0" w:color="auto"/>
      </w:divBdr>
    </w:div>
    <w:div w:id="344291344">
      <w:bodyDiv w:val="1"/>
      <w:marLeft w:val="180"/>
      <w:marRight w:val="180"/>
      <w:marTop w:val="0"/>
      <w:marBottom w:val="0"/>
      <w:divBdr>
        <w:top w:val="none" w:sz="0" w:space="0" w:color="auto"/>
        <w:left w:val="none" w:sz="0" w:space="0" w:color="auto"/>
        <w:bottom w:val="none" w:sz="0" w:space="0" w:color="auto"/>
        <w:right w:val="none" w:sz="0" w:space="0" w:color="auto"/>
      </w:divBdr>
      <w:divsChild>
        <w:div w:id="554972841">
          <w:marLeft w:val="0"/>
          <w:marRight w:val="0"/>
          <w:marTop w:val="0"/>
          <w:marBottom w:val="0"/>
          <w:divBdr>
            <w:top w:val="none" w:sz="0" w:space="0" w:color="auto"/>
            <w:left w:val="none" w:sz="0" w:space="0" w:color="auto"/>
            <w:bottom w:val="none" w:sz="0" w:space="0" w:color="auto"/>
            <w:right w:val="none" w:sz="0" w:space="0" w:color="auto"/>
          </w:divBdr>
        </w:div>
      </w:divsChild>
    </w:div>
    <w:div w:id="348458999">
      <w:bodyDiv w:val="1"/>
      <w:marLeft w:val="0"/>
      <w:marRight w:val="0"/>
      <w:marTop w:val="0"/>
      <w:marBottom w:val="0"/>
      <w:divBdr>
        <w:top w:val="none" w:sz="0" w:space="0" w:color="auto"/>
        <w:left w:val="none" w:sz="0" w:space="0" w:color="auto"/>
        <w:bottom w:val="none" w:sz="0" w:space="0" w:color="auto"/>
        <w:right w:val="none" w:sz="0" w:space="0" w:color="auto"/>
      </w:divBdr>
    </w:div>
    <w:div w:id="354625170">
      <w:bodyDiv w:val="1"/>
      <w:marLeft w:val="0"/>
      <w:marRight w:val="0"/>
      <w:marTop w:val="0"/>
      <w:marBottom w:val="0"/>
      <w:divBdr>
        <w:top w:val="none" w:sz="0" w:space="0" w:color="auto"/>
        <w:left w:val="none" w:sz="0" w:space="0" w:color="auto"/>
        <w:bottom w:val="none" w:sz="0" w:space="0" w:color="auto"/>
        <w:right w:val="none" w:sz="0" w:space="0" w:color="auto"/>
      </w:divBdr>
    </w:div>
    <w:div w:id="374623743">
      <w:bodyDiv w:val="1"/>
      <w:marLeft w:val="180"/>
      <w:marRight w:val="180"/>
      <w:marTop w:val="0"/>
      <w:marBottom w:val="0"/>
      <w:divBdr>
        <w:top w:val="none" w:sz="0" w:space="0" w:color="auto"/>
        <w:left w:val="none" w:sz="0" w:space="0" w:color="auto"/>
        <w:bottom w:val="none" w:sz="0" w:space="0" w:color="auto"/>
        <w:right w:val="none" w:sz="0" w:space="0" w:color="auto"/>
      </w:divBdr>
      <w:divsChild>
        <w:div w:id="1191454483">
          <w:marLeft w:val="0"/>
          <w:marRight w:val="0"/>
          <w:marTop w:val="0"/>
          <w:marBottom w:val="0"/>
          <w:divBdr>
            <w:top w:val="none" w:sz="0" w:space="0" w:color="auto"/>
            <w:left w:val="none" w:sz="0" w:space="0" w:color="auto"/>
            <w:bottom w:val="none" w:sz="0" w:space="0" w:color="auto"/>
            <w:right w:val="none" w:sz="0" w:space="0" w:color="auto"/>
          </w:divBdr>
        </w:div>
      </w:divsChild>
    </w:div>
    <w:div w:id="413671336">
      <w:bodyDiv w:val="1"/>
      <w:marLeft w:val="180"/>
      <w:marRight w:val="180"/>
      <w:marTop w:val="0"/>
      <w:marBottom w:val="0"/>
      <w:divBdr>
        <w:top w:val="none" w:sz="0" w:space="0" w:color="auto"/>
        <w:left w:val="none" w:sz="0" w:space="0" w:color="auto"/>
        <w:bottom w:val="none" w:sz="0" w:space="0" w:color="auto"/>
        <w:right w:val="none" w:sz="0" w:space="0" w:color="auto"/>
      </w:divBdr>
      <w:divsChild>
        <w:div w:id="1282298803">
          <w:marLeft w:val="0"/>
          <w:marRight w:val="0"/>
          <w:marTop w:val="0"/>
          <w:marBottom w:val="0"/>
          <w:divBdr>
            <w:top w:val="none" w:sz="0" w:space="0" w:color="auto"/>
            <w:left w:val="none" w:sz="0" w:space="0" w:color="auto"/>
            <w:bottom w:val="none" w:sz="0" w:space="0" w:color="auto"/>
            <w:right w:val="none" w:sz="0" w:space="0" w:color="auto"/>
          </w:divBdr>
        </w:div>
      </w:divsChild>
    </w:div>
    <w:div w:id="454904659">
      <w:bodyDiv w:val="1"/>
      <w:marLeft w:val="0"/>
      <w:marRight w:val="0"/>
      <w:marTop w:val="0"/>
      <w:marBottom w:val="0"/>
      <w:divBdr>
        <w:top w:val="none" w:sz="0" w:space="0" w:color="auto"/>
        <w:left w:val="none" w:sz="0" w:space="0" w:color="auto"/>
        <w:bottom w:val="none" w:sz="0" w:space="0" w:color="auto"/>
        <w:right w:val="none" w:sz="0" w:space="0" w:color="auto"/>
      </w:divBdr>
    </w:div>
    <w:div w:id="459301756">
      <w:bodyDiv w:val="1"/>
      <w:marLeft w:val="0"/>
      <w:marRight w:val="0"/>
      <w:marTop w:val="0"/>
      <w:marBottom w:val="0"/>
      <w:divBdr>
        <w:top w:val="none" w:sz="0" w:space="0" w:color="auto"/>
        <w:left w:val="none" w:sz="0" w:space="0" w:color="auto"/>
        <w:bottom w:val="none" w:sz="0" w:space="0" w:color="auto"/>
        <w:right w:val="none" w:sz="0" w:space="0" w:color="auto"/>
      </w:divBdr>
    </w:div>
    <w:div w:id="459808245">
      <w:bodyDiv w:val="1"/>
      <w:marLeft w:val="0"/>
      <w:marRight w:val="0"/>
      <w:marTop w:val="0"/>
      <w:marBottom w:val="0"/>
      <w:divBdr>
        <w:top w:val="none" w:sz="0" w:space="0" w:color="auto"/>
        <w:left w:val="none" w:sz="0" w:space="0" w:color="auto"/>
        <w:bottom w:val="none" w:sz="0" w:space="0" w:color="auto"/>
        <w:right w:val="none" w:sz="0" w:space="0" w:color="auto"/>
      </w:divBdr>
    </w:div>
    <w:div w:id="510264026">
      <w:bodyDiv w:val="1"/>
      <w:marLeft w:val="0"/>
      <w:marRight w:val="0"/>
      <w:marTop w:val="0"/>
      <w:marBottom w:val="0"/>
      <w:divBdr>
        <w:top w:val="none" w:sz="0" w:space="0" w:color="auto"/>
        <w:left w:val="none" w:sz="0" w:space="0" w:color="auto"/>
        <w:bottom w:val="none" w:sz="0" w:space="0" w:color="auto"/>
        <w:right w:val="none" w:sz="0" w:space="0" w:color="auto"/>
      </w:divBdr>
    </w:div>
    <w:div w:id="512767536">
      <w:bodyDiv w:val="1"/>
      <w:marLeft w:val="0"/>
      <w:marRight w:val="0"/>
      <w:marTop w:val="0"/>
      <w:marBottom w:val="0"/>
      <w:divBdr>
        <w:top w:val="none" w:sz="0" w:space="0" w:color="auto"/>
        <w:left w:val="none" w:sz="0" w:space="0" w:color="auto"/>
        <w:bottom w:val="none" w:sz="0" w:space="0" w:color="auto"/>
        <w:right w:val="none" w:sz="0" w:space="0" w:color="auto"/>
      </w:divBdr>
    </w:div>
    <w:div w:id="533731024">
      <w:bodyDiv w:val="1"/>
      <w:marLeft w:val="0"/>
      <w:marRight w:val="0"/>
      <w:marTop w:val="0"/>
      <w:marBottom w:val="0"/>
      <w:divBdr>
        <w:top w:val="none" w:sz="0" w:space="0" w:color="auto"/>
        <w:left w:val="none" w:sz="0" w:space="0" w:color="auto"/>
        <w:bottom w:val="none" w:sz="0" w:space="0" w:color="auto"/>
        <w:right w:val="none" w:sz="0" w:space="0" w:color="auto"/>
      </w:divBdr>
    </w:div>
    <w:div w:id="569198847">
      <w:bodyDiv w:val="1"/>
      <w:marLeft w:val="0"/>
      <w:marRight w:val="0"/>
      <w:marTop w:val="0"/>
      <w:marBottom w:val="0"/>
      <w:divBdr>
        <w:top w:val="none" w:sz="0" w:space="0" w:color="auto"/>
        <w:left w:val="none" w:sz="0" w:space="0" w:color="auto"/>
        <w:bottom w:val="none" w:sz="0" w:space="0" w:color="auto"/>
        <w:right w:val="none" w:sz="0" w:space="0" w:color="auto"/>
      </w:divBdr>
    </w:div>
    <w:div w:id="681737455">
      <w:bodyDiv w:val="1"/>
      <w:marLeft w:val="0"/>
      <w:marRight w:val="0"/>
      <w:marTop w:val="0"/>
      <w:marBottom w:val="0"/>
      <w:divBdr>
        <w:top w:val="none" w:sz="0" w:space="0" w:color="auto"/>
        <w:left w:val="none" w:sz="0" w:space="0" w:color="auto"/>
        <w:bottom w:val="none" w:sz="0" w:space="0" w:color="auto"/>
        <w:right w:val="none" w:sz="0" w:space="0" w:color="auto"/>
      </w:divBdr>
    </w:div>
    <w:div w:id="692997518">
      <w:bodyDiv w:val="1"/>
      <w:marLeft w:val="0"/>
      <w:marRight w:val="0"/>
      <w:marTop w:val="0"/>
      <w:marBottom w:val="0"/>
      <w:divBdr>
        <w:top w:val="none" w:sz="0" w:space="0" w:color="auto"/>
        <w:left w:val="none" w:sz="0" w:space="0" w:color="auto"/>
        <w:bottom w:val="none" w:sz="0" w:space="0" w:color="auto"/>
        <w:right w:val="none" w:sz="0" w:space="0" w:color="auto"/>
      </w:divBdr>
    </w:div>
    <w:div w:id="727611903">
      <w:bodyDiv w:val="1"/>
      <w:marLeft w:val="0"/>
      <w:marRight w:val="0"/>
      <w:marTop w:val="0"/>
      <w:marBottom w:val="0"/>
      <w:divBdr>
        <w:top w:val="none" w:sz="0" w:space="0" w:color="auto"/>
        <w:left w:val="none" w:sz="0" w:space="0" w:color="auto"/>
        <w:bottom w:val="none" w:sz="0" w:space="0" w:color="auto"/>
        <w:right w:val="none" w:sz="0" w:space="0" w:color="auto"/>
      </w:divBdr>
    </w:div>
    <w:div w:id="732431185">
      <w:bodyDiv w:val="1"/>
      <w:marLeft w:val="0"/>
      <w:marRight w:val="0"/>
      <w:marTop w:val="0"/>
      <w:marBottom w:val="0"/>
      <w:divBdr>
        <w:top w:val="none" w:sz="0" w:space="0" w:color="auto"/>
        <w:left w:val="none" w:sz="0" w:space="0" w:color="auto"/>
        <w:bottom w:val="none" w:sz="0" w:space="0" w:color="auto"/>
        <w:right w:val="none" w:sz="0" w:space="0" w:color="auto"/>
      </w:divBdr>
    </w:div>
    <w:div w:id="749423570">
      <w:bodyDiv w:val="1"/>
      <w:marLeft w:val="0"/>
      <w:marRight w:val="0"/>
      <w:marTop w:val="0"/>
      <w:marBottom w:val="0"/>
      <w:divBdr>
        <w:top w:val="none" w:sz="0" w:space="0" w:color="auto"/>
        <w:left w:val="none" w:sz="0" w:space="0" w:color="auto"/>
        <w:bottom w:val="none" w:sz="0" w:space="0" w:color="auto"/>
        <w:right w:val="none" w:sz="0" w:space="0" w:color="auto"/>
      </w:divBdr>
    </w:div>
    <w:div w:id="821504672">
      <w:bodyDiv w:val="1"/>
      <w:marLeft w:val="0"/>
      <w:marRight w:val="0"/>
      <w:marTop w:val="0"/>
      <w:marBottom w:val="0"/>
      <w:divBdr>
        <w:top w:val="none" w:sz="0" w:space="0" w:color="auto"/>
        <w:left w:val="none" w:sz="0" w:space="0" w:color="auto"/>
        <w:bottom w:val="none" w:sz="0" w:space="0" w:color="auto"/>
        <w:right w:val="none" w:sz="0" w:space="0" w:color="auto"/>
      </w:divBdr>
    </w:div>
    <w:div w:id="838547783">
      <w:bodyDiv w:val="1"/>
      <w:marLeft w:val="0"/>
      <w:marRight w:val="0"/>
      <w:marTop w:val="0"/>
      <w:marBottom w:val="0"/>
      <w:divBdr>
        <w:top w:val="none" w:sz="0" w:space="0" w:color="auto"/>
        <w:left w:val="none" w:sz="0" w:space="0" w:color="auto"/>
        <w:bottom w:val="none" w:sz="0" w:space="0" w:color="auto"/>
        <w:right w:val="none" w:sz="0" w:space="0" w:color="auto"/>
      </w:divBdr>
    </w:div>
    <w:div w:id="913590190">
      <w:bodyDiv w:val="1"/>
      <w:marLeft w:val="0"/>
      <w:marRight w:val="0"/>
      <w:marTop w:val="0"/>
      <w:marBottom w:val="0"/>
      <w:divBdr>
        <w:top w:val="none" w:sz="0" w:space="0" w:color="auto"/>
        <w:left w:val="none" w:sz="0" w:space="0" w:color="auto"/>
        <w:bottom w:val="none" w:sz="0" w:space="0" w:color="auto"/>
        <w:right w:val="none" w:sz="0" w:space="0" w:color="auto"/>
      </w:divBdr>
    </w:div>
    <w:div w:id="922689169">
      <w:bodyDiv w:val="1"/>
      <w:marLeft w:val="0"/>
      <w:marRight w:val="0"/>
      <w:marTop w:val="0"/>
      <w:marBottom w:val="0"/>
      <w:divBdr>
        <w:top w:val="none" w:sz="0" w:space="0" w:color="auto"/>
        <w:left w:val="none" w:sz="0" w:space="0" w:color="auto"/>
        <w:bottom w:val="none" w:sz="0" w:space="0" w:color="auto"/>
        <w:right w:val="none" w:sz="0" w:space="0" w:color="auto"/>
      </w:divBdr>
    </w:div>
    <w:div w:id="980302877">
      <w:bodyDiv w:val="1"/>
      <w:marLeft w:val="0"/>
      <w:marRight w:val="0"/>
      <w:marTop w:val="0"/>
      <w:marBottom w:val="0"/>
      <w:divBdr>
        <w:top w:val="none" w:sz="0" w:space="0" w:color="auto"/>
        <w:left w:val="none" w:sz="0" w:space="0" w:color="auto"/>
        <w:bottom w:val="none" w:sz="0" w:space="0" w:color="auto"/>
        <w:right w:val="none" w:sz="0" w:space="0" w:color="auto"/>
      </w:divBdr>
    </w:div>
    <w:div w:id="980885938">
      <w:bodyDiv w:val="1"/>
      <w:marLeft w:val="0"/>
      <w:marRight w:val="0"/>
      <w:marTop w:val="0"/>
      <w:marBottom w:val="0"/>
      <w:divBdr>
        <w:top w:val="none" w:sz="0" w:space="0" w:color="auto"/>
        <w:left w:val="none" w:sz="0" w:space="0" w:color="auto"/>
        <w:bottom w:val="none" w:sz="0" w:space="0" w:color="auto"/>
        <w:right w:val="none" w:sz="0" w:space="0" w:color="auto"/>
      </w:divBdr>
    </w:div>
    <w:div w:id="1068922336">
      <w:bodyDiv w:val="1"/>
      <w:marLeft w:val="0"/>
      <w:marRight w:val="0"/>
      <w:marTop w:val="0"/>
      <w:marBottom w:val="0"/>
      <w:divBdr>
        <w:top w:val="none" w:sz="0" w:space="0" w:color="auto"/>
        <w:left w:val="none" w:sz="0" w:space="0" w:color="auto"/>
        <w:bottom w:val="none" w:sz="0" w:space="0" w:color="auto"/>
        <w:right w:val="none" w:sz="0" w:space="0" w:color="auto"/>
      </w:divBdr>
    </w:div>
    <w:div w:id="1076056515">
      <w:bodyDiv w:val="1"/>
      <w:marLeft w:val="0"/>
      <w:marRight w:val="0"/>
      <w:marTop w:val="0"/>
      <w:marBottom w:val="0"/>
      <w:divBdr>
        <w:top w:val="none" w:sz="0" w:space="0" w:color="auto"/>
        <w:left w:val="none" w:sz="0" w:space="0" w:color="auto"/>
        <w:bottom w:val="none" w:sz="0" w:space="0" w:color="auto"/>
        <w:right w:val="none" w:sz="0" w:space="0" w:color="auto"/>
      </w:divBdr>
    </w:div>
    <w:div w:id="1111822302">
      <w:bodyDiv w:val="1"/>
      <w:marLeft w:val="0"/>
      <w:marRight w:val="0"/>
      <w:marTop w:val="0"/>
      <w:marBottom w:val="0"/>
      <w:divBdr>
        <w:top w:val="none" w:sz="0" w:space="0" w:color="auto"/>
        <w:left w:val="none" w:sz="0" w:space="0" w:color="auto"/>
        <w:bottom w:val="none" w:sz="0" w:space="0" w:color="auto"/>
        <w:right w:val="none" w:sz="0" w:space="0" w:color="auto"/>
      </w:divBdr>
    </w:div>
    <w:div w:id="1135488971">
      <w:bodyDiv w:val="1"/>
      <w:marLeft w:val="0"/>
      <w:marRight w:val="0"/>
      <w:marTop w:val="0"/>
      <w:marBottom w:val="0"/>
      <w:divBdr>
        <w:top w:val="none" w:sz="0" w:space="0" w:color="auto"/>
        <w:left w:val="none" w:sz="0" w:space="0" w:color="auto"/>
        <w:bottom w:val="none" w:sz="0" w:space="0" w:color="auto"/>
        <w:right w:val="none" w:sz="0" w:space="0" w:color="auto"/>
      </w:divBdr>
    </w:div>
    <w:div w:id="1138569191">
      <w:bodyDiv w:val="1"/>
      <w:marLeft w:val="0"/>
      <w:marRight w:val="0"/>
      <w:marTop w:val="0"/>
      <w:marBottom w:val="0"/>
      <w:divBdr>
        <w:top w:val="none" w:sz="0" w:space="0" w:color="auto"/>
        <w:left w:val="none" w:sz="0" w:space="0" w:color="auto"/>
        <w:bottom w:val="none" w:sz="0" w:space="0" w:color="auto"/>
        <w:right w:val="none" w:sz="0" w:space="0" w:color="auto"/>
      </w:divBdr>
    </w:div>
    <w:div w:id="1146699329">
      <w:bodyDiv w:val="1"/>
      <w:marLeft w:val="0"/>
      <w:marRight w:val="0"/>
      <w:marTop w:val="0"/>
      <w:marBottom w:val="0"/>
      <w:divBdr>
        <w:top w:val="none" w:sz="0" w:space="0" w:color="auto"/>
        <w:left w:val="none" w:sz="0" w:space="0" w:color="auto"/>
        <w:bottom w:val="none" w:sz="0" w:space="0" w:color="auto"/>
        <w:right w:val="none" w:sz="0" w:space="0" w:color="auto"/>
      </w:divBdr>
    </w:div>
    <w:div w:id="1162311697">
      <w:bodyDiv w:val="1"/>
      <w:marLeft w:val="0"/>
      <w:marRight w:val="0"/>
      <w:marTop w:val="0"/>
      <w:marBottom w:val="0"/>
      <w:divBdr>
        <w:top w:val="none" w:sz="0" w:space="0" w:color="auto"/>
        <w:left w:val="none" w:sz="0" w:space="0" w:color="auto"/>
        <w:bottom w:val="none" w:sz="0" w:space="0" w:color="auto"/>
        <w:right w:val="none" w:sz="0" w:space="0" w:color="auto"/>
      </w:divBdr>
    </w:div>
    <w:div w:id="1187331043">
      <w:bodyDiv w:val="1"/>
      <w:marLeft w:val="0"/>
      <w:marRight w:val="0"/>
      <w:marTop w:val="0"/>
      <w:marBottom w:val="0"/>
      <w:divBdr>
        <w:top w:val="none" w:sz="0" w:space="0" w:color="auto"/>
        <w:left w:val="none" w:sz="0" w:space="0" w:color="auto"/>
        <w:bottom w:val="none" w:sz="0" w:space="0" w:color="auto"/>
        <w:right w:val="none" w:sz="0" w:space="0" w:color="auto"/>
      </w:divBdr>
    </w:div>
    <w:div w:id="1243566170">
      <w:bodyDiv w:val="1"/>
      <w:marLeft w:val="0"/>
      <w:marRight w:val="0"/>
      <w:marTop w:val="0"/>
      <w:marBottom w:val="0"/>
      <w:divBdr>
        <w:top w:val="none" w:sz="0" w:space="0" w:color="auto"/>
        <w:left w:val="none" w:sz="0" w:space="0" w:color="auto"/>
        <w:bottom w:val="none" w:sz="0" w:space="0" w:color="auto"/>
        <w:right w:val="none" w:sz="0" w:space="0" w:color="auto"/>
      </w:divBdr>
    </w:div>
    <w:div w:id="1258713009">
      <w:bodyDiv w:val="1"/>
      <w:marLeft w:val="0"/>
      <w:marRight w:val="0"/>
      <w:marTop w:val="0"/>
      <w:marBottom w:val="0"/>
      <w:divBdr>
        <w:top w:val="none" w:sz="0" w:space="0" w:color="auto"/>
        <w:left w:val="none" w:sz="0" w:space="0" w:color="auto"/>
        <w:bottom w:val="none" w:sz="0" w:space="0" w:color="auto"/>
        <w:right w:val="none" w:sz="0" w:space="0" w:color="auto"/>
      </w:divBdr>
    </w:div>
    <w:div w:id="1262488312">
      <w:bodyDiv w:val="1"/>
      <w:marLeft w:val="0"/>
      <w:marRight w:val="0"/>
      <w:marTop w:val="0"/>
      <w:marBottom w:val="0"/>
      <w:divBdr>
        <w:top w:val="none" w:sz="0" w:space="0" w:color="auto"/>
        <w:left w:val="none" w:sz="0" w:space="0" w:color="auto"/>
        <w:bottom w:val="none" w:sz="0" w:space="0" w:color="auto"/>
        <w:right w:val="none" w:sz="0" w:space="0" w:color="auto"/>
      </w:divBdr>
    </w:div>
    <w:div w:id="1264915739">
      <w:bodyDiv w:val="1"/>
      <w:marLeft w:val="0"/>
      <w:marRight w:val="0"/>
      <w:marTop w:val="0"/>
      <w:marBottom w:val="0"/>
      <w:divBdr>
        <w:top w:val="none" w:sz="0" w:space="0" w:color="auto"/>
        <w:left w:val="none" w:sz="0" w:space="0" w:color="auto"/>
        <w:bottom w:val="none" w:sz="0" w:space="0" w:color="auto"/>
        <w:right w:val="none" w:sz="0" w:space="0" w:color="auto"/>
      </w:divBdr>
    </w:div>
    <w:div w:id="1270241334">
      <w:bodyDiv w:val="1"/>
      <w:marLeft w:val="180"/>
      <w:marRight w:val="180"/>
      <w:marTop w:val="0"/>
      <w:marBottom w:val="0"/>
      <w:divBdr>
        <w:top w:val="none" w:sz="0" w:space="0" w:color="auto"/>
        <w:left w:val="none" w:sz="0" w:space="0" w:color="auto"/>
        <w:bottom w:val="none" w:sz="0" w:space="0" w:color="auto"/>
        <w:right w:val="none" w:sz="0" w:space="0" w:color="auto"/>
      </w:divBdr>
      <w:divsChild>
        <w:div w:id="383797769">
          <w:marLeft w:val="0"/>
          <w:marRight w:val="0"/>
          <w:marTop w:val="0"/>
          <w:marBottom w:val="0"/>
          <w:divBdr>
            <w:top w:val="none" w:sz="0" w:space="0" w:color="auto"/>
            <w:left w:val="none" w:sz="0" w:space="0" w:color="auto"/>
            <w:bottom w:val="none" w:sz="0" w:space="0" w:color="auto"/>
            <w:right w:val="none" w:sz="0" w:space="0" w:color="auto"/>
          </w:divBdr>
        </w:div>
      </w:divsChild>
    </w:div>
    <w:div w:id="1280726043">
      <w:bodyDiv w:val="1"/>
      <w:marLeft w:val="0"/>
      <w:marRight w:val="0"/>
      <w:marTop w:val="0"/>
      <w:marBottom w:val="0"/>
      <w:divBdr>
        <w:top w:val="none" w:sz="0" w:space="0" w:color="auto"/>
        <w:left w:val="none" w:sz="0" w:space="0" w:color="auto"/>
        <w:bottom w:val="none" w:sz="0" w:space="0" w:color="auto"/>
        <w:right w:val="none" w:sz="0" w:space="0" w:color="auto"/>
      </w:divBdr>
    </w:div>
    <w:div w:id="1329748340">
      <w:bodyDiv w:val="1"/>
      <w:marLeft w:val="0"/>
      <w:marRight w:val="0"/>
      <w:marTop w:val="0"/>
      <w:marBottom w:val="0"/>
      <w:divBdr>
        <w:top w:val="none" w:sz="0" w:space="0" w:color="auto"/>
        <w:left w:val="none" w:sz="0" w:space="0" w:color="auto"/>
        <w:bottom w:val="none" w:sz="0" w:space="0" w:color="auto"/>
        <w:right w:val="none" w:sz="0" w:space="0" w:color="auto"/>
      </w:divBdr>
    </w:div>
    <w:div w:id="1333145227">
      <w:bodyDiv w:val="1"/>
      <w:marLeft w:val="0"/>
      <w:marRight w:val="0"/>
      <w:marTop w:val="0"/>
      <w:marBottom w:val="0"/>
      <w:divBdr>
        <w:top w:val="none" w:sz="0" w:space="0" w:color="auto"/>
        <w:left w:val="none" w:sz="0" w:space="0" w:color="auto"/>
        <w:bottom w:val="none" w:sz="0" w:space="0" w:color="auto"/>
        <w:right w:val="none" w:sz="0" w:space="0" w:color="auto"/>
      </w:divBdr>
    </w:div>
    <w:div w:id="1366255247">
      <w:bodyDiv w:val="1"/>
      <w:marLeft w:val="0"/>
      <w:marRight w:val="0"/>
      <w:marTop w:val="0"/>
      <w:marBottom w:val="0"/>
      <w:divBdr>
        <w:top w:val="none" w:sz="0" w:space="0" w:color="auto"/>
        <w:left w:val="none" w:sz="0" w:space="0" w:color="auto"/>
        <w:bottom w:val="none" w:sz="0" w:space="0" w:color="auto"/>
        <w:right w:val="none" w:sz="0" w:space="0" w:color="auto"/>
      </w:divBdr>
    </w:div>
    <w:div w:id="1371799773">
      <w:bodyDiv w:val="1"/>
      <w:marLeft w:val="180"/>
      <w:marRight w:val="180"/>
      <w:marTop w:val="0"/>
      <w:marBottom w:val="0"/>
      <w:divBdr>
        <w:top w:val="none" w:sz="0" w:space="0" w:color="auto"/>
        <w:left w:val="none" w:sz="0" w:space="0" w:color="auto"/>
        <w:bottom w:val="none" w:sz="0" w:space="0" w:color="auto"/>
        <w:right w:val="none" w:sz="0" w:space="0" w:color="auto"/>
      </w:divBdr>
      <w:divsChild>
        <w:div w:id="915633055">
          <w:marLeft w:val="0"/>
          <w:marRight w:val="0"/>
          <w:marTop w:val="0"/>
          <w:marBottom w:val="0"/>
          <w:divBdr>
            <w:top w:val="none" w:sz="0" w:space="0" w:color="auto"/>
            <w:left w:val="none" w:sz="0" w:space="0" w:color="auto"/>
            <w:bottom w:val="none" w:sz="0" w:space="0" w:color="auto"/>
            <w:right w:val="none" w:sz="0" w:space="0" w:color="auto"/>
          </w:divBdr>
        </w:div>
      </w:divsChild>
    </w:div>
    <w:div w:id="1508905614">
      <w:bodyDiv w:val="1"/>
      <w:marLeft w:val="0"/>
      <w:marRight w:val="0"/>
      <w:marTop w:val="0"/>
      <w:marBottom w:val="0"/>
      <w:divBdr>
        <w:top w:val="none" w:sz="0" w:space="0" w:color="auto"/>
        <w:left w:val="none" w:sz="0" w:space="0" w:color="auto"/>
        <w:bottom w:val="none" w:sz="0" w:space="0" w:color="auto"/>
        <w:right w:val="none" w:sz="0" w:space="0" w:color="auto"/>
      </w:divBdr>
    </w:div>
    <w:div w:id="1512918117">
      <w:bodyDiv w:val="1"/>
      <w:marLeft w:val="180"/>
      <w:marRight w:val="180"/>
      <w:marTop w:val="0"/>
      <w:marBottom w:val="0"/>
      <w:divBdr>
        <w:top w:val="none" w:sz="0" w:space="0" w:color="auto"/>
        <w:left w:val="none" w:sz="0" w:space="0" w:color="auto"/>
        <w:bottom w:val="none" w:sz="0" w:space="0" w:color="auto"/>
        <w:right w:val="none" w:sz="0" w:space="0" w:color="auto"/>
      </w:divBdr>
      <w:divsChild>
        <w:div w:id="237598931">
          <w:marLeft w:val="0"/>
          <w:marRight w:val="0"/>
          <w:marTop w:val="0"/>
          <w:marBottom w:val="0"/>
          <w:divBdr>
            <w:top w:val="none" w:sz="0" w:space="0" w:color="auto"/>
            <w:left w:val="none" w:sz="0" w:space="0" w:color="auto"/>
            <w:bottom w:val="none" w:sz="0" w:space="0" w:color="auto"/>
            <w:right w:val="none" w:sz="0" w:space="0" w:color="auto"/>
          </w:divBdr>
        </w:div>
      </w:divsChild>
    </w:div>
    <w:div w:id="1516381849">
      <w:bodyDiv w:val="1"/>
      <w:marLeft w:val="0"/>
      <w:marRight w:val="0"/>
      <w:marTop w:val="0"/>
      <w:marBottom w:val="0"/>
      <w:divBdr>
        <w:top w:val="none" w:sz="0" w:space="0" w:color="auto"/>
        <w:left w:val="none" w:sz="0" w:space="0" w:color="auto"/>
        <w:bottom w:val="none" w:sz="0" w:space="0" w:color="auto"/>
        <w:right w:val="none" w:sz="0" w:space="0" w:color="auto"/>
      </w:divBdr>
    </w:div>
    <w:div w:id="1526358771">
      <w:bodyDiv w:val="1"/>
      <w:marLeft w:val="0"/>
      <w:marRight w:val="0"/>
      <w:marTop w:val="0"/>
      <w:marBottom w:val="0"/>
      <w:divBdr>
        <w:top w:val="none" w:sz="0" w:space="0" w:color="auto"/>
        <w:left w:val="none" w:sz="0" w:space="0" w:color="auto"/>
        <w:bottom w:val="none" w:sz="0" w:space="0" w:color="auto"/>
        <w:right w:val="none" w:sz="0" w:space="0" w:color="auto"/>
      </w:divBdr>
    </w:div>
    <w:div w:id="1530101433">
      <w:bodyDiv w:val="1"/>
      <w:marLeft w:val="0"/>
      <w:marRight w:val="0"/>
      <w:marTop w:val="0"/>
      <w:marBottom w:val="0"/>
      <w:divBdr>
        <w:top w:val="none" w:sz="0" w:space="0" w:color="auto"/>
        <w:left w:val="none" w:sz="0" w:space="0" w:color="auto"/>
        <w:bottom w:val="none" w:sz="0" w:space="0" w:color="auto"/>
        <w:right w:val="none" w:sz="0" w:space="0" w:color="auto"/>
      </w:divBdr>
    </w:div>
    <w:div w:id="1569344699">
      <w:bodyDiv w:val="1"/>
      <w:marLeft w:val="0"/>
      <w:marRight w:val="0"/>
      <w:marTop w:val="0"/>
      <w:marBottom w:val="0"/>
      <w:divBdr>
        <w:top w:val="none" w:sz="0" w:space="0" w:color="auto"/>
        <w:left w:val="none" w:sz="0" w:space="0" w:color="auto"/>
        <w:bottom w:val="none" w:sz="0" w:space="0" w:color="auto"/>
        <w:right w:val="none" w:sz="0" w:space="0" w:color="auto"/>
      </w:divBdr>
    </w:div>
    <w:div w:id="1587764787">
      <w:bodyDiv w:val="1"/>
      <w:marLeft w:val="0"/>
      <w:marRight w:val="0"/>
      <w:marTop w:val="0"/>
      <w:marBottom w:val="0"/>
      <w:divBdr>
        <w:top w:val="none" w:sz="0" w:space="0" w:color="auto"/>
        <w:left w:val="none" w:sz="0" w:space="0" w:color="auto"/>
        <w:bottom w:val="none" w:sz="0" w:space="0" w:color="auto"/>
        <w:right w:val="none" w:sz="0" w:space="0" w:color="auto"/>
      </w:divBdr>
    </w:div>
    <w:div w:id="1607887271">
      <w:bodyDiv w:val="1"/>
      <w:marLeft w:val="0"/>
      <w:marRight w:val="0"/>
      <w:marTop w:val="0"/>
      <w:marBottom w:val="0"/>
      <w:divBdr>
        <w:top w:val="none" w:sz="0" w:space="0" w:color="auto"/>
        <w:left w:val="none" w:sz="0" w:space="0" w:color="auto"/>
        <w:bottom w:val="none" w:sz="0" w:space="0" w:color="auto"/>
        <w:right w:val="none" w:sz="0" w:space="0" w:color="auto"/>
      </w:divBdr>
    </w:div>
    <w:div w:id="1624534660">
      <w:bodyDiv w:val="1"/>
      <w:marLeft w:val="0"/>
      <w:marRight w:val="0"/>
      <w:marTop w:val="0"/>
      <w:marBottom w:val="0"/>
      <w:divBdr>
        <w:top w:val="none" w:sz="0" w:space="0" w:color="auto"/>
        <w:left w:val="none" w:sz="0" w:space="0" w:color="auto"/>
        <w:bottom w:val="none" w:sz="0" w:space="0" w:color="auto"/>
        <w:right w:val="none" w:sz="0" w:space="0" w:color="auto"/>
      </w:divBdr>
    </w:div>
    <w:div w:id="1658072148">
      <w:bodyDiv w:val="1"/>
      <w:marLeft w:val="0"/>
      <w:marRight w:val="0"/>
      <w:marTop w:val="0"/>
      <w:marBottom w:val="0"/>
      <w:divBdr>
        <w:top w:val="none" w:sz="0" w:space="0" w:color="auto"/>
        <w:left w:val="none" w:sz="0" w:space="0" w:color="auto"/>
        <w:bottom w:val="none" w:sz="0" w:space="0" w:color="auto"/>
        <w:right w:val="none" w:sz="0" w:space="0" w:color="auto"/>
      </w:divBdr>
    </w:div>
    <w:div w:id="1676833856">
      <w:bodyDiv w:val="1"/>
      <w:marLeft w:val="0"/>
      <w:marRight w:val="0"/>
      <w:marTop w:val="0"/>
      <w:marBottom w:val="0"/>
      <w:divBdr>
        <w:top w:val="none" w:sz="0" w:space="0" w:color="auto"/>
        <w:left w:val="none" w:sz="0" w:space="0" w:color="auto"/>
        <w:bottom w:val="none" w:sz="0" w:space="0" w:color="auto"/>
        <w:right w:val="none" w:sz="0" w:space="0" w:color="auto"/>
      </w:divBdr>
    </w:div>
    <w:div w:id="1713119176">
      <w:bodyDiv w:val="1"/>
      <w:marLeft w:val="0"/>
      <w:marRight w:val="0"/>
      <w:marTop w:val="0"/>
      <w:marBottom w:val="0"/>
      <w:divBdr>
        <w:top w:val="none" w:sz="0" w:space="0" w:color="auto"/>
        <w:left w:val="none" w:sz="0" w:space="0" w:color="auto"/>
        <w:bottom w:val="none" w:sz="0" w:space="0" w:color="auto"/>
        <w:right w:val="none" w:sz="0" w:space="0" w:color="auto"/>
      </w:divBdr>
    </w:div>
    <w:div w:id="1745839848">
      <w:bodyDiv w:val="1"/>
      <w:marLeft w:val="0"/>
      <w:marRight w:val="0"/>
      <w:marTop w:val="0"/>
      <w:marBottom w:val="0"/>
      <w:divBdr>
        <w:top w:val="none" w:sz="0" w:space="0" w:color="auto"/>
        <w:left w:val="none" w:sz="0" w:space="0" w:color="auto"/>
        <w:bottom w:val="none" w:sz="0" w:space="0" w:color="auto"/>
        <w:right w:val="none" w:sz="0" w:space="0" w:color="auto"/>
      </w:divBdr>
    </w:div>
    <w:div w:id="1786777329">
      <w:bodyDiv w:val="1"/>
      <w:marLeft w:val="0"/>
      <w:marRight w:val="0"/>
      <w:marTop w:val="0"/>
      <w:marBottom w:val="0"/>
      <w:divBdr>
        <w:top w:val="none" w:sz="0" w:space="0" w:color="auto"/>
        <w:left w:val="none" w:sz="0" w:space="0" w:color="auto"/>
        <w:bottom w:val="none" w:sz="0" w:space="0" w:color="auto"/>
        <w:right w:val="none" w:sz="0" w:space="0" w:color="auto"/>
      </w:divBdr>
    </w:div>
    <w:div w:id="1827279891">
      <w:bodyDiv w:val="1"/>
      <w:marLeft w:val="0"/>
      <w:marRight w:val="0"/>
      <w:marTop w:val="0"/>
      <w:marBottom w:val="0"/>
      <w:divBdr>
        <w:top w:val="none" w:sz="0" w:space="0" w:color="auto"/>
        <w:left w:val="none" w:sz="0" w:space="0" w:color="auto"/>
        <w:bottom w:val="none" w:sz="0" w:space="0" w:color="auto"/>
        <w:right w:val="none" w:sz="0" w:space="0" w:color="auto"/>
      </w:divBdr>
    </w:div>
    <w:div w:id="1897155157">
      <w:bodyDiv w:val="1"/>
      <w:marLeft w:val="0"/>
      <w:marRight w:val="0"/>
      <w:marTop w:val="0"/>
      <w:marBottom w:val="0"/>
      <w:divBdr>
        <w:top w:val="none" w:sz="0" w:space="0" w:color="auto"/>
        <w:left w:val="none" w:sz="0" w:space="0" w:color="auto"/>
        <w:bottom w:val="none" w:sz="0" w:space="0" w:color="auto"/>
        <w:right w:val="none" w:sz="0" w:space="0" w:color="auto"/>
      </w:divBdr>
    </w:div>
    <w:div w:id="1959140453">
      <w:bodyDiv w:val="1"/>
      <w:marLeft w:val="0"/>
      <w:marRight w:val="0"/>
      <w:marTop w:val="0"/>
      <w:marBottom w:val="0"/>
      <w:divBdr>
        <w:top w:val="none" w:sz="0" w:space="0" w:color="auto"/>
        <w:left w:val="none" w:sz="0" w:space="0" w:color="auto"/>
        <w:bottom w:val="none" w:sz="0" w:space="0" w:color="auto"/>
        <w:right w:val="none" w:sz="0" w:space="0" w:color="auto"/>
      </w:divBdr>
    </w:div>
    <w:div w:id="1963219266">
      <w:bodyDiv w:val="1"/>
      <w:marLeft w:val="0"/>
      <w:marRight w:val="0"/>
      <w:marTop w:val="0"/>
      <w:marBottom w:val="0"/>
      <w:divBdr>
        <w:top w:val="none" w:sz="0" w:space="0" w:color="auto"/>
        <w:left w:val="none" w:sz="0" w:space="0" w:color="auto"/>
        <w:bottom w:val="none" w:sz="0" w:space="0" w:color="auto"/>
        <w:right w:val="none" w:sz="0" w:space="0" w:color="auto"/>
      </w:divBdr>
    </w:div>
    <w:div w:id="1983540000">
      <w:bodyDiv w:val="1"/>
      <w:marLeft w:val="0"/>
      <w:marRight w:val="0"/>
      <w:marTop w:val="0"/>
      <w:marBottom w:val="0"/>
      <w:divBdr>
        <w:top w:val="none" w:sz="0" w:space="0" w:color="auto"/>
        <w:left w:val="none" w:sz="0" w:space="0" w:color="auto"/>
        <w:bottom w:val="none" w:sz="0" w:space="0" w:color="auto"/>
        <w:right w:val="none" w:sz="0" w:space="0" w:color="auto"/>
      </w:divBdr>
    </w:div>
    <w:div w:id="2007392250">
      <w:bodyDiv w:val="1"/>
      <w:marLeft w:val="0"/>
      <w:marRight w:val="0"/>
      <w:marTop w:val="0"/>
      <w:marBottom w:val="0"/>
      <w:divBdr>
        <w:top w:val="none" w:sz="0" w:space="0" w:color="auto"/>
        <w:left w:val="none" w:sz="0" w:space="0" w:color="auto"/>
        <w:bottom w:val="none" w:sz="0" w:space="0" w:color="auto"/>
        <w:right w:val="none" w:sz="0" w:space="0" w:color="auto"/>
      </w:divBdr>
    </w:div>
    <w:div w:id="2021002034">
      <w:bodyDiv w:val="1"/>
      <w:marLeft w:val="0"/>
      <w:marRight w:val="0"/>
      <w:marTop w:val="0"/>
      <w:marBottom w:val="0"/>
      <w:divBdr>
        <w:top w:val="none" w:sz="0" w:space="0" w:color="auto"/>
        <w:left w:val="none" w:sz="0" w:space="0" w:color="auto"/>
        <w:bottom w:val="none" w:sz="0" w:space="0" w:color="auto"/>
        <w:right w:val="none" w:sz="0" w:space="0" w:color="auto"/>
      </w:divBdr>
    </w:div>
    <w:div w:id="2061633860">
      <w:bodyDiv w:val="1"/>
      <w:marLeft w:val="0"/>
      <w:marRight w:val="0"/>
      <w:marTop w:val="0"/>
      <w:marBottom w:val="0"/>
      <w:divBdr>
        <w:top w:val="none" w:sz="0" w:space="0" w:color="auto"/>
        <w:left w:val="none" w:sz="0" w:space="0" w:color="auto"/>
        <w:bottom w:val="none" w:sz="0" w:space="0" w:color="auto"/>
        <w:right w:val="none" w:sz="0" w:space="0" w:color="auto"/>
      </w:divBdr>
    </w:div>
    <w:div w:id="2064719972">
      <w:bodyDiv w:val="1"/>
      <w:marLeft w:val="0"/>
      <w:marRight w:val="0"/>
      <w:marTop w:val="0"/>
      <w:marBottom w:val="0"/>
      <w:divBdr>
        <w:top w:val="none" w:sz="0" w:space="0" w:color="auto"/>
        <w:left w:val="none" w:sz="0" w:space="0" w:color="auto"/>
        <w:bottom w:val="none" w:sz="0" w:space="0" w:color="auto"/>
        <w:right w:val="none" w:sz="0" w:space="0" w:color="auto"/>
      </w:divBdr>
    </w:div>
    <w:div w:id="2065130080">
      <w:bodyDiv w:val="1"/>
      <w:marLeft w:val="0"/>
      <w:marRight w:val="0"/>
      <w:marTop w:val="0"/>
      <w:marBottom w:val="0"/>
      <w:divBdr>
        <w:top w:val="none" w:sz="0" w:space="0" w:color="auto"/>
        <w:left w:val="none" w:sz="0" w:space="0" w:color="auto"/>
        <w:bottom w:val="none" w:sz="0" w:space="0" w:color="auto"/>
        <w:right w:val="none" w:sz="0" w:space="0" w:color="auto"/>
      </w:divBdr>
    </w:div>
    <w:div w:id="2072342762">
      <w:bodyDiv w:val="1"/>
      <w:marLeft w:val="0"/>
      <w:marRight w:val="0"/>
      <w:marTop w:val="0"/>
      <w:marBottom w:val="0"/>
      <w:divBdr>
        <w:top w:val="none" w:sz="0" w:space="0" w:color="auto"/>
        <w:left w:val="none" w:sz="0" w:space="0" w:color="auto"/>
        <w:bottom w:val="none" w:sz="0" w:space="0" w:color="auto"/>
        <w:right w:val="none" w:sz="0" w:space="0" w:color="auto"/>
      </w:divBdr>
    </w:div>
    <w:div w:id="2086535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aa17ed3a87c4c2db27e20a5e4806e0d" PartId="2cea19dc86d54662bd628cc10f63aa6b">
    <Part Type="straipsnis" Nr="1" Abbr="1 str." Title="Lietuvos Respublikos Prezidento valstybinės rentos įstatymo Nr. X-980 nauja redakcija" DocPartId="2f51c3070dee40dfa8d01f02409faf3d" PartId="f4298bd14a904889b34e757f71306f60">
      <Part Type="strDalis" Nr="1" Abbr="1 str. 1 d." DocPartId="44a9887b8b7a41f3a98f2cdddd01e94b" PartId="f7f79b24732849b9a748f8dfe0c3ba69">
        <Part Type="citata" DocPartId="cd20d3db77e440719b403dbdbe8599a2" PartId="8c65339ac78d4bf2ab132d55f095c522">
          <Part Type="pagrindine" DocPartId="202caf6542ab48c1a13d68d117660d23" PartId="993904f367de416587d2f35a8ec03101">
            <Part Type="straipsnis" Nr="1" Abbr="1 str." Title="Įstatymo paskirtis" DocPartId="cc868a5bf2ab4276b50922dc5aec068b" PartId="ecc8ef0a278842e487361012efc8533f">
              <Part Type="strDalis" Nr="1" Abbr="1 str. 1 d." DocPartId="28869ae3348d43ef86ffd85ed03ce79c" PartId="7ebe010b28244020bc69c74fb8c93b8f"/>
            </Part>
            <Part Type="straipsnis" Nr="2" Abbr="2 str." Title="Respublikos Prezidento valstybinės rentos skyrimo ir mokėjimo sąlygos" DocPartId="c26909fbeaf9450ba2d4e56d187380be" PartId="842db57642a84cda806e8df2a9269371">
              <Part Type="strDalis" Nr="1" Abbr="2 str. 1 d." DocPartId="3f17ba2ff914486791e89a9edee154c2" PartId="6363741705b94de6af2ad5aa26eaa18f"/>
              <Part Type="strDalis" Nr="2" Abbr="2 str. 2 d." DocPartId="7c13c07a9c05477192301ef0e03c239e" PartId="f13720e280b34add884fe90a28bb6fbf"/>
              <Part Type="strDalis" Nr="3" Abbr="2 str. 3 d." DocPartId="ed0d8acc08a142b7b7123291f346bed5" PartId="5f2c43cd75c1499c906eba0957764926"/>
            </Part>
            <Part Type="straipsnis" Nr="3" Abbr="3 str." Title="Respublikos Prezidento valstybinės rentos dydis" DocPartId="5976394e7a274ee6b8f10c1425494ae1" PartId="e4df3a55947049d985fc9f1ee6803470">
              <Part Type="strDalis" Nr="1" Abbr="3 str. 1 d." DocPartId="1ecb0b6d91774325aeaac9253f8aaaf4" PartId="f864f49cbc7b4ce5bf5de0c4aefc19f6"/>
              <Part Type="strDalis" Nr="2" Abbr="3 str. 2 d." DocPartId="835d231a935f459da381ba88c5084118" PartId="16aebb54245d4ad7b2600e0da73c1370"/>
            </Part>
            <Part Type="straipsnis" Nr="4" Abbr="4 str." Title="Asmenys, turintys teisę gauti Respublikos Prezidento našlaičių valstybinę rentą" DocPartId="370e1b8138e54f90a45ff70ae2baa2ae" PartId="2e37933fa7d84bae97557c76b990751c">
              <Part Type="strDalis" Nr="1" Abbr="4 str. 1 d." DocPartId="8661c07372c940f38af6010cbb0bb2fb" PartId="9186f002a6a645abbc2aca2e7774e85d">
                <Part Type="strPunktas" Nr="1" Abbr="4 str. 1 d. 1 p." DocPartId="c25751f2e3f04a2eb72d895d96460186" PartId="bae6c883de4b4a80981037576d058f21"/>
                <Part Type="strPunktas" Nr="2" Abbr="4 str. 1 d. 2 p." DocPartId="aebfc18bd04c43e6bb03f542f4ba38f0" PartId="00636253ba98462587d4e4dc55e1429c"/>
                <Part Type="strPunktas" Nr="3" Abbr="4 str. 1 d. 3 p." DocPartId="8912f9d12e92493281b8db243b26adce" PartId="bbf1d6847dd441888f8fb5fa9c8c1a09"/>
              </Part>
              <Part Type="strDalis" Nr="2" Abbr="4 str. 2 d." DocPartId="152a7ae6d50d47aa98b4cf4036060c9f" PartId="3152585709b8462b83d6d047dd585418"/>
            </Part>
            <Part Type="straipsnis" Nr="5" Abbr="5 str." Title="Respublikos Prezidento našlaičių valstybinės rentos skyrimo ir mokėjimo sąlygos" DocPartId="c5822af6d3934130bae21d5901614afb" PartId="0edc9c5170c5463cbe0ba1e2254ff4ae">
              <Part Type="strDalis" Nr="1" Abbr="5 str. 1 d." DocPartId="13ff913e7c9041618328e66aa781917a" PartId="75c5dcf23eb841efb7a251b0730a8c96"/>
              <Part Type="strDalis" Nr="2" Abbr="5 str. 2 d." DocPartId="623b9bd8ba184ea7838ffc41dca1d05e" PartId="1dd010b9d3ad499bbd8fae27684b42f9"/>
            </Part>
            <Part Type="straipsnis" Nr="6" Abbr="6 str." Title="Respublikos Prezidento našlaičių valstybinės rentos dydis" DocPartId="717b92f4c68f4a89b4ee7f9f0e8eb9ad" PartId="fc99dc5accdb435ab1fc68c77d972b94">
              <Part Type="strDalis" Nr="1" Abbr="6 str. 1 d." DocPartId="bf2d1d3e24ab4bf5b5a30e8796b31f89" PartId="33ada779ee8a4dc1a4dcd9cb82f19f00"/>
              <Part Type="strDalis" Nr="2" Abbr="6 str. 2 d." DocPartId="2f77fa84eaa14ab98344e35e575b9f53" PartId="2e2767569eb64d1b9d33ff8fb93756e6"/>
            </Part>
            <Part Type="straipsnis" Nr="7" Abbr="7 str." Title="Respublikos Prezidento valstybinės rentos, Respublikos Prezidento našlaičių valstybinės rentos skyrimo ir mokėjimo tvarka" DocPartId="cc063ef7ec594bafb54dbbf35643fb31" PartId="e69955d8fddb46788b2bbca0076fbea9">
              <Part Type="strDalis" Nr="1" Abbr="7 str. 1 d." DocPartId="53e5599b817f4baf80f8002ed61bbe94" PartId="c68d7a3bc357498e8657af89d7bad762"/>
              <Part Type="strDalis" Nr="2" Abbr="7 str. 2 d." DocPartId="deabcaa329d34547b87fe9bd6a32e91d" PartId="37926894e30840f188c4f21579216b4e"/>
              <Part Type="strDalis" Nr="3" Abbr="7 str. 3 d." DocPartId="0f42f6b1b63e4c03b49661497d6dc970" PartId="c9be106cc2454f45b09ca6393cc40172"/>
              <Part Type="strDalis" Nr="4" Abbr="7 str. 4 d." DocPartId="3abc6f7fd4ca4dd1b33c23fe29c8ea21" PartId="4bec49e5548e4b32a6614c977603f0c9"/>
              <Part Type="strDalis" Nr="5" Abbr="7 str. 5 d." DocPartId="71ee7204f2fe4bde98bd1f16debc48d3" PartId="5e86600de33243148430deda08e2d486"/>
              <Part Type="strDalis" Nr="6" Abbr="7 str. 6 d." DocPartId="3050704d1cbf48918832dac7bec3ef63" PartId="eac96f3ef9184284b683f538827d5f56"/>
              <Part Type="strDalis" Nr="7" Abbr="7 str. 7 d." DocPartId="cc6ca6cb5a014a78a775cc0d8ad85343" PartId="6e0e7ae13c7148e1894b1c3b28ad163a"/>
            </Part>
            <Part Type="straipsnis" Nr="8" Abbr="8 str." Title="Valstybinės rentos mokėjimas jos gavėjui išvykus nuolat gyventi į užsienį" DocPartId="533b013fc51040b8a8144b4c61a4fdb4" PartId="3de827a78af7425fa5d7aaff0674b89f">
              <Part Type="strDalis" Nr="1" Abbr="8 str. 1 d." DocPartId="2bb41179d7f84500aafe620362adecb4" PartId="2102b2799d7d48c4a99dbd1e32a96454"/>
            </Part>
          </Part>
        </Part>
      </Part>
    </Part>
    <Part Type="straipsnis" Nr="2" Abbr="2 str." Title="Įstatymo įsigaliojimas ir įgyvendinimas" DocPartId="896200d894484884b5eb91f68d2419d7" PartId="46d0f2de8f034c78b647c115a3550848">
      <Part Type="strDalis" Nr="1" Abbr="2 str. 1 d." DocPartId="48bb5f21b6ef47ae9e3320fea7177b7b" PartId="d1c7b3eaa8d5406b881925270f955142"/>
      <Part Type="strDalis" Nr="2" Abbr="2 str. 2 d." DocPartId="e6e83649d0df4554b63561a72b1a27bc" PartId="3560a699d5b1400b8c67e90beca2533c"/>
    </Part>
    <Part Type="signatura" DocPartId="258562eef0e44c039c3bf81fa351c581" PartId="136dd1098ac84be4baa62f16c5726d6d"/>
  </Part>
</Parts>
</file>

<file path=customXml/itemProps1.xml><?xml version="1.0" encoding="utf-8"?>
<ds:datastoreItem xmlns:ds="http://schemas.openxmlformats.org/officeDocument/2006/customXml" ds:itemID="{EE136AE7-528B-4680-9A6B-37D1052E3135}">
  <ds:schemaRefs>
    <ds:schemaRef ds:uri="http://schemas.openxmlformats.org/officeDocument/2006/bibliography"/>
  </ds:schemaRefs>
</ds:datastoreItem>
</file>

<file path=customXml/itemProps2.xml><?xml version="1.0" encoding="utf-8"?>
<ds:datastoreItem xmlns:ds="http://schemas.openxmlformats.org/officeDocument/2006/customXml" ds:itemID="{5E36A0AD-443C-434D-B6FA-163780EC79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890</Words>
  <Characters>6356</Characters>
  <Application>Microsoft Office Word</Application>
  <DocSecurity>4</DocSecurity>
  <Lines>122</Lines>
  <Paragraphs>53</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7193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2016-01-22T07:05:00Z</dcterms:created>
  <dc:creator>DaivaB</dc:creator>
  <lastModifiedBy>CLUSadmin</lastModifiedBy>
  <lastPrinted>2015-12-08T07:01:00Z</lastPrinted>
  <dcterms:modified xsi:type="dcterms:W3CDTF">2016-01-22T07:05:00Z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1420021057</vt:i4>
  </property>
  <property fmtid="{D5CDD505-2E9C-101B-9397-08002B2CF9AE}" pid="3" name="_NewReviewCycle">
    <vt:lpwstr/>
  </property>
  <property fmtid="{D5CDD505-2E9C-101B-9397-08002B2CF9AE}" pid="4" name="_EmailSubject">
    <vt:lpwstr>PR renta nauja redakcija 01-19</vt:lpwstr>
  </property>
  <property fmtid="{D5CDD505-2E9C-101B-9397-08002B2CF9AE}" pid="5" name="_AuthorEmail">
    <vt:lpwstr>Danute.Akulaviciene@socmin.lt</vt:lpwstr>
  </property>
  <property fmtid="{D5CDD505-2E9C-101B-9397-08002B2CF9AE}" pid="6" name="_AuthorEmailDisplayName">
    <vt:lpwstr>Danutė Akulavičienė</vt:lpwstr>
  </property>
  <property fmtid="{D5CDD505-2E9C-101B-9397-08002B2CF9AE}" pid="7" name="_ReviewingToolsShownOnce">
    <vt:lpwstr/>
  </property>
</Properties>
</file>