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52b845d41cbe49ee8c6cf15b9894f98e"/>
        <w:lock w:val="sdtLocked"/>
        <w:richText/>
      </w:sdtPr>
      <w:sdtContent>
        <w:p w14:paraId="55C088D4" w14:textId="77777777">
          <w:pPr>
            <w:suppressAutoHyphens/>
            <w:jc w:val="center"/>
            <w:rPr>
              <w:b/>
              <w:bCs/>
              <w:szCs w:val="24"/>
              <w:lang w:eastAsia="lt-LT"/>
            </w:rPr>
          </w:pPr>
        </w:p>
        <w:p w14:paraId="564DFD90" w14:textId="77777777">
          <w:pPr>
            <w:suppressAutoHyphens/>
            <w:jc w:val="center"/>
            <w:rPr>
              <w:b/>
              <w:bCs/>
              <w:szCs w:val="24"/>
              <w:lang w:eastAsia="lt-LT"/>
            </w:rPr>
          </w:pPr>
        </w:p>
        <w:p w14:paraId="09056145" w14:textId="77777777">
          <w:pPr>
            <w:suppressAutoHyphens/>
            <w:jc w:val="center"/>
            <w:rPr>
              <w:b/>
              <w:bCs/>
              <w:szCs w:val="24"/>
              <w:lang w:eastAsia="lt-LT"/>
            </w:rPr>
          </w:pPr>
          <w:r>
            <w:rPr>
              <w:b/>
              <w:bCs/>
              <w:szCs w:val="24"/>
              <w:lang w:eastAsia="lt-LT"/>
            </w:rPr>
            <w:t>ŠIAULIŲ MIESTO SAVIVALDYBĖS TARYBA</w:t>
          </w:r>
        </w:p>
        <w:p w14:paraId="2E715362" w14:textId="77777777">
          <w:pPr>
            <w:suppressAutoHyphens/>
            <w:jc w:val="center"/>
            <w:rPr>
              <w:b/>
              <w:bCs/>
              <w:szCs w:val="24"/>
              <w:lang w:eastAsia="lt-LT"/>
            </w:rPr>
          </w:pPr>
        </w:p>
        <w:p w14:paraId="4C989CBC" w14:textId="77777777">
          <w:pPr>
            <w:suppressAutoHyphens/>
            <w:jc w:val="center"/>
            <w:rPr>
              <w:b/>
              <w:bCs/>
              <w:szCs w:val="24"/>
              <w:lang w:eastAsia="lt-LT"/>
            </w:rPr>
          </w:pPr>
          <w:r>
            <w:rPr>
              <w:b/>
              <w:bCs/>
              <w:szCs w:val="24"/>
              <w:lang w:eastAsia="lt-LT"/>
            </w:rPr>
            <w:t>SPRENDIMAS</w:t>
          </w:r>
        </w:p>
        <w:p w14:paraId="15C1B2BD" w14:textId="77777777">
          <w:pPr>
            <w:suppressAutoHyphens/>
            <w:jc w:val="center"/>
            <w:rPr>
              <w:b/>
              <w:caps/>
              <w:szCs w:val="24"/>
            </w:rPr>
          </w:pPr>
          <w:r>
            <w:rPr>
              <w:b/>
              <w:caps/>
              <w:szCs w:val="24"/>
            </w:rPr>
            <w:t>dĖL klasių ir mokinių skaičiaus ŠIAULIŲ MIESTO bendrojo ugdymo mokykloSE 2025–2026 mokslo metais nustatymo</w:t>
          </w:r>
        </w:p>
        <w:p w14:paraId="42F2B95A" w14:textId="77777777">
          <w:pPr>
            <w:suppressAutoHyphens/>
            <w:rPr>
              <w:b/>
              <w:bCs/>
              <w:szCs w:val="24"/>
              <w:lang w:eastAsia="lt-LT"/>
            </w:rPr>
          </w:pPr>
        </w:p>
        <w:p w14:paraId="74BD907A" w14:textId="77777777">
          <w:pPr>
            <w:suppressAutoHyphens/>
            <w:rPr>
              <w:b/>
              <w:bCs/>
              <w:szCs w:val="24"/>
              <w:lang w:eastAsia="lt-LT"/>
            </w:rPr>
          </w:pPr>
        </w:p>
        <w:p w14:paraId="275C8FE8" w14:textId="77777777">
          <w:pPr>
            <w:suppressAutoHyphens/>
            <w:jc w:val="center"/>
            <w:rPr>
              <w:szCs w:val="24"/>
              <w:lang w:eastAsia="lt-LT"/>
            </w:rPr>
          </w:pPr>
          <w:r>
            <w:rPr>
              <w:szCs w:val="24"/>
              <w:lang w:eastAsia="lt-LT"/>
            </w:rPr>
            <w:t xml:space="preserve">2025 m.                       Nr. T-</w:t>
          </w:r>
        </w:p>
        <w:p w14:paraId="25098D3A" w14:textId="77777777">
          <w:pPr>
            <w:suppressAutoHyphens/>
            <w:jc w:val="center"/>
            <w:rPr>
              <w:szCs w:val="24"/>
              <w:lang w:eastAsia="lt-LT"/>
            </w:rPr>
          </w:pPr>
          <w:r>
            <w:rPr>
              <w:szCs w:val="24"/>
              <w:lang w:eastAsia="lt-LT"/>
            </w:rPr>
            <w:t>Šiauliai</w:t>
          </w:r>
        </w:p>
        <w:p w14:paraId="7A7BAAA8" w14:textId="77777777">
          <w:pPr>
            <w:suppressAutoHyphens/>
            <w:ind w:firstLine="62"/>
            <w:rPr>
              <w:szCs w:val="24"/>
              <w:lang w:eastAsia="lt-LT"/>
            </w:rPr>
          </w:pPr>
        </w:p>
        <w:p w14:paraId="754EDEE5" w14:textId="77777777">
          <w:pPr>
            <w:suppressAutoHyphens/>
            <w:ind w:firstLine="62"/>
            <w:rPr>
              <w:szCs w:val="24"/>
              <w:lang w:eastAsia="lt-LT"/>
            </w:rPr>
          </w:pPr>
        </w:p>
        <w:p w14:paraId="6DC9FEBC" w14:textId="77777777">
          <w:pPr>
            <w:suppressAutoHyphens/>
            <w:ind w:firstLine="1134"/>
            <w:jc w:val="both"/>
            <w:rPr>
              <w:spacing w:val="60"/>
              <w:szCs w:val="24"/>
              <w:lang w:eastAsia="lt-LT"/>
            </w:rPr>
          </w:pPr>
          <w:r>
            <w:rPr>
              <w:szCs w:val="24"/>
              <w:lang w:eastAsia="lt-LT"/>
            </w:rPr>
            <w:t>Vadovaudamasi Lietuvos Respublikos vietos savivaldos įstatymo 6 straipsnio 5 punktu, 7 straipsnio 6 punktu, Švietimo įstatymo 43 straipsnio 8 dalies 7 ir 8 punktu, 9, 11 ir 12 dalimi, Mokyklų, vykdančių formaliojo švietimo programas, tinklo kūrimo taisyklių, patvirtintų Lietuvos Respublikos Vyriausybės 2011 m. birželio 29 d. nutarimu Nr. 768 „Dėl Mokyklų, vykdančių formaliojo švietimo programas, tinklo kūrimo taisyklių patvirtinimo“, 23 punktu,</w:t>
          </w:r>
          <w:r>
            <w:rPr>
              <w:b/>
              <w:bCs/>
              <w:szCs w:val="24"/>
              <w:lang w:eastAsia="lt-LT"/>
            </w:rPr>
            <w:t xml:space="preserve"> </w:t>
          </w:r>
          <w:r>
            <w:rPr>
              <w:color w:val="000000"/>
              <w:szCs w:val="24"/>
            </w:rPr>
            <w:t>Priėmimo į valstybinę ir savivaldybės bendrojo ugdymo mokyklą mokytis pagal priešmokyklinio ugdymo, bendrojo ugdymo programas, ikimokyklinio ugdymo mokyklą mokytis pagal priešmokyklinio ugdymo programą kriterijų sąrašu</w:t>
          </w:r>
          <w:r>
            <w:rPr>
              <w:szCs w:val="24"/>
              <w:lang w:eastAsia="lt-LT"/>
            </w:rPr>
            <w:t xml:space="preserve">, patvirtintu Lietuvos Respublikos švietimo, mokslo ir sporto ministro 2024 m. </w:t>
          </w:r>
          <w:r>
            <w:rPr>
              <w:szCs w:val="24"/>
            </w:rPr>
            <w:t>sausio 24 d. įsakymo Nr. V-78</w:t>
          </w:r>
          <w:r>
            <w:rPr>
              <w:szCs w:val="24"/>
              <w:lang w:eastAsia="lt-LT"/>
            </w:rPr>
            <w:t xml:space="preserve"> „Dėl </w:t>
          </w:r>
          <w:r>
            <w:rPr>
              <w:color w:val="000000"/>
              <w:szCs w:val="24"/>
            </w:rPr>
            <w:t>Priėmimo į valstybinę ir savivaldybės bendrojo ugdymo mokyklą mokytis pagal priešmokyklinio ugdymo, bendrojo ugdymo programas, ikimokyklinio ugdymo mokyklą mokytis pagal priešmokyklinio ugdymo programą kriterijų</w:t>
          </w:r>
          <w:r>
            <w:rPr>
              <w:szCs w:val="24"/>
              <w:lang w:eastAsia="lt-LT"/>
            </w:rPr>
            <w:t xml:space="preserve"> sąrašo patvirtinimo“ 1 punktu, ir </w:t>
          </w:r>
          <w:r>
            <w:rPr>
              <w:szCs w:val="24"/>
            </w:rPr>
            <w:t>įgyvendindama Priėmimo į Šiaulių miesto savivaldybės bendrojo ugdymo mokyklas mokytis pagal priešmokyklinio ugdymo, bendrojo ugdymo programas ir į ikimokyklinio ugdymo mokyklas mokytis pagal priešmokyklinio ugdymo programą tvarkos aprašo, patvirtinto Šiaulių miesto savivaldybės tarybos 2024 m. gruodžio 19 d. sprendimo Nr. T-545 „Dėl Priėmimo į Šiaulių miesto savivaldybės bendrojo ugdymo mokyklas mokytis pagal priešmokyklinio ugdymo, bendrojo ugdymo programas ir į ikimokyklinio ugdymo mokyklas mokytis pagal priešmokyklinio ugdymo programą tvarkos aprašo patvirtinimo“ 1 punktu, 18 punktą,</w:t>
          </w:r>
          <w:r>
            <w:rPr>
              <w:szCs w:val="24"/>
              <w:lang w:eastAsia="lt-LT"/>
            </w:rPr>
            <w:t xml:space="preserve"> Šiaulių miesto savivaldybės taryba </w:t>
          </w:r>
          <w:r>
            <w:rPr>
              <w:spacing w:val="60"/>
              <w:szCs w:val="24"/>
              <w:lang w:eastAsia="lt-LT"/>
            </w:rPr>
            <w:t>nusprendžia:</w:t>
          </w:r>
        </w:p>
        <w:p w14:paraId="793E62C3" w14:textId="77777777">
          <w:pPr>
            <w:suppressAutoHyphens/>
            <w:ind w:firstLine="1134"/>
            <w:jc w:val="both"/>
            <w:rPr>
              <w:szCs w:val="24"/>
              <w:lang w:eastAsia="lt-LT"/>
            </w:rPr>
          </w:pPr>
          <w:r>
            <w:rPr>
              <w:szCs w:val="24"/>
              <w:lang w:eastAsia="lt-LT"/>
            </w:rPr>
            <w:t>Nustatyti klasių ir mokinių skaičių Šiaulių miesto bendrojo ugdymo mokyklose 2025–2026 mokslo metais, nurodytą šio sprendimo priede.</w:t>
          </w:r>
        </w:p>
        <w:p w14:paraId="695FC567" w14:textId="77777777">
          <w:pPr>
            <w:suppressAutoHyphens/>
            <w:rPr>
              <w:szCs w:val="24"/>
              <w:lang w:eastAsia="lt-LT"/>
            </w:rPr>
          </w:pPr>
        </w:p>
        <w:p w14:paraId="1A24F648" w14:textId="77777777">
          <w:pPr>
            <w:suppressAutoHyphens/>
            <w:rPr>
              <w:szCs w:val="24"/>
              <w:lang w:eastAsia="lt-LT"/>
            </w:rPr>
          </w:pPr>
        </w:p>
        <w:sdt>
          <w:sdtPr>
            <w:alias w:val="preambule"/>
            <w:tag w:val="part_434a4dff3fb54fa7b5d72ae8af38add3"/>
            <w:lock w:val="sdtLocked"/>
            <w:richText/>
          </w:sdtPr>
          <w:sdtContent>
            <w:p w14:paraId="1708F749" w14:textId="77777777">
              <w:pPr>
                <w:suppressAutoHyphens/>
                <w:rPr>
                  <w:szCs w:val="24"/>
                  <w:lang w:eastAsia="lt-LT"/>
                </w:rPr>
              </w:pPr>
              <w:r>
                <w:rPr>
                  <w:szCs w:val="24"/>
                  <w:lang w:eastAsia="lt-LT"/>
                </w:rPr>
                <w:t>Savivaldybės meras</w:t>
              </w:r>
            </w:p>
          </w:sdtContent>
        </w:sdt>
      </w:sdtContent>
    </w:sdt>
    <w:sectPr>
      <w:headerReference w:type="default" r:id="rId6"/>
      <w:pgSz w:w="11906" w:h="16838"/>
      <w:pgMar w:top="1134" w:right="567" w:bottom="1134" w:left="1701" w:header="567" w:footer="0" w:gutter="0"/>
      <w:cols w:space="1296"/>
      <w:formProt w:val="0"/>
      <w:docGrid w:linePitch="360" w:charSpace="4096"/>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1CF0D06" w14:textId="77777777">
      <w:pPr>
        <w:suppressAutoHyphens/>
        <w:rPr>
          <w:sz w:val="22"/>
          <w:szCs w:val="22"/>
        </w:rPr>
      </w:pPr>
      <w:r>
        <w:rPr>
          <w:sz w:val="22"/>
          <w:szCs w:val="22"/>
        </w:rPr>
        <w:separator/>
      </w:r>
    </w:p>
  </w:endnote>
  <w:endnote w:type="continuationSeparator" w:id="0">
    <w:p w14:paraId="014F8DAE" w14:textId="77777777">
      <w:pPr>
        <w:suppressAutoHyphens/>
        <w:rPr>
          <w:sz w:val="22"/>
          <w:szCs w:val="22"/>
        </w:rPr>
      </w:pPr>
      <w:r>
        <w:rPr>
          <w:sz w:val="22"/>
          <w:szCs w:val="22"/>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649FC3D" w14:textId="77777777">
      <w:pPr>
        <w:suppressAutoHyphens/>
        <w:rPr>
          <w:sz w:val="22"/>
          <w:szCs w:val="22"/>
        </w:rPr>
      </w:pPr>
      <w:r>
        <w:rPr>
          <w:sz w:val="22"/>
          <w:szCs w:val="22"/>
        </w:rPr>
        <w:separator/>
      </w:r>
    </w:p>
  </w:footnote>
  <w:footnote w:type="continuationSeparator" w:id="0">
    <w:p w14:paraId="3BD7D19B" w14:textId="77777777">
      <w:pPr>
        <w:suppressAutoHyphens/>
        <w:rPr>
          <w:sz w:val="22"/>
          <w:szCs w:val="22"/>
        </w:rPr>
      </w:pPr>
      <w:r>
        <w:rPr>
          <w:sz w:val="22"/>
          <w:szCs w:val="22"/>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E8C5FF3" w14:textId="2AB164A3">
    <w:pPr>
      <w:suppressAutoHyphens/>
      <w:ind w:firstLine="6946"/>
      <w:jc w:val="right"/>
      <w:rPr>
        <w:b/>
        <w:bCs/>
        <w:szCs w:val="24"/>
      </w:rPr>
    </w:pPr>
    <w:r>
      <w:rPr>
        <w:b/>
        <w:bCs/>
        <w:szCs w:val="24"/>
        <w:lang w:eastAsia="lt-LT"/>
      </w:rPr>
      <w:t>Nauja projekto redakcija</w:t>
    </w: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F64F8"/>
  </w:rsids>
  <m:mathPr>
    <m:mathFont m:val="Cambria Math"/>
    <m:brkBin m:val="before"/>
    <m:brkBinSub m:val="--"/>
    <m:smallFrac m:val="0"/>
    <m:dispDef/>
    <m:lMargin m:val="0"/>
    <m:rMargin m:val="0"/>
    <m:defJc m:val="centerGroup"/>
    <m:wrapIndent m:val="1440"/>
    <m:intLim m:val="subSup"/>
    <m:naryLim m:val="undOvr"/>
  </m:mathPr>
  <w:themeFontLang w:val="lt-LT"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80BF557"/>
  <w15:docId w15:val="{E408CDC1-C028-4128-8603-A06E89EA0B94}"/>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file>

<file path=word/_rels/document.xml.rels><?xml version="1.0" encoding="UTF-8"?>

<Relationships xmlns="http://schemas.openxmlformats.org/package/2006/relationships">
  <Relationship Id="rId1" Type="http://schemas.openxmlformats.org/officeDocument/2006/relationships/styles" Target="styles.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header" Target="header1.xml"/>
  <Relationship Id="rId7" Type="http://schemas.openxmlformats.org/officeDocument/2006/relationships/fontTable" Target="fontTable.xml"/>
  <Relationship Id="rId8" Type="http://schemas.openxmlformats.org/officeDocument/2006/relationships/theme" Target="theme/theme1.xml"/>
  <Relationship Id="rId9" Type="http://schemas.openxmlformats.org/officeDocument/2006/relationships/customXml" Target="../customXml/item1.xml"/>
</Relationships>

</file>

<file path=word/theme/theme1.xml><?xml version="1.0" encoding="utf-8"?>
<a:theme xmlns:a="http://schemas.openxmlformats.org/drawingml/2006/main" name="Office tema">
  <a:themeElements>
    <a:clrScheme name="Office">
      <a:dk1>
        <a:srgbClr val="000000"/>
      </a:dk1>
      <a:lt1>
        <a:srgbClr val="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majorFont>
      <a:minorFont>
        <a:latin typeface="Calibri"/>
        <a:ea typeface=""/>
        <a:cs typeface=""/>
      </a:minorFont>
    </a:fontScheme>
    <a:fmtScheme>
      <a:fillStyleLst>
        <a:solidFill>
          <a:schemeClr val="phClr"/>
        </a:solidFill>
        <a:gradFill>
          <a:gsLst>
            <a:gs pos="0">
              <a:schemeClr val="phClr">
                <a:tint val="50000"/>
              </a:schemeClr>
            </a:gs>
            <a:gs pos="35000">
              <a:schemeClr val="phClr">
                <a:tint val="37000"/>
              </a:schemeClr>
            </a:gs>
            <a:gs pos="100000">
              <a:schemeClr val="phClr">
                <a:tint val="15000"/>
              </a:schemeClr>
            </a:gs>
          </a:gsLst>
          <a:lin ang="16200000" scaled="1"/>
          <a:tileRect/>
        </a:gradFill>
        <a:gradFill>
          <a:gsLst>
            <a:gs pos="0">
              <a:schemeClr val="phClr">
                <a:shade val="51000"/>
              </a:schemeClr>
            </a:gs>
            <a:gs pos="80000">
              <a:schemeClr val="phClr">
                <a:shade val="93000"/>
              </a:schemeClr>
            </a:gs>
            <a:gs pos="100000">
              <a:schemeClr val="phClr">
                <a:shade val="94000"/>
              </a:schemeClr>
            </a:gs>
          </a:gsLst>
          <a:lin ang="16200000" scaled="0"/>
          <a:tileRect/>
        </a:gradFill>
      </a:fillStyleLst>
      <a:lnStyleLst>
        <a:ln w="9525" cap="flat" cmpd="sng" algn="ctr">
          <a:prstDash val="solid"/>
        </a:ln>
        <a:ln w="25400" cap="flat" cmpd="sng" algn="ctr">
          <a:prstDash val="solid"/>
        </a:ln>
        <a:ln w="38100" cap="flat" cmpd="sng" algn="ctr">
          <a:prstDash val="solid"/>
        </a:ln>
      </a:lnStyleLst>
      <a:effectStyleLst>
        <a:effectStyle>
          <a:effectLst/>
        </a:effectStyle>
        <a:effectStyle>
          <a:effectLst/>
        </a:effectStyle>
        <a:effectStyle>
          <a:effectLst/>
        </a:effectStyle>
      </a:effectStyleLst>
      <a:bgFillStyleLst>
        <a:solidFill>
          <a:schemeClr val="phClr"/>
        </a:solidFill>
        <a:gradFill>
          <a:gsLst>
            <a:gs pos="0">
              <a:schemeClr val="phClr">
                <a:tint val="40000"/>
              </a:schemeClr>
            </a:gs>
            <a:gs pos="40000">
              <a:schemeClr val="phClr">
                <a:tint val="45000"/>
                <a:shade val="99000"/>
              </a:schemeClr>
            </a:gs>
            <a:gs pos="100000">
              <a:schemeClr val="phClr">
                <a:shade val="20000"/>
              </a:schemeClr>
            </a:gs>
          </a:gsLst>
          <a:path path="circle">
            <a:fillToRect l="50000" t="-80000" r="50000" b="180000"/>
          </a:path>
          <a:tileRect/>
        </a:gradFill>
        <a:gradFill>
          <a:gsLst>
            <a:gs pos="0">
              <a:schemeClr val="phClr">
                <a:tint val="80000"/>
              </a:schemeClr>
            </a:gs>
            <a:gs pos="100000">
              <a:schemeClr val="phClr">
                <a:shade val="30000"/>
              </a:schemeClr>
            </a:gs>
          </a:gsLst>
          <a:path path="circle">
            <a:fillToRect l="50000" t="50000" r="50000" b="50000"/>
          </a:path>
          <a:tileRect/>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e49b1916c6ce434395e37d99895a4253" PartId="52b845d41cbe49ee8c6cf15b9894f98e">
    <Part Type="preambule" DocPartId="b043d43d313d4ead9082764df09ab34d" PartId="434a4dff3fb54fa7b5d72ae8af38add3"/>
  </Part>
</Parts>
</file>

<file path=customXml/itemProps1.xml><?xml version="1.0" encoding="utf-8"?>
<ds:datastoreItem xmlns:ds="http://schemas.openxmlformats.org/officeDocument/2006/customXml" ds:itemID="{2F76B498-9E8B-4CA1-9708-6301544CDA51}">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259</Words>
  <Characters>1770</Characters>
  <Application>Microsoft Office Word</Application>
  <DocSecurity>4</DocSecurity>
  <Lines>37</Lines>
  <Paragraphs>9</Paragraphs>
  <ScaleCrop>false</ScaleCrop>
  <Company/>
  <LinksUpToDate>false</LinksUpToDate>
  <CharactersWithSpaces>2020</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2025-01-23T12:33:00Z</dcterms:created>
  <dc:creator>PC</dc:creator>
  <dc:language>en-US</dc:language>
  <lastModifiedBy>adlibuser</lastModifiedBy>
  <dcterms:modified xsi:type="dcterms:W3CDTF">2025-01-23T12:33:00Z</dcterms:modified>
  <revision>2</revision>
</coreProperties>
</file>