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609A0E79" w14:textId="77777777">
      <w:pPr>
        <w:widowControl w:val="0"/>
        <w:tabs>
          <w:tab w:val="center" w:pos="4819"/>
          <w:tab w:val="right" w:pos="9638"/>
        </w:tabs>
        <w:rPr>
          <w:sz w:val="20"/>
          <w:lang w:eastAsia="lt-LT"/>
        </w:rPr>
      </w:pPr>
    </w:p>
    <w:p w14:paraId="0853589F" w14:textId="77777777">
      <w:pPr>
        <w:widowControl w:val="0"/>
        <w:ind w:firstLine="4554"/>
        <w:jc w:val="right"/>
        <w:rPr>
          <w:b/>
          <w:szCs w:val="24"/>
          <w:lang w:eastAsia="lt-LT"/>
        </w:rPr>
      </w:pPr>
      <w:r>
        <w:rPr>
          <w:b/>
          <w:szCs w:val="24"/>
          <w:lang w:eastAsia="lt-LT"/>
        </w:rPr>
        <w:t xml:space="preserve">Projektas Nr. TSP-212 </w:t>
      </w:r>
    </w:p>
    <w:p w14:paraId="5CE9E1EC" w14:textId="007B7979">
      <w:pPr>
        <w:widowControl w:val="0"/>
        <w:ind w:firstLine="1364"/>
        <w:jc w:val="right"/>
        <w:rPr>
          <w:b/>
          <w:szCs w:val="24"/>
          <w:lang w:eastAsia="lt-LT"/>
        </w:rPr>
      </w:pPr>
    </w:p>
    <w:p w14:paraId="138CF8D9" w14:textId="77777777">
      <w:pPr>
        <w:widowControl w:val="0"/>
        <w:shd w:val="clear" w:color="auto" w:fill="FFFFFF"/>
        <w:jc w:val="center"/>
        <w:rPr>
          <w:b/>
          <w:sz w:val="28"/>
          <w:szCs w:val="28"/>
          <w:lang w:eastAsia="lt-LT"/>
        </w:rPr>
      </w:pPr>
      <w:r>
        <w:rPr>
          <w:b/>
          <w:bCs/>
          <w:color w:val="000000"/>
          <w:sz w:val="28"/>
          <w:szCs w:val="28"/>
        </w:rPr>
        <w:t>KUPIŠKIO RAJONO SAVIVALDYBĖS TARYBA</w:t>
      </w:r>
    </w:p>
    <w:p w14:paraId="223355B4" w14:textId="77777777">
      <w:pPr>
        <w:widowControl w:val="0"/>
        <w:shd w:val="clear" w:color="auto" w:fill="FFFFFF"/>
        <w:rPr>
          <w:bCs/>
          <w:color w:val="000000"/>
          <w:szCs w:val="24"/>
        </w:rPr>
      </w:pPr>
    </w:p>
    <w:p w14:paraId="266BAF10" w14:textId="77777777">
      <w:pPr>
        <w:widowControl w:val="0"/>
        <w:shd w:val="clear" w:color="auto" w:fill="FFFFFF"/>
        <w:jc w:val="center"/>
        <w:rPr>
          <w:b/>
          <w:bCs/>
          <w:color w:val="000000"/>
          <w:szCs w:val="24"/>
        </w:rPr>
      </w:pPr>
      <w:r>
        <w:rPr>
          <w:b/>
          <w:bCs/>
          <w:color w:val="000000"/>
          <w:szCs w:val="24"/>
        </w:rPr>
        <w:t>SPRENDIMAS</w:t>
      </w:r>
    </w:p>
    <w:p w14:paraId="0C27B608" w14:textId="41212983">
      <w:pPr>
        <w:widowControl w:val="0"/>
        <w:jc w:val="center"/>
        <w:rPr>
          <w:b/>
          <w:bCs/>
          <w:szCs w:val="24"/>
          <w:lang w:eastAsia="lt-LT"/>
        </w:rPr>
      </w:pPr>
      <w:r>
        <w:rPr>
          <w:b/>
          <w:bCs/>
          <w:szCs w:val="24"/>
          <w:lang w:eastAsia="lt-LT"/>
        </w:rPr>
        <w:t xml:space="preserve">DĖL  KUPIŠKIO  RAJONO SAVIVALDYBĖS 2020 METŲ BIUDŽETO VYKDYMO ATASKAITŲ IR SAVIVALDYBĖS KONSOLIDUOTŲJŲ FINANSINIŲ ATASKAITŲ RINKINIŲ PATVIRTINIMO</w:t>
      </w:r>
    </w:p>
    <w:p w14:paraId="6A7F13BD" w14:textId="77777777">
      <w:pPr>
        <w:widowControl w:val="0"/>
        <w:jc w:val="center"/>
        <w:rPr>
          <w:sz w:val="20"/>
          <w:lang w:eastAsia="lt-LT"/>
        </w:rPr>
      </w:pPr>
    </w:p>
    <w:p w14:paraId="28253AC3" w14:textId="5810A330">
      <w:pPr>
        <w:widowControl w:val="0"/>
        <w:jc w:val="center"/>
        <w:rPr>
          <w:szCs w:val="24"/>
          <w:lang w:eastAsia="lt-LT"/>
        </w:rPr>
      </w:pPr>
      <w:r>
        <w:rPr>
          <w:szCs w:val="24"/>
          <w:lang w:eastAsia="lt-LT"/>
        </w:rPr>
        <w:t xml:space="preserve">2021 m. rugpjūčio   d.   Nr. TS - </w:t>
      </w:r>
    </w:p>
    <w:p w14:paraId="374C2368" w14:textId="77777777">
      <w:pPr>
        <w:widowControl w:val="0"/>
        <w:jc w:val="center"/>
        <w:rPr>
          <w:szCs w:val="24"/>
          <w:lang w:eastAsia="lt-LT"/>
        </w:rPr>
      </w:pPr>
      <w:r>
        <w:rPr>
          <w:szCs w:val="24"/>
          <w:lang w:eastAsia="lt-LT"/>
        </w:rPr>
        <w:t>Kupiškis</w:t>
      </w:r>
    </w:p>
    <w:p w14:paraId="7EF71B14" w14:textId="77777777">
      <w:pPr>
        <w:widowControl w:val="0"/>
        <w:jc w:val="center"/>
        <w:rPr>
          <w:sz w:val="20"/>
          <w:lang w:eastAsia="lt-LT"/>
        </w:rPr>
      </w:pPr>
    </w:p>
    <w:p w14:paraId="1AF6CA10" w14:textId="4553A1C9">
      <w:pPr>
        <w:spacing w:line="360" w:lineRule="auto"/>
        <w:ind w:firstLine="1309"/>
        <w:jc w:val="both"/>
        <w:rPr>
          <w:szCs w:val="24"/>
          <w:lang w:eastAsia="lt-LT"/>
        </w:rPr>
      </w:pPr>
      <w:r>
        <w:rPr>
          <w:szCs w:val="24"/>
          <w:lang w:eastAsia="lt-LT"/>
        </w:rPr>
        <w:t>Vadovaudamasi Lietuvos Respublikos vietos savivaldos įstatymo 16 straipsnio 2 dalies 15 punktu, Lietuvos Respublikos biudžeto sandaros įstatymo 36 straipsnio 3 dalimi, Lietuvos Respublikos viešojo sektoriaus atskaitomybės įstatymu ir atsižvelgdama į Kupiškio rajono savivaldybės kontrolės ir audito tarnybos 2021 m. liepos 9 d. audito išvadą Nr</w:t>
      </w:r>
      <w:r>
        <w:rPr>
          <w:color w:val="FF0000"/>
          <w:szCs w:val="24"/>
          <w:lang w:eastAsia="lt-LT"/>
        </w:rPr>
        <w:t xml:space="preserve">. </w:t>
      </w:r>
      <w:r>
        <w:rPr>
          <w:szCs w:val="24"/>
          <w:lang w:eastAsia="lt-LT"/>
        </w:rPr>
        <w:t xml:space="preserve">K2-1 „Dėl Kupiškio rajono savivaldybės 2020 metų konsoliduotųjų ataskaitų rinkinio, Savivaldybės biudžeto vykdymo ir turto naudojimo“,  Kupiškio rajono savivaldybės taryba n u s p r e n d ž i a:  </w:t>
      </w:r>
    </w:p>
    <w:p w14:paraId="58D667F9" w14:textId="77777777">
      <w:pPr>
        <w:spacing w:line="360" w:lineRule="auto"/>
        <w:ind w:firstLine="1247"/>
        <w:jc w:val="both"/>
        <w:rPr>
          <w:szCs w:val="24"/>
          <w:lang w:eastAsia="lt-LT"/>
        </w:rPr>
      </w:pPr>
      <w:r>
        <w:rPr>
          <w:szCs w:val="24"/>
          <w:lang w:eastAsia="lt-LT"/>
        </w:rPr>
        <w:t>1</w:t>
      </w:r>
      <w:r>
        <w:rPr>
          <w:szCs w:val="24"/>
          <w:lang w:eastAsia="lt-LT"/>
        </w:rPr>
        <w:t>. Patvirtinti Kupiškio rajono savivaldybės 2020 metų biudžeto vykdymo ataskaitų rinkinį (pridedama), kurį sudaro:</w:t>
      </w:r>
    </w:p>
    <w:p w14:paraId="5D2369B7" w14:textId="77777777">
      <w:pPr>
        <w:spacing w:line="360" w:lineRule="auto"/>
        <w:ind w:firstLine="1247"/>
        <w:jc w:val="both"/>
        <w:rPr>
          <w:szCs w:val="24"/>
          <w:lang w:eastAsia="lt-LT"/>
        </w:rPr>
      </w:pPr>
      <w:r>
        <w:rPr>
          <w:szCs w:val="24"/>
          <w:lang w:eastAsia="lt-LT"/>
        </w:rPr>
        <w:t>1.1</w:t>
      </w:r>
      <w:r>
        <w:rPr>
          <w:szCs w:val="24"/>
          <w:lang w:eastAsia="lt-LT"/>
        </w:rPr>
        <w:t>. Biudžeto pajamų ir išlaidų plano vykdymo 2020 m. gruodžio 31 d. ataskaita;</w:t>
      </w:r>
    </w:p>
    <w:p w14:paraId="141DAC55" w14:textId="77777777">
      <w:pPr>
        <w:spacing w:line="360" w:lineRule="auto"/>
        <w:ind w:firstLine="1247"/>
        <w:jc w:val="both"/>
        <w:rPr>
          <w:szCs w:val="24"/>
          <w:lang w:eastAsia="lt-LT"/>
        </w:rPr>
      </w:pPr>
      <w:r>
        <w:rPr>
          <w:szCs w:val="24"/>
          <w:lang w:eastAsia="lt-LT"/>
        </w:rPr>
        <w:t>1.2</w:t>
      </w:r>
      <w:r>
        <w:rPr>
          <w:szCs w:val="24"/>
          <w:lang w:eastAsia="lt-LT"/>
        </w:rPr>
        <w:t xml:space="preserve">. Biudžeto išlaidų sąmatos vykdymo 2020 m. gruodžio 31 d. ataskaita; </w:t>
      </w:r>
    </w:p>
    <w:p w14:paraId="750744EF" w14:textId="77777777">
      <w:pPr>
        <w:spacing w:line="360" w:lineRule="auto"/>
        <w:ind w:firstLine="1247"/>
        <w:jc w:val="both"/>
        <w:rPr>
          <w:szCs w:val="24"/>
          <w:lang w:eastAsia="lt-LT"/>
        </w:rPr>
      </w:pPr>
      <w:r>
        <w:rPr>
          <w:szCs w:val="24"/>
          <w:lang w:eastAsia="lt-LT"/>
        </w:rPr>
        <w:t>1.3</w:t>
      </w:r>
      <w:r>
        <w:rPr>
          <w:szCs w:val="24"/>
          <w:lang w:eastAsia="lt-LT"/>
        </w:rPr>
        <w:t>. Aiškinamasis raštas ir sprendimo 1–3 priedai.</w:t>
      </w:r>
    </w:p>
    <w:p w14:paraId="53177428" w14:textId="77777777">
      <w:pPr>
        <w:spacing w:line="360" w:lineRule="auto"/>
        <w:ind w:firstLine="1247"/>
        <w:jc w:val="both"/>
        <w:rPr>
          <w:szCs w:val="24"/>
          <w:lang w:eastAsia="lt-LT"/>
        </w:rPr>
      </w:pPr>
      <w:r>
        <w:rPr>
          <w:szCs w:val="24"/>
          <w:lang w:eastAsia="lt-LT"/>
        </w:rPr>
        <w:t>2</w:t>
      </w:r>
      <w:r>
        <w:rPr>
          <w:szCs w:val="24"/>
          <w:lang w:eastAsia="lt-LT"/>
        </w:rPr>
        <w:t>. Patvirtinti Kupiškio rajono savivaldybės 2020 metų konsoliduotųjų finansinių ataskaitų rinkinį (pridedama), kurį sudaro:</w:t>
      </w:r>
    </w:p>
    <w:p w14:paraId="49902B35" w14:textId="77777777">
      <w:pPr>
        <w:spacing w:line="360" w:lineRule="auto"/>
        <w:ind w:firstLine="1247"/>
        <w:jc w:val="both"/>
        <w:rPr>
          <w:szCs w:val="24"/>
          <w:lang w:eastAsia="lt-LT"/>
        </w:rPr>
      </w:pPr>
      <w:r>
        <w:rPr>
          <w:szCs w:val="24"/>
          <w:lang w:eastAsia="lt-LT"/>
        </w:rPr>
        <w:t>2.1</w:t>
      </w:r>
      <w:r>
        <w:rPr>
          <w:szCs w:val="24"/>
          <w:lang w:eastAsia="lt-LT"/>
        </w:rPr>
        <w:t>. Finansinės būklės ataskaita;</w:t>
      </w:r>
    </w:p>
    <w:p w14:paraId="6627FB6E" w14:textId="77777777">
      <w:pPr>
        <w:spacing w:line="360" w:lineRule="auto"/>
        <w:ind w:firstLine="1247"/>
        <w:jc w:val="both"/>
        <w:rPr>
          <w:szCs w:val="24"/>
          <w:lang w:eastAsia="lt-LT"/>
        </w:rPr>
      </w:pPr>
      <w:r>
        <w:rPr>
          <w:szCs w:val="24"/>
          <w:lang w:eastAsia="lt-LT"/>
        </w:rPr>
        <w:t>2.2</w:t>
      </w:r>
      <w:r>
        <w:rPr>
          <w:szCs w:val="24"/>
          <w:lang w:eastAsia="lt-LT"/>
        </w:rPr>
        <w:t>. Veiklos rezultatų ataskaita;</w:t>
      </w:r>
    </w:p>
    <w:p w14:paraId="6C78815F" w14:textId="77777777">
      <w:pPr>
        <w:spacing w:line="360" w:lineRule="auto"/>
        <w:ind w:firstLine="1247"/>
        <w:jc w:val="both"/>
        <w:rPr>
          <w:szCs w:val="24"/>
          <w:lang w:eastAsia="lt-LT"/>
        </w:rPr>
      </w:pPr>
      <w:r>
        <w:rPr>
          <w:szCs w:val="24"/>
          <w:lang w:eastAsia="lt-LT"/>
        </w:rPr>
        <w:t>2.3</w:t>
      </w:r>
      <w:r>
        <w:rPr>
          <w:szCs w:val="24"/>
          <w:lang w:eastAsia="lt-LT"/>
        </w:rPr>
        <w:t>. Pinigų srautų ataskaita;</w:t>
      </w:r>
    </w:p>
    <w:p w14:paraId="7DB2E379" w14:textId="77777777">
      <w:pPr>
        <w:spacing w:line="360" w:lineRule="auto"/>
        <w:ind w:firstLine="1247"/>
        <w:jc w:val="both"/>
        <w:rPr>
          <w:szCs w:val="24"/>
          <w:lang w:eastAsia="lt-LT"/>
        </w:rPr>
      </w:pPr>
      <w:r>
        <w:rPr>
          <w:szCs w:val="24"/>
          <w:lang w:eastAsia="lt-LT"/>
        </w:rPr>
        <w:t>2.4</w:t>
      </w:r>
      <w:r>
        <w:rPr>
          <w:szCs w:val="24"/>
          <w:lang w:eastAsia="lt-LT"/>
        </w:rPr>
        <w:t>. Grynojo turto pokyčių ataskaita;</w:t>
      </w:r>
    </w:p>
    <w:p w14:paraId="1C8CB1D8" w14:textId="52CD963C">
      <w:pPr>
        <w:spacing w:line="360" w:lineRule="auto"/>
        <w:ind w:firstLine="1247"/>
        <w:jc w:val="both"/>
        <w:rPr>
          <w:szCs w:val="24"/>
          <w:lang w:eastAsia="lt-LT"/>
        </w:rPr>
      </w:pPr>
      <w:r>
        <w:rPr>
          <w:szCs w:val="24"/>
          <w:lang w:eastAsia="lt-LT"/>
        </w:rPr>
        <w:t>2.5</w:t>
      </w:r>
      <w:r>
        <w:rPr>
          <w:szCs w:val="24"/>
          <w:lang w:eastAsia="lt-LT"/>
        </w:rPr>
        <w:t>. Finansinių ataskaitų aiškinamasis raštas.</w:t>
      </w:r>
    </w:p>
    <w:p w14:paraId="3C04097E" w14:textId="77777777">
      <w:pPr>
        <w:spacing w:line="360" w:lineRule="auto"/>
        <w:ind w:firstLine="1247"/>
        <w:jc w:val="both"/>
        <w:rPr>
          <w:szCs w:val="24"/>
          <w:lang w:eastAsia="lt-LT"/>
        </w:rPr>
      </w:pPr>
      <w:r>
        <w:rPr>
          <w:szCs w:val="24"/>
          <w:lang w:eastAsia="lt-LT"/>
        </w:rPr>
        <w:t>3</w:t>
      </w:r>
      <w:r>
        <w:rPr>
          <w:szCs w:val="24"/>
          <w:lang w:eastAsia="lt-LT"/>
        </w:rPr>
        <w:t>. Apie šį sprendimą paskelbti spaudoje, o visą sprendimą – Savivaldybės interneto svetainėje.</w:t>
      </w:r>
    </w:p>
    <w:p w14:paraId="20D4A726" w14:textId="01ED08C9">
      <w:pPr>
        <w:spacing w:line="360" w:lineRule="auto"/>
        <w:ind w:firstLine="1247"/>
        <w:jc w:val="both"/>
        <w:rPr>
          <w:szCs w:val="24"/>
          <w:lang w:eastAsia="lt-LT"/>
        </w:rPr>
      </w:pPr>
      <w:r>
        <w:rPr>
          <w:szCs w:val="24"/>
        </w:rPr>
        <w:t xml:space="preserve">Šis sprendimas gali būti skundžiamas per šešis mėnesius nuo skunde nurodytų pažeidimų paaiškėjimo asmeniui dienos Kupiškio rajono savivaldybės tarybai  (Vytauto g. 2, Kupiškis) Lietuvos Respublikos viešojo administravimo įstatymo nustatyta tvarka arba per vieną mėnesį nuo jo paskelbimo arba įteikimo suinteresuotai šaliai dienos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 </w:t>
      </w:r>
    </w:p>
    <w:p w14:paraId="26785F11" w14:textId="191D2AF5">
      <w:pPr>
        <w:widowControl w:val="0"/>
        <w:tabs>
          <w:tab w:val="left" w:pos="1247"/>
        </w:tabs>
        <w:spacing w:line="360" w:lineRule="auto"/>
        <w:jc w:val="both"/>
        <w:rPr>
          <w:szCs w:val="24"/>
        </w:rPr>
      </w:pPr>
    </w:p>
    <w:p w14:paraId="7D76AA9B" w14:textId="77777777">
      <w:pPr>
        <w:widowControl w:val="0"/>
        <w:tabs>
          <w:tab w:val="left" w:pos="1247"/>
        </w:tabs>
        <w:spacing w:line="360" w:lineRule="auto"/>
        <w:jc w:val="both"/>
        <w:rPr>
          <w:szCs w:val="24"/>
        </w:rPr>
      </w:pPr>
    </w:p>
    <w:p w14:paraId="72E3C81E" w14:textId="77777777">
      <w:pPr>
        <w:rPr>
          <w:szCs w:val="24"/>
        </w:rPr>
      </w:pPr>
      <w:r>
        <w:rPr>
          <w:szCs w:val="24"/>
        </w:rPr>
        <w:t xml:space="preserve">Savivaldybės meras </w:t>
      </w:r>
    </w:p>
    <w:p w14:paraId="319F0822" w14:textId="79E3B7D3">
      <w:pPr>
        <w:tabs>
          <w:tab w:val="left" w:pos="1247"/>
        </w:tabs>
        <w:spacing w:line="360" w:lineRule="auto"/>
        <w:ind w:firstLine="62"/>
        <w:jc w:val="both"/>
        <w:rPr>
          <w:color w:val="000000"/>
          <w:szCs w:val="24"/>
        </w:rPr>
      </w:pPr>
    </w:p>
    <w:p w14:paraId="4C7C073A" w14:textId="77777777">
      <w:pPr>
        <w:tabs>
          <w:tab w:val="left" w:pos="1247"/>
        </w:tabs>
        <w:spacing w:line="360" w:lineRule="auto"/>
        <w:jc w:val="both"/>
        <w:rPr>
          <w:color w:val="000000"/>
          <w:szCs w:val="24"/>
        </w:rPr>
      </w:pPr>
    </w:p>
    <w:p w14:paraId="4D2E23D8" w14:textId="77777777">
      <w:pPr>
        <w:tabs>
          <w:tab w:val="left" w:pos="1247"/>
        </w:tabs>
        <w:spacing w:line="360" w:lineRule="auto"/>
        <w:jc w:val="both"/>
        <w:rPr>
          <w:color w:val="000000"/>
          <w:szCs w:val="24"/>
        </w:rPr>
      </w:pPr>
    </w:p>
    <w:p w14:paraId="7E220542" w14:textId="77777777">
      <w:pPr>
        <w:tabs>
          <w:tab w:val="left" w:pos="1247"/>
        </w:tabs>
        <w:spacing w:line="360" w:lineRule="auto"/>
        <w:jc w:val="both"/>
        <w:rPr>
          <w:color w:val="000000"/>
          <w:szCs w:val="24"/>
        </w:rPr>
      </w:pPr>
    </w:p>
    <w:p w14:paraId="7A30B57A" w14:textId="77777777">
      <w:pPr>
        <w:tabs>
          <w:tab w:val="left" w:pos="1247"/>
        </w:tabs>
        <w:spacing w:line="360" w:lineRule="auto"/>
        <w:jc w:val="both"/>
        <w:rPr>
          <w:color w:val="000000"/>
          <w:szCs w:val="24"/>
        </w:rPr>
      </w:pPr>
    </w:p>
    <w:p w14:paraId="39AEF6F1" w14:textId="77777777">
      <w:pPr>
        <w:tabs>
          <w:tab w:val="left" w:pos="1247"/>
        </w:tabs>
        <w:spacing w:line="360" w:lineRule="auto"/>
        <w:jc w:val="both"/>
        <w:rPr>
          <w:color w:val="000000"/>
          <w:szCs w:val="24"/>
        </w:rPr>
      </w:pPr>
    </w:p>
    <w:p w14:paraId="08444B81" w14:textId="77777777">
      <w:pPr>
        <w:tabs>
          <w:tab w:val="left" w:pos="1247"/>
        </w:tabs>
        <w:spacing w:line="360" w:lineRule="auto"/>
        <w:jc w:val="both"/>
        <w:rPr>
          <w:color w:val="000000"/>
          <w:szCs w:val="24"/>
        </w:rPr>
      </w:pPr>
    </w:p>
    <w:p w14:paraId="3F114012" w14:textId="77777777">
      <w:pPr>
        <w:tabs>
          <w:tab w:val="left" w:pos="1247"/>
        </w:tabs>
        <w:spacing w:line="360" w:lineRule="auto"/>
        <w:jc w:val="both"/>
        <w:rPr>
          <w:color w:val="000000"/>
          <w:szCs w:val="24"/>
        </w:rPr>
      </w:pPr>
    </w:p>
    <w:p w14:paraId="13D3D2D3" w14:textId="77777777">
      <w:pPr>
        <w:tabs>
          <w:tab w:val="left" w:pos="1247"/>
        </w:tabs>
        <w:spacing w:line="360" w:lineRule="auto"/>
        <w:jc w:val="both"/>
        <w:rPr>
          <w:color w:val="000000"/>
          <w:szCs w:val="24"/>
        </w:rPr>
      </w:pPr>
    </w:p>
    <w:p w14:paraId="404BABCA" w14:textId="77777777">
      <w:pPr>
        <w:tabs>
          <w:tab w:val="left" w:pos="1247"/>
        </w:tabs>
        <w:spacing w:line="360" w:lineRule="auto"/>
        <w:jc w:val="both"/>
        <w:rPr>
          <w:color w:val="000000"/>
          <w:szCs w:val="24"/>
        </w:rPr>
      </w:pPr>
    </w:p>
    <w:p w14:paraId="320A34A2" w14:textId="77777777">
      <w:pPr>
        <w:tabs>
          <w:tab w:val="left" w:pos="1247"/>
        </w:tabs>
        <w:spacing w:line="360" w:lineRule="auto"/>
        <w:jc w:val="both"/>
        <w:rPr>
          <w:color w:val="000000"/>
          <w:szCs w:val="24"/>
        </w:rPr>
      </w:pPr>
    </w:p>
    <w:p w14:paraId="4C91F2EF" w14:textId="77777777">
      <w:pPr>
        <w:tabs>
          <w:tab w:val="left" w:pos="1247"/>
        </w:tabs>
        <w:spacing w:line="360" w:lineRule="auto"/>
        <w:jc w:val="both"/>
        <w:rPr>
          <w:color w:val="000000"/>
          <w:szCs w:val="24"/>
        </w:rPr>
      </w:pPr>
    </w:p>
    <w:p w14:paraId="16218AA0" w14:textId="77777777">
      <w:pPr>
        <w:tabs>
          <w:tab w:val="left" w:pos="1247"/>
        </w:tabs>
        <w:spacing w:line="360" w:lineRule="auto"/>
        <w:jc w:val="both"/>
        <w:rPr>
          <w:color w:val="000000"/>
          <w:szCs w:val="24"/>
        </w:rPr>
      </w:pPr>
    </w:p>
    <w:p w14:paraId="1FCFE0C3" w14:textId="77777777">
      <w:pPr>
        <w:tabs>
          <w:tab w:val="left" w:pos="1247"/>
        </w:tabs>
        <w:spacing w:line="360" w:lineRule="auto"/>
        <w:jc w:val="both"/>
        <w:rPr>
          <w:color w:val="000000"/>
          <w:szCs w:val="24"/>
        </w:rPr>
      </w:pPr>
    </w:p>
    <w:p w14:paraId="04EE5B01" w14:textId="77777777">
      <w:pPr>
        <w:tabs>
          <w:tab w:val="left" w:pos="1247"/>
        </w:tabs>
        <w:spacing w:line="360" w:lineRule="auto"/>
        <w:jc w:val="both"/>
        <w:rPr>
          <w:color w:val="000000"/>
          <w:szCs w:val="24"/>
        </w:rPr>
      </w:pPr>
    </w:p>
    <w:p w14:paraId="4725F7C0" w14:textId="77777777">
      <w:pPr>
        <w:tabs>
          <w:tab w:val="left" w:pos="1247"/>
        </w:tabs>
        <w:spacing w:line="360" w:lineRule="auto"/>
        <w:jc w:val="both"/>
        <w:rPr>
          <w:color w:val="000000"/>
          <w:szCs w:val="24"/>
        </w:rPr>
      </w:pPr>
    </w:p>
    <w:p w14:paraId="169E580B" w14:textId="77777777">
      <w:pPr>
        <w:tabs>
          <w:tab w:val="left" w:pos="1247"/>
        </w:tabs>
        <w:spacing w:line="360" w:lineRule="auto"/>
        <w:jc w:val="both"/>
        <w:rPr>
          <w:color w:val="000000"/>
          <w:szCs w:val="24"/>
        </w:rPr>
      </w:pPr>
    </w:p>
    <w:p w14:paraId="53A468EC" w14:textId="77777777">
      <w:pPr>
        <w:tabs>
          <w:tab w:val="left" w:pos="1247"/>
        </w:tabs>
        <w:spacing w:line="360" w:lineRule="auto"/>
        <w:jc w:val="both"/>
        <w:rPr>
          <w:color w:val="000000"/>
          <w:szCs w:val="24"/>
        </w:rPr>
      </w:pPr>
    </w:p>
    <w:p w14:paraId="655A1826" w14:textId="77777777">
      <w:pPr>
        <w:tabs>
          <w:tab w:val="left" w:pos="1247"/>
        </w:tabs>
        <w:spacing w:line="360" w:lineRule="auto"/>
        <w:jc w:val="both"/>
        <w:rPr>
          <w:color w:val="000000"/>
          <w:szCs w:val="24"/>
        </w:rPr>
      </w:pPr>
    </w:p>
    <w:p w14:paraId="4C5D51A8" w14:textId="77777777">
      <w:pPr>
        <w:tabs>
          <w:tab w:val="left" w:pos="1247"/>
        </w:tabs>
        <w:spacing w:line="360" w:lineRule="auto"/>
        <w:jc w:val="both"/>
        <w:rPr>
          <w:color w:val="000000"/>
          <w:szCs w:val="24"/>
        </w:rPr>
      </w:pPr>
    </w:p>
    <w:p w14:paraId="33126A6E" w14:textId="77777777">
      <w:pPr>
        <w:tabs>
          <w:tab w:val="left" w:pos="1247"/>
        </w:tabs>
        <w:spacing w:line="360" w:lineRule="auto"/>
        <w:jc w:val="both"/>
        <w:rPr>
          <w:color w:val="000000"/>
          <w:szCs w:val="24"/>
        </w:rPr>
      </w:pPr>
    </w:p>
    <w:p w14:paraId="6489D3FA" w14:textId="77777777">
      <w:pPr>
        <w:tabs>
          <w:tab w:val="left" w:pos="1247"/>
        </w:tabs>
        <w:spacing w:line="360" w:lineRule="auto"/>
        <w:jc w:val="both"/>
        <w:rPr>
          <w:color w:val="000000"/>
          <w:szCs w:val="24"/>
        </w:rPr>
      </w:pPr>
    </w:p>
    <w:p w14:paraId="16960BBE" w14:textId="77777777">
      <w:pPr>
        <w:tabs>
          <w:tab w:val="left" w:pos="1247"/>
        </w:tabs>
        <w:spacing w:line="360" w:lineRule="auto"/>
        <w:jc w:val="both"/>
        <w:rPr>
          <w:szCs w:val="24"/>
        </w:rPr>
      </w:pPr>
    </w:p>
    <w:tbl>
      <w:tblPr>
        <w:tblW w:w="0" w:type="auto"/>
        <w:tblLook w:val="01E0" w:firstRow="1" w:lastRow="1" w:firstColumn="1" w:lastColumn="1" w:noHBand="0" w:noVBand="0"/>
      </w:tblPr>
      <w:tblGrid>
        <w:gridCol w:w="3314"/>
        <w:gridCol w:w="3291"/>
        <w:gridCol w:w="3249"/>
      </w:tblGrid>
      <w:tr w14:paraId="0289AB06" w14:textId="77777777">
        <w:tc>
          <w:tcPr>
            <w:tcW w:w="3314" w:type="dxa"/>
          </w:tcPr>
          <w:p w14:paraId="3D07C42A" w14:textId="77777777">
            <w:pPr>
              <w:widowControl w:val="0"/>
              <w:jc w:val="both"/>
              <w:rPr>
                <w:szCs w:val="24"/>
                <w:lang w:eastAsia="lt-LT"/>
              </w:rPr>
            </w:pPr>
            <w:r>
              <w:rPr>
                <w:szCs w:val="24"/>
                <w:lang w:eastAsia="lt-LT"/>
              </w:rPr>
              <w:t>Parengė</w:t>
            </w:r>
          </w:p>
        </w:tc>
        <w:tc>
          <w:tcPr>
            <w:tcW w:w="3291" w:type="dxa"/>
          </w:tcPr>
          <w:p w14:paraId="6DFD417E" w14:textId="77777777">
            <w:pPr>
              <w:widowControl w:val="0"/>
              <w:jc w:val="both"/>
              <w:rPr>
                <w:szCs w:val="24"/>
                <w:lang w:eastAsia="lt-LT"/>
              </w:rPr>
            </w:pPr>
          </w:p>
        </w:tc>
        <w:tc>
          <w:tcPr>
            <w:tcW w:w="3249" w:type="dxa"/>
          </w:tcPr>
          <w:p w14:paraId="27C66E7E" w14:textId="77777777">
            <w:pPr>
              <w:widowControl w:val="0"/>
              <w:jc w:val="both"/>
              <w:rPr>
                <w:szCs w:val="24"/>
                <w:lang w:eastAsia="lt-LT"/>
              </w:rPr>
            </w:pPr>
          </w:p>
        </w:tc>
      </w:tr>
      <w:tr w14:paraId="0F7CEAB4" w14:textId="77777777">
        <w:trPr>
          <w:trHeight w:val="585"/>
        </w:trPr>
        <w:tc>
          <w:tcPr>
            <w:tcW w:w="3314" w:type="dxa"/>
          </w:tcPr>
          <w:p w14:paraId="7672B116" w14:textId="77777777">
            <w:pPr>
              <w:widowControl w:val="0"/>
              <w:rPr>
                <w:szCs w:val="24"/>
                <w:lang w:eastAsia="lt-LT"/>
              </w:rPr>
            </w:pPr>
            <w:r>
              <w:rPr>
                <w:szCs w:val="24"/>
                <w:lang w:eastAsia="lt-LT"/>
              </w:rPr>
              <w:t xml:space="preserve">Finansų ir biudžeto  skyriaus vedėja</w:t>
            </w:r>
          </w:p>
        </w:tc>
        <w:tc>
          <w:tcPr>
            <w:tcW w:w="3291" w:type="dxa"/>
          </w:tcPr>
          <w:p w14:paraId="290083C5" w14:textId="77777777">
            <w:pPr>
              <w:widowControl w:val="0"/>
              <w:jc w:val="both"/>
              <w:rPr>
                <w:szCs w:val="24"/>
                <w:lang w:eastAsia="lt-LT"/>
              </w:rPr>
            </w:pPr>
          </w:p>
        </w:tc>
        <w:tc>
          <w:tcPr>
            <w:tcW w:w="3249" w:type="dxa"/>
          </w:tcPr>
          <w:p w14:paraId="13CBE0D4" w14:textId="77777777">
            <w:pPr>
              <w:widowControl w:val="0"/>
              <w:jc w:val="both"/>
              <w:rPr>
                <w:szCs w:val="24"/>
                <w:lang w:eastAsia="lt-LT"/>
              </w:rPr>
            </w:pPr>
          </w:p>
        </w:tc>
      </w:tr>
      <w:tr w14:paraId="69C82E3B" w14:textId="77777777">
        <w:trPr>
          <w:trHeight w:val="240"/>
        </w:trPr>
        <w:tc>
          <w:tcPr>
            <w:tcW w:w="3314" w:type="dxa"/>
          </w:tcPr>
          <w:p w14:paraId="4644AC05" w14:textId="77777777">
            <w:pPr>
              <w:widowControl w:val="0"/>
              <w:rPr>
                <w:szCs w:val="24"/>
                <w:lang w:eastAsia="lt-LT"/>
              </w:rPr>
            </w:pPr>
          </w:p>
        </w:tc>
        <w:tc>
          <w:tcPr>
            <w:tcW w:w="3291" w:type="dxa"/>
          </w:tcPr>
          <w:p w14:paraId="5388113C" w14:textId="77777777">
            <w:pPr>
              <w:widowControl w:val="0"/>
              <w:jc w:val="both"/>
              <w:rPr>
                <w:szCs w:val="24"/>
                <w:lang w:eastAsia="lt-LT"/>
              </w:rPr>
            </w:pPr>
          </w:p>
        </w:tc>
        <w:tc>
          <w:tcPr>
            <w:tcW w:w="3249" w:type="dxa"/>
          </w:tcPr>
          <w:p w14:paraId="260A0756" w14:textId="77777777">
            <w:pPr>
              <w:widowControl w:val="0"/>
              <w:jc w:val="both"/>
              <w:rPr>
                <w:szCs w:val="24"/>
                <w:lang w:eastAsia="lt-LT"/>
              </w:rPr>
            </w:pPr>
          </w:p>
        </w:tc>
      </w:tr>
      <w:tr w14:paraId="28355C8A" w14:textId="77777777">
        <w:tc>
          <w:tcPr>
            <w:tcW w:w="3314" w:type="dxa"/>
          </w:tcPr>
          <w:p w14:paraId="3FA26BEB" w14:textId="77777777">
            <w:pPr>
              <w:widowControl w:val="0"/>
              <w:rPr>
                <w:szCs w:val="24"/>
                <w:lang w:eastAsia="lt-LT"/>
              </w:rPr>
            </w:pPr>
            <w:r>
              <w:rPr>
                <w:szCs w:val="24"/>
                <w:lang w:eastAsia="lt-LT"/>
              </w:rPr>
              <w:t>Reda Totorienė</w:t>
            </w:r>
          </w:p>
        </w:tc>
        <w:tc>
          <w:tcPr>
            <w:tcW w:w="3291" w:type="dxa"/>
          </w:tcPr>
          <w:p w14:paraId="5512F215" w14:textId="77777777">
            <w:pPr>
              <w:widowControl w:val="0"/>
              <w:jc w:val="both"/>
              <w:rPr>
                <w:szCs w:val="24"/>
                <w:lang w:eastAsia="lt-LT"/>
              </w:rPr>
            </w:pPr>
          </w:p>
        </w:tc>
        <w:tc>
          <w:tcPr>
            <w:tcW w:w="3249" w:type="dxa"/>
          </w:tcPr>
          <w:p w14:paraId="52DDF60E" w14:textId="77777777">
            <w:pPr>
              <w:widowControl w:val="0"/>
              <w:jc w:val="both"/>
              <w:rPr>
                <w:szCs w:val="24"/>
                <w:lang w:eastAsia="lt-LT"/>
              </w:rPr>
            </w:pPr>
          </w:p>
        </w:tc>
      </w:tr>
    </w:tbl>
    <w:p w14:paraId="222BF1BA" w14:textId="77777777">
      <w:pPr>
        <w:widowControl w:val="0"/>
        <w:jc w:val="both"/>
        <w:rPr>
          <w:szCs w:val="24"/>
          <w:lang w:eastAsia="lt-LT"/>
        </w:rPr>
      </w:pPr>
    </w:p>
    <w:sectPr>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134" w:right="567" w:bottom="1134" w:left="1701" w:header="567" w:footer="567" w:gutter="0"/>
      <w:cols w:space="60"/>
      <w:noEndnote/>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AF2B7" w14:textId="77777777">
      <w:pPr>
        <w:widowControl w:val="0"/>
        <w:rPr>
          <w:sz w:val="20"/>
          <w:lang w:eastAsia="lt-LT"/>
        </w:rPr>
      </w:pPr>
      <w:r>
        <w:rPr>
          <w:sz w:val="20"/>
          <w:lang w:eastAsia="lt-LT"/>
        </w:rPr>
        <w:separator/>
      </w:r>
    </w:p>
  </w:endnote>
  <w:endnote w:type="continuationSeparator" w:id="0">
    <w:p w14:paraId="254360EE" w14:textId="77777777">
      <w:pPr>
        <w:widowControl w:val="0"/>
        <w:rPr>
          <w:sz w:val="20"/>
          <w:lang w:eastAsia="lt-LT"/>
        </w:rPr>
      </w:pPr>
      <w:r>
        <w:rPr>
          <w:sz w:val="2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CCAE" w14:textId="77777777">
    <w:pPr>
      <w:widowControl w:val="0"/>
      <w:tabs>
        <w:tab w:val="center" w:pos="4819"/>
        <w:tab w:val="right" w:pos="9638"/>
      </w:tabs>
      <w:rPr>
        <w:sz w:val="2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482AB" w14:textId="77777777">
    <w:pPr>
      <w:widowControl w:val="0"/>
      <w:tabs>
        <w:tab w:val="center" w:pos="4819"/>
        <w:tab w:val="right" w:pos="9638"/>
      </w:tabs>
      <w:rPr>
        <w:sz w:val="2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792C" w14:textId="77777777">
    <w:pPr>
      <w:widowControl w:val="0"/>
      <w:tabs>
        <w:tab w:val="center" w:pos="4819"/>
        <w:tab w:val="right" w:pos="9638"/>
      </w:tabs>
      <w:rPr>
        <w:sz w:val="2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615B0" w14:textId="77777777">
      <w:pPr>
        <w:widowControl w:val="0"/>
        <w:rPr>
          <w:sz w:val="20"/>
          <w:lang w:eastAsia="lt-LT"/>
        </w:rPr>
      </w:pPr>
      <w:r>
        <w:rPr>
          <w:sz w:val="20"/>
          <w:lang w:eastAsia="lt-LT"/>
        </w:rPr>
        <w:separator/>
      </w:r>
    </w:p>
  </w:footnote>
  <w:footnote w:type="continuationSeparator" w:id="0">
    <w:p w14:paraId="61524A12" w14:textId="77777777">
      <w:pPr>
        <w:widowControl w:val="0"/>
        <w:rPr>
          <w:sz w:val="20"/>
          <w:lang w:eastAsia="lt-LT"/>
        </w:rPr>
      </w:pPr>
      <w:r>
        <w:rPr>
          <w:sz w:val="20"/>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9A39" w14:textId="77777777">
    <w:pPr>
      <w:framePr w:wrap="auto" w:vAnchor="text" w:hAnchor="margin" w:xAlign="center" w:y="1"/>
      <w:widowControl w:val="0"/>
      <w:tabs>
        <w:tab w:val="center" w:pos="4819"/>
        <w:tab w:val="right" w:pos="9638"/>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214D7BB6" w14:textId="77777777">
    <w:pPr>
      <w:widowControl w:val="0"/>
      <w:tabs>
        <w:tab w:val="center" w:pos="4819"/>
        <w:tab w:val="right" w:pos="9638"/>
      </w:tabs>
      <w:rPr>
        <w:sz w:val="2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6E670" w14:textId="77777777">
    <w:pPr>
      <w:framePr w:wrap="auto" w:vAnchor="text" w:hAnchor="margin" w:xAlign="center" w:y="1"/>
      <w:widowControl w:val="0"/>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2</w:t>
    </w:r>
    <w:r>
      <w:rPr>
        <w:szCs w:val="24"/>
        <w:lang w:eastAsia="lt-LT"/>
      </w:rPr>
      <w:fldChar w:fldCharType="end"/>
    </w:r>
  </w:p>
  <w:p w14:paraId="1FD31ACD" w14:textId="77777777">
    <w:pPr>
      <w:widowControl w:val="0"/>
      <w:tabs>
        <w:tab w:val="center" w:pos="4819"/>
        <w:tab w:val="right" w:pos="9638"/>
      </w:tabs>
      <w:jc w:val="center"/>
      <w:rPr>
        <w:szCs w:val="24"/>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DB66" w14:textId="77777777">
    <w:pPr>
      <w:widowControl w:val="0"/>
      <w:tabs>
        <w:tab w:val="center" w:pos="4819"/>
        <w:tab w:val="right" w:pos="9638"/>
      </w:tabs>
      <w:rPr>
        <w:sz w:val="20"/>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1506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8292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2022</Characters>
  <Application>Microsoft Office Word</Application>
  <DocSecurity>4</DocSecurity>
  <Lines>84</Lines>
  <Paragraphs>26</Paragraphs>
  <ScaleCrop>false</ScaleCrop>
  <HeadingPairs>
    <vt:vector size="2" baseType="variant">
      <vt:variant>
        <vt:lpstr>Pavadinimas</vt:lpstr>
      </vt:variant>
      <vt:variant>
        <vt:i4>1</vt:i4>
      </vt:variant>
    </vt:vector>
  </HeadingPairs>
  <TitlesOfParts>
    <vt:vector size="1" baseType="lpstr">
      <vt:lpstr>KUPIŠKIO RAJONO SAVIVALDYBĖS TARYBA</vt:lpstr>
    </vt:vector>
  </TitlesOfParts>
  <Company/>
  <LinksUpToDate>false</LinksUpToDate>
  <CharactersWithSpaces>2292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2021-07-26T05:13:00Z</dcterms:created>
  <dc:creator>Kanceliarija2</dc:creator>
  <lastModifiedBy>adlibuser</lastModifiedBy>
  <lastPrinted>2021-07-22T07:43:00Z</lastPrinted>
  <dcterms:modified xsi:type="dcterms:W3CDTF">2021-07-26T05:13:00Z</dcterms:modified>
  <revision>2</revision>
  <dc:title>KUPIŠKIO RAJONO SAVIVALDYBĖS TARYBA</dc:title>
</coreProperties>
</file>