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ind w:left="1296" w:firstLine="1296"/>
        <w:jc w:val="right"/>
        <w:rPr>
          <w:b/>
          <w:szCs w:val="24"/>
          <w:lang w:eastAsia="lt-LT"/>
        </w:rPr>
      </w:pPr>
      <w:r>
        <w:rPr>
          <w:b/>
          <w:szCs w:val="24"/>
          <w:lang w:eastAsia="lt-LT"/>
        </w:rPr>
        <w:t>Projektas Nr. TSP-252</w:t>
      </w:r>
    </w:p>
    <w:p>
      <w:pPr>
        <w:jc w:val="center"/>
        <w:rPr>
          <w:b/>
          <w:sz w:val="28"/>
          <w:szCs w:val="28"/>
          <w:lang w:eastAsia="lt-LT"/>
        </w:rPr>
      </w:pPr>
      <w:r>
        <w:rPr>
          <w:b/>
          <w:sz w:val="28"/>
          <w:szCs w:val="28"/>
          <w:lang w:eastAsia="lt-LT"/>
        </w:rPr>
        <w:t>KUPIŠKIO RAJONO SAVIVALDYBĖS TARYBA</w:t>
      </w:r>
    </w:p>
    <w:p>
      <w:pPr>
        <w:jc w:val="center"/>
        <w:rPr>
          <w:b/>
          <w:lang w:eastAsia="lt-LT"/>
        </w:rPr>
      </w:pPr>
    </w:p>
    <w:p>
      <w:pPr>
        <w:jc w:val="center"/>
        <w:rPr>
          <w:b/>
          <w:lang w:eastAsia="lt-LT"/>
        </w:rPr>
      </w:pPr>
      <w:r>
        <w:rPr>
          <w:b/>
          <w:lang w:eastAsia="lt-LT"/>
        </w:rPr>
        <w:t>SPRENDIMAS</w:t>
      </w:r>
    </w:p>
    <w:p>
      <w:pPr>
        <w:jc w:val="center"/>
        <w:rPr>
          <w:b/>
          <w:szCs w:val="24"/>
          <w:lang w:eastAsia="lt-LT"/>
        </w:rPr>
      </w:pPr>
      <w:r>
        <w:rPr>
          <w:b/>
          <w:lang w:eastAsia="lt-LT"/>
        </w:rPr>
        <w:t xml:space="preserve">DĖL </w:t>
      </w:r>
      <w:r>
        <w:rPr>
          <w:b/>
          <w:szCs w:val="24"/>
          <w:lang w:eastAsia="lt-LT"/>
        </w:rPr>
        <w:t>NEKILNOJAMOJO TURTO PRIPAŽINIMO NEREIKALINGU SAVIVALDYBĖS POREIKIAMS IR JO NUOMOS</w:t>
      </w:r>
    </w:p>
    <w:p>
      <w:pPr>
        <w:jc w:val="center"/>
        <w:rPr>
          <w:lang w:eastAsia="lt-LT"/>
        </w:rPr>
      </w:pPr>
    </w:p>
    <w:p>
      <w:pPr>
        <w:jc w:val="center"/>
        <w:rPr>
          <w:szCs w:val="24"/>
          <w:lang w:eastAsia="lt-LT"/>
        </w:rPr>
      </w:pPr>
      <w:r>
        <w:rPr>
          <w:szCs w:val="24"/>
          <w:lang w:eastAsia="lt-LT"/>
        </w:rPr>
        <w:t xml:space="preserve">2020 m. spalio      d. Nr. TS- </w:t>
      </w:r>
    </w:p>
    <w:p>
      <w:pPr>
        <w:jc w:val="center"/>
        <w:rPr>
          <w:szCs w:val="24"/>
          <w:lang w:eastAsia="lt-LT"/>
        </w:rPr>
      </w:pPr>
      <w:r>
        <w:rPr>
          <w:szCs w:val="24"/>
          <w:lang w:eastAsia="lt-LT"/>
        </w:rPr>
        <w:t>Kupiškis</w:t>
      </w:r>
    </w:p>
    <w:p>
      <w:pPr>
        <w:rPr>
          <w:szCs w:val="24"/>
          <w:lang w:eastAsia="lt-LT"/>
        </w:rPr>
      </w:pPr>
    </w:p>
    <w:p>
      <w:pPr>
        <w:tabs>
          <w:tab w:val="left" w:pos="1247"/>
        </w:tabs>
        <w:spacing w:line="360" w:lineRule="auto"/>
        <w:ind w:firstLine="1247"/>
        <w:jc w:val="both"/>
        <w:rPr>
          <w:lang w:eastAsia="lt-LT"/>
        </w:rPr>
      </w:pPr>
      <w:r>
        <w:rPr>
          <w:lang w:eastAsia="lt-LT"/>
        </w:rPr>
        <w:t xml:space="preserve">Vadovaudamasi Lietuvos Respublikos vietos savivaldos įstatymo 16 straipsnio 2 dalies 26 punktu, Pripažinto nereikalingu arba netinkamu (negalimu) naudoti Kupiškio rajono savivaldybei nuosavybės teise priklausančio turto nurašymo, išardymo ir likvidavimo tvarkos aprašo, patvirtinto Kupiškio rajono savivaldybės tarybos 2014 m. gruodžio 18 d. sprendimu Nr. TS-334 „Dėl pripažinto nereikalingu arba netinkamu (negalimu) naudoti Kupiškio rajono savivaldybei nuosavybės teise priklausančio turto nurašymo, išardymo ir likvidavimo tvarkos aprašo patvirtinimo“, 7.1.1 papunkčiu,  Kupiškio rajono savivaldybės materialiojo turto nuomos tvarkos aprašo, patvirtinto Kupiškio rajono savivaldybės tarybos 2015 m. vasario 19 d. sprendimu Nr. TS-32 „Dėl Kupiškio rajono savivaldybės materialiojo turto nuomos tvarkos aprašo patvirtinimo“, 7 punktu ir atsižvelgdama į Nereikalingo arba netinkamo (negalimo) naudoti nekilnojamojo turto ar kitų nekilnojamųjų daiktų apžiūrų          2020 m. spalio 12 d. pažymas   Nr. E14-4, E14-5, E14-6, E14-7, E14-8, E14-9, E14-10, E14-11, E14-12, E14-13, E14-14, Kupiškio rajono savivaldybės taryba  n u s p r e n d ž i a:</w:t>
      </w:r>
    </w:p>
    <w:p>
      <w:pPr>
        <w:tabs>
          <w:tab w:val="left" w:pos="1247"/>
        </w:tabs>
        <w:spacing w:line="360" w:lineRule="auto"/>
        <w:ind w:firstLine="1247"/>
        <w:jc w:val="both"/>
        <w:rPr>
          <w:szCs w:val="24"/>
          <w:lang w:eastAsia="lt-LT"/>
        </w:rPr>
      </w:pPr>
      <w:r>
        <w:rPr>
          <w:szCs w:val="24"/>
          <w:lang w:eastAsia="lt-LT"/>
        </w:rPr>
        <w:t>1</w:t>
      </w:r>
      <w:r>
        <w:rPr>
          <w:szCs w:val="24"/>
          <w:lang w:eastAsia="lt-LT"/>
        </w:rPr>
        <w:t>. Pripažinti nereikalingu Kupiškio rajono savivaldybės poreikiams nuosavybės teise valdomą turtą, nurodytą šio sprendimo 1 priede.</w:t>
      </w:r>
    </w:p>
    <w:p>
      <w:pPr>
        <w:tabs>
          <w:tab w:val="left" w:pos="1247"/>
        </w:tabs>
        <w:spacing w:line="360" w:lineRule="auto"/>
        <w:ind w:firstLine="1247"/>
        <w:jc w:val="both"/>
        <w:rPr>
          <w:szCs w:val="24"/>
          <w:lang w:eastAsia="lt-LT"/>
        </w:rPr>
      </w:pPr>
      <w:r>
        <w:rPr>
          <w:szCs w:val="24"/>
          <w:lang w:eastAsia="lt-LT"/>
        </w:rPr>
        <w:t>2</w:t>
      </w:r>
      <w:r>
        <w:rPr>
          <w:szCs w:val="24"/>
          <w:lang w:eastAsia="lt-LT"/>
        </w:rPr>
        <w:t xml:space="preserve">. Skelbti negyvenamųjų patalpų, nurodytų šio sprendimo 2 priede, viešus nuomos konkursus. </w:t>
      </w:r>
    </w:p>
    <w:p>
      <w:pPr>
        <w:tabs>
          <w:tab w:val="left" w:pos="1247"/>
        </w:tabs>
        <w:spacing w:line="360" w:lineRule="auto"/>
        <w:ind w:firstLine="1247"/>
        <w:jc w:val="both"/>
        <w:rPr>
          <w:szCs w:val="24"/>
          <w:lang w:eastAsia="lt-LT"/>
        </w:rPr>
      </w:pPr>
      <w:r>
        <w:rPr>
          <w:szCs w:val="24"/>
          <w:lang w:eastAsia="lt-LT"/>
        </w:rPr>
        <w:t>3</w:t>
      </w:r>
      <w:r>
        <w:rPr>
          <w:szCs w:val="24"/>
          <w:lang w:eastAsia="lt-LT"/>
        </w:rPr>
        <w:t xml:space="preserve">. Pavesti Kupiškio rajono savivaldybės administracijai organizuoti šio sprendimo 2 punkte  nurodyto nekilnojamojo turto nuomos konkursus.</w:t>
      </w:r>
    </w:p>
    <w:p>
      <w:pPr>
        <w:tabs>
          <w:tab w:val="left" w:pos="1247"/>
        </w:tabs>
        <w:spacing w:line="360" w:lineRule="auto"/>
        <w:ind w:firstLine="1302"/>
        <w:jc w:val="both"/>
        <w:rPr>
          <w:bCs/>
          <w:szCs w:val="24"/>
          <w:lang w:eastAsia="lt-LT"/>
        </w:rPr>
      </w:pPr>
      <w:r>
        <w:rPr>
          <w:bCs/>
          <w:szCs w:val="24"/>
          <w:lang w:eastAsia="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pPr>
        <w:tabs>
          <w:tab w:val="left" w:pos="1247"/>
        </w:tabs>
        <w:spacing w:line="360" w:lineRule="auto"/>
        <w:jc w:val="both"/>
        <w:rPr>
          <w:bCs/>
          <w:szCs w:val="24"/>
          <w:lang w:eastAsia="lt-LT"/>
        </w:rPr>
      </w:pPr>
    </w:p>
    <w:p>
      <w:pPr>
        <w:spacing w:line="360" w:lineRule="auto"/>
        <w:jc w:val="both"/>
        <w:rPr>
          <w:szCs w:val="24"/>
          <w:lang w:eastAsia="lt-LT"/>
        </w:rPr>
      </w:pPr>
      <w:r>
        <w:rPr>
          <w:szCs w:val="24"/>
          <w:lang w:eastAsia="lt-LT"/>
        </w:rPr>
        <w:t xml:space="preserve">Savivaldybės meras                                                                                                                                                                                                       </w:t>
      </w:r>
    </w:p>
    <w:p>
      <w:pPr>
        <w:ind w:firstLine="930"/>
        <w:jc w:val="both"/>
        <w:rPr>
          <w:szCs w:val="24"/>
          <w:lang w:eastAsia="lt-LT"/>
        </w:rPr>
      </w:pPr>
    </w:p>
    <w:tbl>
      <w:tblPr>
        <w:tblW w:w="10221" w:type="dxa"/>
        <w:tblLook w:val="01E0" w:firstRow="1" w:lastRow="1" w:firstColumn="1" w:lastColumn="1" w:noHBand="0" w:noVBand="0"/>
      </w:tblPr>
      <w:tblGrid>
        <w:gridCol w:w="10221"/>
      </w:tblGrid>
      <w:tr>
        <w:trPr>
          <w:trHeight w:val="80"/>
        </w:trPr>
        <w:tc>
          <w:tcPr>
            <w:tcW w:w="10221" w:type="dxa"/>
            <w:shd w:val="clear" w:color="auto" w:fill="auto"/>
          </w:tcPr>
          <w:p>
            <w:pPr>
              <w:jc w:val="both"/>
              <w:rPr>
                <w:szCs w:val="24"/>
                <w:lang w:eastAsia="lt-LT"/>
              </w:rPr>
            </w:pPr>
            <w:r>
              <w:rPr>
                <w:szCs w:val="24"/>
                <w:lang w:eastAsia="lt-LT"/>
              </w:rPr>
              <w:t>Parengė</w:t>
            </w:r>
          </w:p>
        </w:tc>
      </w:tr>
      <w:tr>
        <w:tc>
          <w:tcPr>
            <w:tcW w:w="10221" w:type="dxa"/>
            <w:shd w:val="clear" w:color="auto" w:fill="auto"/>
          </w:tcPr>
          <w:p>
            <w:pPr>
              <w:jc w:val="both"/>
              <w:rPr>
                <w:szCs w:val="24"/>
                <w:lang w:eastAsia="lt-LT"/>
              </w:rPr>
            </w:pPr>
            <w:r>
              <w:rPr>
                <w:szCs w:val="24"/>
                <w:lang w:eastAsia="lt-LT"/>
              </w:rPr>
              <w:t xml:space="preserve">Infrastruktūros skyriaus vedėjas  </w:t>
            </w:r>
          </w:p>
          <w:p>
            <w:pPr>
              <w:jc w:val="both"/>
              <w:rPr>
                <w:szCs w:val="24"/>
                <w:lang w:eastAsia="lt-LT"/>
              </w:rPr>
            </w:pPr>
            <w:r>
              <w:rPr>
                <w:szCs w:val="24"/>
                <w:lang w:eastAsia="lt-LT"/>
              </w:rPr>
              <w:t>Mažvydas Šalkauskas</w:t>
            </w:r>
          </w:p>
          <w:p>
            <w:pPr>
              <w:jc w:val="both"/>
              <w:rPr>
                <w:szCs w:val="24"/>
                <w:lang w:eastAsia="lt-LT"/>
              </w:rPr>
            </w:pPr>
          </w:p>
        </w:tc>
      </w:tr>
      <w:tr>
        <w:tc>
          <w:tcPr>
            <w:tcW w:w="10221" w:type="dxa"/>
            <w:shd w:val="clear" w:color="auto" w:fill="auto"/>
          </w:tcPr>
          <w:p>
            <w:pPr>
              <w:jc w:val="both"/>
              <w:rPr>
                <w:szCs w:val="24"/>
                <w:lang w:eastAsia="lt-LT"/>
              </w:rPr>
            </w:pPr>
          </w:p>
        </w:tc>
      </w:tr>
      <w:tr>
        <w:tc>
          <w:tcPr>
            <w:tcW w:w="10221" w:type="dxa"/>
            <w:shd w:val="clear" w:color="auto" w:fill="auto"/>
          </w:tcPr>
          <w:p>
            <w:pPr>
              <w:jc w:val="both"/>
              <w:rPr>
                <w:szCs w:val="24"/>
                <w:lang w:eastAsia="lt-LT"/>
              </w:rPr>
            </w:pPr>
          </w:p>
          <w:p>
            <w:pPr>
              <w:jc w:val="both"/>
              <w:rPr>
                <w:szCs w:val="24"/>
                <w:lang w:eastAsia="lt-LT"/>
              </w:rPr>
            </w:pPr>
          </w:p>
        </w:tc>
      </w:tr>
    </w:tbl>
    <w:p>
      <w:pPr>
        <w:rPr>
          <w:sz w:val="20"/>
          <w:lang w:eastAsia="lt-LT"/>
        </w:rPr>
      </w:pPr>
    </w:p>
    <w:sectPr>
      <w:pgSz w:w="11907" w:h="16840" w:code="9"/>
      <w:pgMar w:top="1134" w:right="567" w:bottom="0" w:left="1701" w:header="567" w:footer="567" w:gutter="0"/>
      <w:cols w:space="129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2094</Characters>
  <Application>Microsoft Office Word</Application>
  <DocSecurity>4</DocSecurity>
  <Lines>49</Lines>
  <Paragraphs>18</Paragraphs>
  <ScaleCrop>false</ScaleCrop>
  <HeadingPairs>
    <vt:vector size="2" baseType="variant">
      <vt:variant>
        <vt:lpstr>Pavadinimas</vt:lpstr>
      </vt:variant>
      <vt:variant>
        <vt:i4>1</vt:i4>
      </vt:variant>
    </vt:vector>
  </HeadingPairs>
  <TitlesOfParts>
    <vt:vector size="1" baseType="lpstr">
      <vt:lpstr>KUPIŠKIO RAJONO SAVIVALDYBĖS TARYBA</vt:lpstr>
    </vt:vector>
  </TitlesOfParts>
  <Company/>
  <LinksUpToDate>false</LinksUpToDate>
  <CharactersWithSpaces>2373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2020-10-15T07:36:00Z</dcterms:created>
  <dc:creator>MARIJONA</dc:creator>
  <lastModifiedBy>adlibuser</lastModifiedBy>
  <lastPrinted>2020-10-14T07:57:00Z</lastPrinted>
  <dcterms:modified xsi:type="dcterms:W3CDTF">2020-10-15T07:36:00Z</dcterms:modified>
  <revision>2</revision>
  <dc:title>KUPIŠKIO RAJONO SAVIVALDYBĖS TARYBA</dc:title>
</coreProperties>
</file>